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162024_040211.xml.htm"/>
      <w:bookmarkStart w:id="1" w:name="ksform402162024_0402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Maack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214,995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709,671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$0.001. The RSUs vest over a four-year period, with 25% of the RSUs vesting on February 1, 2025, followed by quarterly vesting of 6.25% every three months thereafter over the subsequent three years, in each case subject to the Reporting Person's continued service with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Ruderman,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47395" TargetMode="External"/><Relationship Id="rId4" Type="http://schemas.openxmlformats.org/officeDocument/2006/relationships/hyperlink" Target="http://www.sec.gov/cgi-bin/browse-edgar?action=getcompany&amp;CIK=000186179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3472</Characters>
  <CharactersWithSpaces>4047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