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November 15, 2021</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980"/>
          </w:cols>
          <w:pgMar w:left="440" w:top="233" w:right="479" w:bottom="1440" w:gutter="0" w:footer="0" w:header="0"/>
        </w:sectPr>
      </w:pPr>
    </w:p>
    <w:p>
      <w:pPr>
        <w:spacing w:after="0" w:line="116" w:lineRule="exact"/>
        <w:rPr>
          <w:sz w:val="24"/>
          <w:szCs w:val="24"/>
          <w:color w:val="auto"/>
        </w:rPr>
      </w:pPr>
    </w:p>
    <w:p>
      <w:pPr>
        <w:ind w:left="42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Definitive Healthcare Corp. (the “Company”)</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Registration Statement on Form S-1 (File No. 333-261083)</w:t>
      </w:r>
    </w:p>
    <w:p>
      <w:pPr>
        <w:spacing w:after="0" w:line="200" w:lineRule="exact"/>
        <w:rPr>
          <w:sz w:val="24"/>
          <w:szCs w:val="24"/>
          <w:color w:val="auto"/>
        </w:rPr>
      </w:pPr>
    </w:p>
    <w:p>
      <w:pPr>
        <w:sectPr>
          <w:pgSz w:w="11900" w:h="16838" w:orient="portrait"/>
          <w:cols w:equalWidth="0" w:num="2">
            <w:col w:w="680" w:space="280"/>
            <w:col w:w="10020"/>
          </w:cols>
          <w:pgMar w:left="440" w:top="233" w:right="47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jc w:val="both"/>
        <w:ind w:right="500" w:firstLine="440"/>
        <w:spacing w:after="0" w:line="286" w:lineRule="auto"/>
        <w:rPr>
          <w:sz w:val="20"/>
          <w:szCs w:val="20"/>
          <w:color w:val="auto"/>
        </w:rPr>
      </w:pPr>
      <w:r>
        <w:rPr>
          <w:rFonts w:ascii="Arial" w:cs="Arial" w:eastAsia="Arial" w:hAnsi="Arial"/>
          <w:sz w:val="17"/>
          <w:szCs w:val="17"/>
          <w:color w:val="auto"/>
        </w:rPr>
        <w:t>As representatives of the several underwriters of the Company’s proposed public offering of its Class A common stock, we hereby join the Company’s request that the effective date of the above-referenced Registration Statement be accelerated so that the above-referenced Registration Statement will be declared effective at 4:00 pm (ET) on November 17, 2021, or as soon thereafter as is practicable.</w:t>
      </w:r>
    </w:p>
    <w:p>
      <w:pPr>
        <w:spacing w:after="0" w:line="165" w:lineRule="exact"/>
        <w:rPr>
          <w:sz w:val="24"/>
          <w:szCs w:val="24"/>
          <w:color w:val="auto"/>
        </w:rPr>
      </w:pPr>
    </w:p>
    <w:p>
      <w:pPr>
        <w:ind w:right="440" w:firstLine="440"/>
        <w:spacing w:after="0" w:line="259" w:lineRule="auto"/>
        <w:rPr>
          <w:sz w:val="20"/>
          <w:szCs w:val="20"/>
          <w:color w:val="auto"/>
        </w:rPr>
      </w:pPr>
      <w:r>
        <w:rPr>
          <w:rFonts w:ascii="Arial" w:cs="Arial" w:eastAsia="Arial" w:hAnsi="Arial"/>
          <w:sz w:val="18"/>
          <w:szCs w:val="18"/>
          <w:color w:val="auto"/>
        </w:rPr>
        <w:t>Pursuant to Rule 460 of the General Rules and Regulations of the Securities and Exchange Commission under the Securities Act of 1933, as amended, please be advised that there has been distributed or will be distributed to each underwriter or dealer who is reasonably anticipated to participate in the distribution of the security as many copies of the Company’s preliminary prospectus dated November 15, 2021 as appears to be reasonable to secure adequate distribution of the preliminary prospectus.</w:t>
      </w:r>
    </w:p>
    <w:p>
      <w:pPr>
        <w:spacing w:after="0" w:line="187" w:lineRule="exact"/>
        <w:rPr>
          <w:sz w:val="24"/>
          <w:szCs w:val="24"/>
          <w:color w:val="auto"/>
        </w:rPr>
      </w:pPr>
    </w:p>
    <w:p>
      <w:pPr>
        <w:ind w:firstLine="440"/>
        <w:spacing w:after="0" w:line="263" w:lineRule="auto"/>
        <w:rPr>
          <w:sz w:val="20"/>
          <w:szCs w:val="20"/>
          <w:color w:val="auto"/>
        </w:rPr>
      </w:pPr>
      <w:r>
        <w:rPr>
          <w:rFonts w:ascii="Arial" w:cs="Arial" w:eastAsia="Arial" w:hAnsi="Arial"/>
          <w:sz w:val="18"/>
          <w:szCs w:val="18"/>
          <w:color w:val="auto"/>
        </w:rPr>
        <w:t>The undersigned advise that they have complied with and will continue to comply with, and that they have been informed by the participating underwriters and dealers that they have complied with and will continue to comply with, the requirements of Rule 15c2-8 under the Securities Exchange Act of 1934, as amended.</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80"/>
          </w:cols>
          <w:pgMar w:left="440" w:top="233"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Will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Will Connolly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MD TMT ECM,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Bronson Kolde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Bronson Kolde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Mitzi M. Madrid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Mitzi M. Madrid Diaz</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Victoria Hale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right"/>
        <w:ind w:right="2399"/>
        <w:spacing w:after="0"/>
        <w:rPr>
          <w:sz w:val="20"/>
          <w:szCs w:val="20"/>
          <w:color w:val="auto"/>
        </w:rPr>
      </w:pPr>
      <w:r>
        <w:rPr>
          <w:rFonts w:ascii="Arial" w:cs="Arial" w:eastAsia="Arial" w:hAnsi="Arial"/>
          <w:sz w:val="18"/>
          <w:szCs w:val="18"/>
          <w:i w:val="1"/>
          <w:iCs w:val="1"/>
          <w:color w:val="auto"/>
        </w:rPr>
        <w:t>[Signature Page to Acceleration Request by Underwriters]</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2021-12-16T23:08:11Z</dcterms:created>
  <dcterms:modified xsi:type="dcterms:W3CDTF">2021-12-16T23:08:11Z</dcterms:modified>
</cp:coreProperties>
</file>