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September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7" w:lineRule="exact"/>
        <w:rPr>
          <w:sz w:val="24"/>
          <w:szCs w:val="24"/>
          <w:color w:val="auto"/>
        </w:rPr>
      </w:pPr>
    </w:p>
    <w:tbl>
      <w:tblPr>
        <w:tblLayout w:type="fixed"/>
        <w:tblInd w:w="1420" w:type="dxa"/>
        <w:tblCellMar>
          <w:top w:w="0" w:type="dxa"/>
          <w:left w:w="0" w:type="dxa"/>
          <w:bottom w:w="0" w:type="dxa"/>
          <w:right w:w="0" w:type="dxa"/>
        </w:tblCellMar>
      </w:tblPr>
      <w:tr>
        <w:trPr>
          <w:trHeight w:val="534"/>
        </w:trPr>
        <w:tc>
          <w:tcPr>
            <w:tcW w:w="1320" w:type="dxa"/>
            <w:vAlign w:val="bottom"/>
          </w:tcPr>
          <w:p>
            <w:pPr>
              <w:spacing w:after="0"/>
              <w:rPr>
                <w:sz w:val="24"/>
                <w:szCs w:val="24"/>
                <w:color w:val="auto"/>
              </w:rPr>
            </w:pPr>
          </w:p>
        </w:tc>
        <w:tc>
          <w:tcPr>
            <w:tcW w:w="7120" w:type="dxa"/>
            <w:vAlign w:val="bottom"/>
            <w:gridSpan w:val="3"/>
          </w:tcPr>
          <w:p>
            <w:pPr>
              <w:jc w:val="center"/>
              <w:ind w:right="1293"/>
              <w:spacing w:after="0"/>
              <w:rPr>
                <w:sz w:val="20"/>
                <w:szCs w:val="20"/>
                <w:color w:val="auto"/>
              </w:rPr>
            </w:pPr>
            <w:r>
              <w:rPr>
                <w:rFonts w:ascii="Times New Roman" w:cs="Times New Roman" w:eastAsia="Times New Roman" w:hAnsi="Times New Roman"/>
                <w:sz w:val="43"/>
                <w:szCs w:val="43"/>
                <w:b w:val="1"/>
                <w:bCs w:val="1"/>
                <w:color w:val="auto"/>
              </w:rPr>
              <w:t>Definitive Healthcare Corp.</w:t>
            </w: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r>
      <w:tr>
        <w:trPr>
          <w:trHeight w:val="203"/>
        </w:trPr>
        <w:tc>
          <w:tcPr>
            <w:tcW w:w="1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3120" w:type="dxa"/>
            <w:vAlign w:val="bottom"/>
          </w:tcPr>
          <w:p>
            <w:pPr>
              <w:spacing w:after="0"/>
              <w:rPr>
                <w:sz w:val="17"/>
                <w:szCs w:val="17"/>
                <w:color w:val="auto"/>
              </w:rPr>
            </w:pPr>
          </w:p>
        </w:tc>
      </w:tr>
      <w:tr>
        <w:trPr>
          <w:trHeight w:val="426"/>
        </w:trPr>
        <w:tc>
          <w:tcPr>
            <w:tcW w:w="1320" w:type="dxa"/>
            <w:vAlign w:val="bottom"/>
          </w:tcPr>
          <w:p>
            <w:pPr>
              <w:spacing w:after="0"/>
              <w:rPr>
                <w:sz w:val="24"/>
                <w:szCs w:val="24"/>
                <w:color w:val="auto"/>
              </w:rPr>
            </w:pPr>
          </w:p>
        </w:tc>
        <w:tc>
          <w:tcPr>
            <w:tcW w:w="7120" w:type="dxa"/>
            <w:vAlign w:val="bottom"/>
            <w:gridSpan w:val="3"/>
          </w:tcPr>
          <w:p>
            <w:pPr>
              <w:jc w:val="center"/>
              <w:ind w:right="1293"/>
              <w:spacing w:after="0"/>
              <w:rPr>
                <w:sz w:val="20"/>
                <w:szCs w:val="20"/>
                <w:color w:val="auto"/>
              </w:rPr>
            </w:pPr>
            <w:r>
              <w:rPr>
                <w:rFonts w:ascii="Times New Roman" w:cs="Times New Roman" w:eastAsia="Times New Roman" w:hAnsi="Times New Roman"/>
                <w:sz w:val="18"/>
                <w:szCs w:val="18"/>
                <w:b w:val="1"/>
                <w:bCs w:val="1"/>
                <w:color w:val="auto"/>
              </w:rPr>
              <w:t>Commission File Number 001-40815</w:t>
            </w:r>
          </w:p>
        </w:tc>
      </w:tr>
      <w:tr>
        <w:trPr>
          <w:trHeight w:val="456"/>
        </w:trPr>
        <w:tc>
          <w:tcPr>
            <w:tcW w:w="1320" w:type="dxa"/>
            <w:vAlign w:val="bottom"/>
          </w:tcPr>
          <w:p>
            <w:pPr>
              <w:jc w:val="center"/>
              <w:ind w:right="24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120" w:type="dxa"/>
            <w:vAlign w:val="bottom"/>
            <w:gridSpan w:val="3"/>
          </w:tcPr>
          <w:p>
            <w:pPr>
              <w:jc w:val="center"/>
              <w:ind w:left="5986"/>
              <w:spacing w:after="0"/>
              <w:rPr>
                <w:sz w:val="20"/>
                <w:szCs w:val="20"/>
                <w:color w:val="auto"/>
              </w:rPr>
            </w:pPr>
            <w:r>
              <w:rPr>
                <w:rFonts w:ascii="Times New Roman" w:cs="Times New Roman" w:eastAsia="Times New Roman" w:hAnsi="Times New Roman"/>
                <w:sz w:val="18"/>
                <w:szCs w:val="18"/>
                <w:b w:val="1"/>
                <w:bCs w:val="1"/>
                <w:color w:val="auto"/>
              </w:rPr>
              <w:t>86-3988281</w:t>
            </w:r>
          </w:p>
        </w:tc>
      </w:tr>
      <w:tr>
        <w:trPr>
          <w:trHeight w:val="149"/>
        </w:trPr>
        <w:tc>
          <w:tcPr>
            <w:tcW w:w="1320" w:type="dxa"/>
            <w:vAlign w:val="bottom"/>
          </w:tcPr>
          <w:p>
            <w:pPr>
              <w:jc w:val="center"/>
              <w:ind w:right="245"/>
              <w:spacing w:after="0"/>
              <w:rPr>
                <w:sz w:val="20"/>
                <w:szCs w:val="20"/>
                <w:color w:val="auto"/>
              </w:rPr>
            </w:pPr>
            <w:r>
              <w:rPr>
                <w:rFonts w:ascii="Times New Roman" w:cs="Times New Roman" w:eastAsia="Times New Roman" w:hAnsi="Times New Roman"/>
                <w:sz w:val="13"/>
                <w:szCs w:val="13"/>
                <w:b w:val="1"/>
                <w:bCs w:val="1"/>
                <w:color w:val="auto"/>
                <w:w w:val="98"/>
              </w:rPr>
              <w:t>(State</w:t>
            </w:r>
          </w:p>
        </w:tc>
        <w:tc>
          <w:tcPr>
            <w:tcW w:w="17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120" w:type="dxa"/>
            <w:vAlign w:val="bottom"/>
          </w:tcPr>
          <w:p>
            <w:pPr>
              <w:jc w:val="center"/>
              <w:ind w:left="2013"/>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56"/>
        </w:trPr>
        <w:tc>
          <w:tcPr>
            <w:tcW w:w="1320" w:type="dxa"/>
            <w:vAlign w:val="bottom"/>
          </w:tcPr>
          <w:p>
            <w:pPr>
              <w:jc w:val="center"/>
              <w:ind w:right="245"/>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17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120" w:type="dxa"/>
            <w:vAlign w:val="bottom"/>
          </w:tcPr>
          <w:p>
            <w:pPr>
              <w:jc w:val="center"/>
              <w:ind w:left="1993"/>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230"/>
        </w:trPr>
        <w:tc>
          <w:tcPr>
            <w:tcW w:w="1320" w:type="dxa"/>
            <w:vAlign w:val="bottom"/>
          </w:tcPr>
          <w:p>
            <w:pPr>
              <w:spacing w:after="0"/>
              <w:rPr>
                <w:sz w:val="19"/>
                <w:szCs w:val="19"/>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8"/>
                <w:szCs w:val="18"/>
                <w:b w:val="1"/>
                <w:bCs w:val="1"/>
                <w:color w:val="auto"/>
                <w:w w:val="99"/>
              </w:rPr>
              <w:t>492 Old Connecticut Path, Suite 401</w:t>
            </w:r>
          </w:p>
        </w:tc>
      </w:tr>
      <w:tr>
        <w:trPr>
          <w:trHeight w:val="238"/>
        </w:trPr>
        <w:tc>
          <w:tcPr>
            <w:tcW w:w="1320" w:type="dxa"/>
            <w:vAlign w:val="bottom"/>
          </w:tcPr>
          <w:p>
            <w:pPr>
              <w:spacing w:after="0"/>
              <w:rPr>
                <w:sz w:val="20"/>
                <w:szCs w:val="20"/>
                <w:color w:val="auto"/>
              </w:rPr>
            </w:pPr>
          </w:p>
        </w:tc>
        <w:tc>
          <w:tcPr>
            <w:tcW w:w="7120" w:type="dxa"/>
            <w:vAlign w:val="bottom"/>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Framingham, Massachusetts 01701</w:t>
            </w:r>
          </w:p>
        </w:tc>
      </w:tr>
      <w:tr>
        <w:trPr>
          <w:trHeight w:val="215"/>
        </w:trPr>
        <w:tc>
          <w:tcPr>
            <w:tcW w:w="1320" w:type="dxa"/>
            <w:vAlign w:val="bottom"/>
          </w:tcPr>
          <w:p>
            <w:pPr>
              <w:spacing w:after="0"/>
              <w:rPr>
                <w:sz w:val="18"/>
                <w:szCs w:val="18"/>
                <w:color w:val="auto"/>
              </w:rPr>
            </w:pPr>
          </w:p>
        </w:tc>
        <w:tc>
          <w:tcPr>
            <w:tcW w:w="7120" w:type="dxa"/>
            <w:vAlign w:val="bottom"/>
            <w:gridSpan w:val="3"/>
          </w:tcPr>
          <w:p>
            <w:pPr>
              <w:jc w:val="center"/>
              <w:ind w:right="1313"/>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r>
      <w:tr>
        <w:trPr>
          <w:trHeight w:val="456"/>
        </w:trPr>
        <w:tc>
          <w:tcPr>
            <w:tcW w:w="1320" w:type="dxa"/>
            <w:vAlign w:val="bottom"/>
          </w:tcPr>
          <w:p>
            <w:pPr>
              <w:spacing w:after="0"/>
              <w:rPr>
                <w:sz w:val="24"/>
                <w:szCs w:val="24"/>
                <w:color w:val="auto"/>
              </w:rPr>
            </w:pPr>
          </w:p>
        </w:tc>
        <w:tc>
          <w:tcPr>
            <w:tcW w:w="4000" w:type="dxa"/>
            <w:vAlign w:val="bottom"/>
            <w:gridSpan w:val="2"/>
          </w:tcPr>
          <w:p>
            <w:pPr>
              <w:jc w:val="center"/>
              <w:ind w:left="1666"/>
              <w:spacing w:after="0"/>
              <w:rPr>
                <w:sz w:val="20"/>
                <w:szCs w:val="20"/>
                <w:color w:val="auto"/>
              </w:rPr>
            </w:pPr>
            <w:r>
              <w:rPr>
                <w:rFonts w:ascii="Times New Roman" w:cs="Times New Roman" w:eastAsia="Times New Roman" w:hAnsi="Times New Roman"/>
                <w:sz w:val="18"/>
                <w:szCs w:val="18"/>
                <w:b w:val="1"/>
                <w:bCs w:val="1"/>
                <w:color w:val="auto"/>
                <w:w w:val="99"/>
              </w:rPr>
              <w:t>(508) 720-4224</w:t>
            </w:r>
          </w:p>
        </w:tc>
        <w:tc>
          <w:tcPr>
            <w:tcW w:w="3120" w:type="dxa"/>
            <w:vAlign w:val="bottom"/>
          </w:tcPr>
          <w:p>
            <w:pPr>
              <w:spacing w:after="0"/>
              <w:rPr>
                <w:sz w:val="24"/>
                <w:szCs w:val="24"/>
                <w:color w:val="auto"/>
              </w:rPr>
            </w:pP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293"/>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tc>
      </w:tr>
      <w:tr>
        <w:trPr>
          <w:trHeight w:val="591"/>
        </w:trPr>
        <w:tc>
          <w:tcPr>
            <w:tcW w:w="1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380" w:type="dxa"/>
            <w:vAlign w:val="bottom"/>
            <w:gridSpan w:val="2"/>
          </w:tcPr>
          <w:p>
            <w:pPr>
              <w:jc w:val="center"/>
              <w:ind w:right="3033"/>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137160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6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5" w:lineRule="exact"/>
        <w:rPr>
          <w:sz w:val="24"/>
          <w:szCs w:val="24"/>
          <w:color w:val="auto"/>
        </w:rPr>
      </w:pPr>
    </w:p>
    <w:tbl>
      <w:tblPr>
        <w:tblLayout w:type="fixed"/>
        <w:tblInd w:w="86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100" w:type="dxa"/>
            <w:vAlign w:val="bottom"/>
          </w:tcPr>
          <w:p>
            <w:pPr>
              <w:spacing w:after="0"/>
              <w:rPr>
                <w:sz w:val="12"/>
                <w:szCs w:val="12"/>
                <w:color w:val="auto"/>
              </w:rPr>
            </w:pPr>
          </w:p>
        </w:tc>
        <w:tc>
          <w:tcPr>
            <w:tcW w:w="3360" w:type="dxa"/>
            <w:vAlign w:val="bottom"/>
          </w:tcPr>
          <w:p>
            <w:pPr>
              <w:spacing w:after="0"/>
              <w:rPr>
                <w:sz w:val="12"/>
                <w:szCs w:val="12"/>
                <w:color w:val="auto"/>
              </w:rPr>
            </w:pPr>
          </w:p>
        </w:tc>
      </w:tr>
      <w:tr>
        <w:trPr>
          <w:trHeight w:val="17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Symbol</w:t>
            </w:r>
          </w:p>
        </w:tc>
        <w:tc>
          <w:tcPr>
            <w:tcW w:w="100" w:type="dxa"/>
            <w:vAlign w:val="bottom"/>
          </w:tcPr>
          <w:p>
            <w:pPr>
              <w:spacing w:after="0"/>
              <w:rPr>
                <w:sz w:val="15"/>
                <w:szCs w:val="15"/>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32"/>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 $0.001 par value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DH</w:t>
            </w:r>
          </w:p>
        </w:tc>
        <w:tc>
          <w:tcPr>
            <w:tcW w:w="10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21"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6"/>
          <w:szCs w:val="16"/>
          <w:color w:val="auto"/>
        </w:rPr>
        <w:t>☐</w:t>
      </w:r>
    </w:p>
    <w:p>
      <w:pPr>
        <w:spacing w:after="0" w:line="16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05" w:right="499" w:bottom="1440" w:gutter="0" w:footer="0" w:header="0"/>
        </w:sectPr>
      </w:pPr>
    </w:p>
    <w:bookmarkStart w:id="1" w:name="page2"/>
    <w:bookmarkEnd w:id="1"/>
    <w:p>
      <w:pPr>
        <w:spacing w:after="0" w:line="1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On September 29, 2024, the Board of Directors (the “Board”) of Definitive Healthcare Corp. (the “Company”) promoted Kate Shamsuddin Jensen, the Company’s current Chief Strategy Officer, to the role of Chief Operating Officer, effective as of October 1, 2024 (the “Effective Date”).</w:t>
      </w:r>
    </w:p>
    <w:p>
      <w:pPr>
        <w:spacing w:after="0" w:line="5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Ms. Shamsuddin Jensen, age 38, has served as the Company’s Chief Strategy Officer since May 2024 and as Chief Product Officer from January 2020 to May 2024. Prior to that, Ms. Shamsuddin Jensen served as the Company’s Senior Vice President of Strategy from January 2018 to December 2019, Vice President of Strategy from September 2016 to December 2017, and Director of Product Strategy from February 2015 to September 2016. Prior to joining the Company, Ms. Shamsuddin Jensen worked in strategic services at Blue Cross Blue Shield Association, a national association of 30+ independent, community-based, and locally operated Blue Cross Blue Shield companies. At Blue Cross Blue Shield Association, Ms. Shamsuddin Jensen developed strategic initiatives and products to use across all of the Blue Cross Blue Shield companies. Ms. Shamsuddin Jensen holds a B.A. in Anthropology and Global Health from Emory University and an M.S. in Health Policy and Management from Harvard University School of Public Health.</w:t>
      </w:r>
    </w:p>
    <w:p>
      <w:pPr>
        <w:spacing w:after="0" w:line="81" w:lineRule="exact"/>
        <w:rPr>
          <w:sz w:val="20"/>
          <w:szCs w:val="20"/>
          <w:color w:val="auto"/>
        </w:rPr>
      </w:pPr>
    </w:p>
    <w:p>
      <w:pPr>
        <w:ind w:right="280" w:firstLine="509"/>
        <w:spacing w:after="0" w:line="312" w:lineRule="auto"/>
        <w:rPr>
          <w:sz w:val="20"/>
          <w:szCs w:val="20"/>
          <w:color w:val="auto"/>
        </w:rPr>
      </w:pPr>
      <w:r>
        <w:rPr>
          <w:rFonts w:ascii="Times New Roman" w:cs="Times New Roman" w:eastAsia="Times New Roman" w:hAnsi="Times New Roman"/>
          <w:sz w:val="17"/>
          <w:szCs w:val="17"/>
          <w:color w:val="auto"/>
        </w:rPr>
        <w:t>In connection with Ms. Shamsuddin Jensen’s promotion to Chief Operating Officer, she will receive, effective as of the Effective Date, an annual base salary of $360,000 and will be eligible to receive an annual performance-based cash bonus with a target opportunity of 60% of her base salary.</w:t>
      </w:r>
    </w:p>
    <w:p>
      <w:pPr>
        <w:spacing w:after="0" w:line="3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Board granted 113,379 time-vesting restricted stock units (“RSUs”) to Ms. Shamsuddin Jensen, valued at $500,000, in accordance with the Company’s 2021 Equity Incentive Plan. One-half of such RSUs will vest on each of the first and second anniversaries of the Effective Date, subject to Ms. Shamsuddin Jensen’s continued service through each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DEFINITIVE HEALTHCARE CORP.</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Booth</w:t>
            </w:r>
          </w:p>
        </w:tc>
      </w:tr>
      <w:tr>
        <w:trPr>
          <w:trHeight w:val="21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Booth</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765" w:right="7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2024-10-01T15:20:59Z</dcterms:created>
  <dcterms:modified xsi:type="dcterms:W3CDTF">2024-10-01T15:20:59Z</dcterms:modified>
</cp:coreProperties>
</file>