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50224.htm"/>
      <w:bookmarkStart w:id="1" w:name="ksdh20250224"/>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February 24, 2025</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February 27, 2025, Definitive Healthcare Corp. (the “Company”) issued a press release announcing its financial results for the fourth quarter and fiscal year ended December 31, 2024. A copy of the press release is furnished as Exhibit 99.1 to this Current Report on Form 8-K and is incorporated by reference herein.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bidi w:val="0"/>
        <w:spacing w:before="360" w:after="240"/>
        <w:jc w:val="both"/>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On February 24, 2025, the Board of Directors (the “Board”) of the Company appointed Casey Heller to the position of Chief Financial Officer (“CFO”) effective June 2, 2025. The Company previously announced that Richard Booth, the Company’s current CFO, would be departing the Company effective June 1, 2025.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Ms. Heller, age 36, currently serves as the Company’s SVP of Finance, a role she has occupied since October 2024, having previously served as the Company’s VP of FP&amp;A from January 2024 to October 2024. Before joining the Company, Ms. Heller spent 15 years in Finance at IBM between July 2009 and December 2023, holding progressive leadership roles across broad financial disciplines, including serving as VP of Investor Relations from August 2023 to December 2023, Director of Investor Relations from February 2022 to August 2023, and Director of Treasury Strategy from June 2019 to March 2022. During her time at IBM, Ms. Heller also served as the Chief of Staff to IBM’s CFO, led FP&amp;A for the software business, was responsible for overall IBM forecasting, and was selected to help support strategic transactions, including the spin-off of IBM’s managed infrastructure services businesses and deleveraging after the Red Hat acquisition. Ms. Heller holds a B.S. in Business Administration with a concentration in Finance from Marist College. </w:t>
      </w:r>
    </w:p>
    <w:p>
      <w:pPr>
        <w:pStyle w:val="TextBody"/>
        <w:bidi w:val="0"/>
        <w:spacing w:before="120" w:after="120"/>
        <w:jc w:val="both"/>
        <w:rPr>
          <w:rFonts w:ascii="Times New Roman" w:hAnsi="Times New Roman"/>
          <w:sz w:val="20"/>
        </w:rPr>
      </w:pPr>
      <w:r>
        <w:rPr>
          <w:rFonts w:ascii="Times New Roman" w:hAnsi="Times New Roman"/>
          <w:color w:val="000000"/>
          <w:sz w:val="20"/>
          <w:u w:val="single"/>
        </w:rPr>
        <w:t>Heller Promotion Offer Letter</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connection with Ms. Heller’s appointment as CFO, the Company entered into a promotion offer letter with Ms. Heller, dated as of February 24, 2025 (the “Offer Letter”). Pursuant to the terms of the Offer Letter, Ms. Heller is entitled to, among other things, in each case effective as of June 2, 2025, (i) an initial annual base salary of $375,000, (ii) a target bonus opportunity of 60% of her base salary, subject to the Company’s Cash Incentive Plan for Executives, to be pro-rated to account for base salary and bonus opportunity applicable during 2025, (iii) certain severance benefits as offset forth in the Offer Letter, (iv) an award of time-vesting restricted stock units (“RSUs”) (the “Initial Promotion RSUs”) with respect to the Company’s Class A Common Stock, par value $0.001 per share (the “Class A Common Stock”), and (v) an award of RSUs (the “Annual RSUs”) and performance-based restricted stock units (“PSUs”) (the “Annual PSUs”) consistent with annual equity awards issued to similarly-situated executives of the Company (together, the “Initial Annual Awards”). The Initial Promotion RSUs and the Initial Annual Awards will all be issued pursuant to the Company’s 2021 Equity Incentive Plan (the “2021 Plan”).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Initial Promotion RSUs will have a target value at grant of $1,500,000, and the number of RSUs subject to the Initial Promotion RSUs will be determined by dividing such grant value by the average closing price of a share of Common Stock for the thirty (30) trading days preceding (but not including) June 2, 2025, rounded up to the nearest whole share. The RSUs subject to the Initial Promotion RSUs will vest over two years with the first vest of 50% occurring on the first of the month on which the 1-year anniversary of the CFO start date falls (i.e., June 1, 2026), with the remaining shares vesting quarterly in approximately equal installments thereafter.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Annual RSUs will have a target value at grant of $1,462,500 and the Annual PSUs will have a target value at grant of $787,500. The actual number of RSUs or PSUs (at target), as applicable, subject to the Initial Annual Awards, will be determined by dividing such estimated value by the average closing price of a share of Common Stock for the thirty (30) trading days preceding (but not including) the date of grant, rounded up to the nearest whole share. The Initial Annual Awards will be granted to Ms. Heller on the later of (a) the date on which 2025 annual equity awards are granted to other similarly situated executives; and (b) a date that is on or promptly following June 2, 2025. The Annual RSUs will vest over a four-year period with 25% vesting after 1 year and then quarterly vesting thereafter over the remaining 3 years. The Annual PSUs will be subject to, and will vest in accordance with, the terms of 2025 annual performance-based equity awards established by the Board or the Human Capital Management &amp; Compensation Committee of the Board for issuance to other similarly-situated executive officers of the Company.</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Pursuant to Ms. Heller’s Offer Letter, she is entitled to certain severance benefits, as provided by the Company’s Severance Plan for Executives (Exhibit 10.1 to the Company’s Current Report on Form 8-K (File No. 001-40815) filed with the SEC on November 21, 2023), as modified by the terms of the Offer Letter, and the Company’s Change in Control Severance Plan for Executives (Exhibit 10.36 to the Company's Annual Report on Form 10-K (File No. 001-40815) filed with the SEC on February 27, 2023).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we terminate Ms. Heller’s employment without cause (as defined in the Offer Letter) and other than as a result of death or disability, or Ms. Heller terminates his employment for good reason (as defined in the Offer Letter) then we must provide Ms. Heller with (i) continuation of regular payments of salary at the rate in effect on the date of termination for a period of twelve months from the date of termination of employment, payable in accordance with our regular payroll schedule; (ii) payment of any unpaid amount of the annual bonus for the immediately preceding calendar year that Ms. Heller would have earned in accordance with the Bonus Plan had the termination not occurred, plus an amount equal to the target annual bonus to be earned by Ms. Heller during the year in which the termination occurs, payable in a lump sum; (iii) acceleration of the vesting of all forms of time-based equity awarded to Ms. Heller by the Company at any time, that would otherwise have vested during the twelve-month period following the termination date, and (iv) payment for twelve months of COBRA coverage, if applicable.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Ms. Heller is eligible for reimbursement of certain expenses and will be entitled to participate in the Company’s benefit plans that are generally available to the Company’s executive employees. Ms. Heller’s Offer Letter also entitles her to payment of up to $10,000 in legal fees in connection with the negotiation of her Offer Letter. Ms. Heller will also enter into the Company’s standard form of indemnity agreement in the form previously approved by the Board, which form is filed as Exhibit 10.6 to the Company’s Registration Statement on Form S-1 (File No. 333-258990) filed with the SEC on August 20, 2021.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foregoing summary is not a complete description and is qualified in its entirety by reference to the full text and terms of the Offer Letter, which is filed as Exhibit 10.1 to this Current Report on Form 8-K and is incorporated by reference herein.</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dh-ex10_1.htm">
              <w:r>
                <w:rPr>
                  <w:rStyle w:val="InternetLink"/>
                  <w:rFonts w:ascii="Times New Roman" w:hAnsi="Times New Roman"/>
                  <w:color w:val="0000FF"/>
                  <w:sz w:val="20"/>
                  <w:u w:val="single"/>
                </w:rPr>
                <w:t>Offer Letter, dated February 24, 2025, by and among Casey Heller, Definitive Healthcare Corp. and Definitive Healthcare, LLC.</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dh-ex99_1.htm">
              <w:r>
                <w:rPr>
                  <w:rStyle w:val="InternetLink"/>
                  <w:rFonts w:ascii="Times New Roman" w:hAnsi="Times New Roman"/>
                  <w:color w:val="0000FF"/>
                  <w:sz w:val="20"/>
                  <w:u w:val="single"/>
                </w:rPr>
                <w:t>Press Release Dated February 27, 2025 (furnished herewith pursuant to Item 2.02)</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150" w:type="dxa"/>
        <w:jc w:val="left"/>
        <w:tblInd w:w="0" w:type="dxa"/>
        <w:tblLayout w:type="fixed"/>
        <w:tblCellMar>
          <w:top w:w="28" w:type="dxa"/>
          <w:left w:w="28" w:type="dxa"/>
          <w:bottom w:w="28" w:type="dxa"/>
          <w:right w:w="28" w:type="dxa"/>
        </w:tblCellMar>
      </w:tblPr>
      <w:tblGrid>
        <w:gridCol w:w="726"/>
        <w:gridCol w:w="2210"/>
        <w:gridCol w:w="214"/>
      </w:tblGrid>
      <w:tr>
        <w:trPr/>
        <w:tc>
          <w:tcPr>
            <w:tcW w:w="72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0"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dh-ex10_1.htm"/>
      <w:bookmarkStart w:id="3" w:name="ksdhex10_1"/>
      <w:bookmarkEnd w:id="2"/>
      <w:bookmarkEnd w:id="3"/>
      <w:r>
        <w:rPr>
          <w:rFonts w:ascii="Times New Roman" w:hAnsi="Times New Roman"/>
          <w:b/>
          <w:color w:val="000000"/>
          <w:sz w:val="22"/>
        </w:rPr>
        <w:t>Exhibit 10.1</w:t>
      </w:r>
      <w:r>
        <w:br w:type="page"/>
      </w:r>
    </w:p>
    <w:p>
      <w:pPr>
        <w:pStyle w:val="TextBody"/>
        <w:bidi w:val="0"/>
        <w:spacing w:before="240" w:after="283"/>
        <w:jc w:val="left"/>
        <w:rPr/>
      </w:pPr>
      <w:r>
        <w:rPr/>
        <w:t> </w:t>
      </w:r>
    </w:p>
    <w:p>
      <w:pPr>
        <w:pStyle w:val="TextBody"/>
        <w:bidi w:val="0"/>
        <w:spacing w:before="0" w:after="160"/>
        <w:jc w:val="left"/>
        <w:rPr/>
      </w:pPr>
      <w:bookmarkStart w:id="4" w:name="ole_link1"/>
      <w:bookmarkEnd w:id="4"/>
      <w:r>
        <w:rPr/>
        <w:drawing>
          <wp:inline distT="0" distB="0" distL="0" distR="0">
            <wp:extent cx="197167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400050"/>
                    </a:xfrm>
                    <a:prstGeom prst="rect">
                      <a:avLst/>
                    </a:prstGeom>
                  </pic:spPr>
                </pic:pic>
              </a:graphicData>
            </a:graphic>
          </wp:inline>
        </w:drawing>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February 24, 2025</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Casey Heller</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Dear Casey:</w:t>
      </w:r>
    </w:p>
    <w:p>
      <w:pPr>
        <w:pStyle w:val="TextBody"/>
        <w:bidi w:val="0"/>
        <w:spacing w:before="0" w:after="160"/>
        <w:jc w:val="both"/>
        <w:rPr>
          <w:rFonts w:ascii="Times New Roman" w:hAnsi="Times New Roman"/>
          <w:sz w:val="20"/>
        </w:rPr>
      </w:pPr>
      <w:r>
        <w:rPr>
          <w:rFonts w:ascii="Times New Roman" w:hAnsi="Times New Roman"/>
          <w:color w:val="000000"/>
          <w:sz w:val="22"/>
        </w:rPr>
        <w:t>We are thrilled to present you with the following letter outlining an offer to of promotion to the role of Chief Financial Officer of Definitive Healthcare, LLC, a Massachusetts limited liability company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its parent company, Definitive Healthcare Corp., a Delaware corporation (“</w:t>
      </w:r>
      <w:r>
        <w:rPr>
          <w:rFonts w:ascii="Times New Roman" w:hAnsi="Times New Roman"/>
          <w:color w:val="000000"/>
          <w:sz w:val="22"/>
          <w:u w:val="single"/>
        </w:rPr>
        <w:t>Parent</w:t>
      </w:r>
      <w:r>
        <w:rPr>
          <w:rFonts w:ascii="Times New Roman" w:hAnsi="Times New Roman"/>
          <w:color w:val="000000"/>
          <w:sz w:val="20"/>
        </w:rPr>
        <w:t>”</w:t>
      </w:r>
      <w:r>
        <w:rPr>
          <w:rFonts w:ascii="Times New Roman" w:hAnsi="Times New Roman"/>
          <w:color w:val="000000"/>
          <w:sz w:val="22"/>
        </w:rPr>
        <w:t>, and together with the Company, the “</w:t>
      </w:r>
      <w:r>
        <w:rPr>
          <w:rFonts w:ascii="Times New Roman" w:hAnsi="Times New Roman"/>
          <w:color w:val="000000"/>
          <w:sz w:val="22"/>
          <w:u w:val="single"/>
        </w:rPr>
        <w:t>Company Group</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Definitive Healthcare</w:t>
      </w:r>
      <w:r>
        <w:rPr>
          <w:rFonts w:ascii="Times New Roman" w:hAnsi="Times New Roman"/>
          <w:color w:val="000000"/>
          <w:sz w:val="20"/>
        </w:rPr>
        <w:t>”</w:t>
      </w:r>
      <w:r>
        <w:rPr>
          <w:rFonts w:ascii="Times New Roman" w:hAnsi="Times New Roman"/>
          <w:color w:val="000000"/>
          <w:sz w:val="22"/>
        </w:rPr>
        <w:t>). The effective date of your promotion will be June 2, 2025</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Start Date</w:t>
      </w:r>
      <w:r>
        <w:rPr>
          <w:rFonts w:ascii="Times New Roman" w:hAnsi="Times New Roman"/>
          <w:color w:val="000000"/>
          <w:sz w:val="20"/>
        </w:rPr>
        <w:t>”</w:t>
      </w:r>
      <w:r>
        <w:rPr>
          <w:rFonts w:ascii="Times New Roman" w:hAnsi="Times New Roman"/>
          <w:color w:val="000000"/>
          <w:sz w:val="22"/>
        </w:rPr>
        <w:t>). In this role, you will continue to be a hybrid employee based out of our Framingham, Massachusetts headquarters.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This role is considered exempt, and effective on the Start Date, your compensation package will comprise the following:</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Your initial annual base salary will be $375,000, paid according to Definitive Healthcare’s bi-weekly payroll practices.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You will be eligible to participate in the annual corporate bonus plan for executives for the 2025 fiscal year with a target of 60% of your base salary. While the plan is subject to change, details of the current plan are outlined in the Corporate Bonus Program document which has been provided to you. The bonus will be pro-rated based on the amount of time worked in the role, and applicable base salary and target bonus opportunity, during the applicable period.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160"/>
        <w:jc w:val="both"/>
        <w:rPr/>
      </w:pPr>
      <w:r>
        <w:rPr>
          <w:rFonts w:ascii="Times New Roman" w:hAnsi="Times New Roman"/>
          <w:color w:val="000000"/>
          <w:sz w:val="22"/>
        </w:rPr>
        <w:t>Subject to the approval of the Section 16b Sub-Committee of the Human Capital Management and Compensation Committee, or independent members of the Board of Directors of Parent (as applicable, the “</w:t>
      </w:r>
      <w:r>
        <w:rPr>
          <w:rFonts w:ascii="Times New Roman" w:hAnsi="Times New Roman"/>
          <w:color w:val="000000"/>
          <w:sz w:val="22"/>
          <w:u w:val="single"/>
        </w:rPr>
        <w:t>Approving Body</w:t>
      </w:r>
      <w:r>
        <w:rPr>
          <w:color w:val="000000"/>
        </w:rPr>
        <w:t>”</w:t>
      </w:r>
      <w:r>
        <w:rPr>
          <w:rFonts w:ascii="Times New Roman" w:hAnsi="Times New Roman"/>
          <w:color w:val="000000"/>
          <w:sz w:val="22"/>
        </w:rPr>
        <w:t xml:space="preserv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60"/>
        <w:jc w:val="both"/>
        <w:rPr/>
      </w:pPr>
      <w:r>
        <w:rPr>
          <w:rFonts w:ascii="Times New Roman" w:hAnsi="Times New Roman"/>
          <w:color w:val="000000"/>
          <w:sz w:val="22"/>
        </w:rPr>
        <w:t>You will receive, on or promptly following the Start Date, an award of Restricted Stock Units (“</w:t>
      </w:r>
      <w:r>
        <w:rPr>
          <w:rFonts w:ascii="Times New Roman" w:hAnsi="Times New Roman"/>
          <w:color w:val="000000"/>
          <w:sz w:val="22"/>
          <w:u w:val="single"/>
        </w:rPr>
        <w:t>RSUs</w:t>
      </w:r>
      <w:r>
        <w:rPr>
          <w:color w:val="000000"/>
        </w:rPr>
        <w:t>”</w:t>
      </w:r>
      <w:r>
        <w:rPr>
          <w:rFonts w:ascii="Times New Roman" w:hAnsi="Times New Roman"/>
          <w:color w:val="000000"/>
          <w:sz w:val="22"/>
        </w:rPr>
        <w:t>) with respect to shares of Parent’s Class A common stock (“</w:t>
      </w:r>
      <w:r>
        <w:rPr>
          <w:rFonts w:ascii="Times New Roman" w:hAnsi="Times New Roman"/>
          <w:color w:val="000000"/>
          <w:sz w:val="22"/>
          <w:u w:val="single"/>
        </w:rPr>
        <w:t>Common Stock</w:t>
      </w:r>
      <w:r>
        <w:rPr>
          <w:color w:val="000000"/>
        </w:rPr>
        <w:t>”</w:t>
      </w:r>
      <w:r>
        <w:rPr>
          <w:rFonts w:ascii="Times New Roman" w:hAnsi="Times New Roman"/>
          <w:color w:val="000000"/>
          <w:sz w:val="22"/>
        </w:rPr>
        <w:t>) with an aggregate estimated value of $1,500,000 (the “</w:t>
      </w:r>
      <w:r>
        <w:rPr>
          <w:rFonts w:ascii="Times New Roman" w:hAnsi="Times New Roman"/>
          <w:color w:val="000000"/>
          <w:sz w:val="22"/>
          <w:u w:val="single"/>
        </w:rPr>
        <w:t>Initial Promotion RSUs</w:t>
      </w:r>
      <w:r>
        <w:rPr>
          <w:color w:val="000000"/>
        </w:rPr>
        <w:t>”</w:t>
      </w:r>
      <w:r>
        <w:rPr>
          <w:rFonts w:ascii="Times New Roman" w:hAnsi="Times New Roman"/>
          <w:color w:val="000000"/>
          <w:sz w:val="22"/>
        </w:rPr>
        <w:t>). The actual number of RSUs subject to the Initial Promotion RSUs will be determined by dividing such estimated value by the average closing price of a share of Common Stock for the thirty (30) trading days preceding (but not including) the Start Date, rounded up to the nearest whole share. The Initial Promotion RSUs will vest over two years with the first vest of 50% occurring on the first of the month on which the 1-year anniversary of the Start Date falls (i.e., June 1, 2026), with the remaining shares vesting quarterly in approximately equal installments thereafter;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60"/>
        <w:jc w:val="both"/>
        <w:rPr/>
      </w:pPr>
      <w:r>
        <w:rPr>
          <w:rFonts w:ascii="Times New Roman" w:hAnsi="Times New Roman"/>
          <w:color w:val="000000"/>
          <w:sz w:val="22"/>
        </w:rPr>
        <w:t>In addition to the Initial Promotion RSUs, you will receive, on the later of (a) the date on which 2025 annual equity awards are granted to other similarly situated executives; and (b) a date that is on or promptly following the Start Date, annual executive equity awards with an aggregate estimated value of $2,250,000 (the “</w:t>
      </w:r>
      <w:r>
        <w:rPr>
          <w:rFonts w:ascii="Times New Roman" w:hAnsi="Times New Roman"/>
          <w:color w:val="000000"/>
          <w:sz w:val="22"/>
          <w:u w:val="single"/>
        </w:rPr>
        <w:t>Initial Annual Awards</w:t>
      </w:r>
      <w:r>
        <w:rPr>
          <w:color w:val="000000"/>
        </w:rPr>
        <w:t>”</w:t>
      </w:r>
      <w:r>
        <w:rPr>
          <w:rFonts w:ascii="Times New Roman" w:hAnsi="Times New Roman"/>
          <w:color w:val="000000"/>
          <w:sz w:val="22"/>
        </w:rPr>
        <w:t>). The value of the Initial Annual Awards will be allocated 65%, or $1,462,500 to time-based RSUs (the “</w:t>
      </w:r>
      <w:r>
        <w:rPr>
          <w:rFonts w:ascii="Times New Roman" w:hAnsi="Times New Roman"/>
          <w:color w:val="000000"/>
          <w:sz w:val="22"/>
          <w:u w:val="single"/>
        </w:rPr>
        <w:t>Annual RSUs</w:t>
      </w:r>
      <w:r>
        <w:rPr>
          <w:color w:val="000000"/>
        </w:rPr>
        <w:t>”</w:t>
      </w:r>
      <w:r>
        <w:rPr>
          <w:rFonts w:ascii="Times New Roman" w:hAnsi="Times New Roman"/>
          <w:color w:val="000000"/>
          <w:sz w:val="22"/>
        </w:rPr>
        <w:t>) and 35%, or $787,500 to performance-based restricted stock units (the “</w:t>
      </w:r>
      <w:r>
        <w:rPr>
          <w:rFonts w:ascii="Times New Roman" w:hAnsi="Times New Roman"/>
          <w:color w:val="000000"/>
          <w:sz w:val="22"/>
          <w:u w:val="single"/>
        </w:rPr>
        <w:t>Annual PSUs</w:t>
      </w:r>
      <w:r>
        <w:rPr>
          <w:color w:val="000000"/>
        </w:rPr>
        <w:t>”</w:t>
      </w:r>
      <w:r>
        <w:rPr>
          <w:rFonts w:ascii="Times New Roman" w:hAnsi="Times New Roman"/>
          <w:color w:val="000000"/>
          <w:sz w:val="22"/>
        </w:rPr>
        <w:t>). The actual number of shares subject to the Initial Annual Awards will be determined by dividing such estimated value by the average closing price of a share of Common Stock for the thirty (30) trading days preceding (but not including) the date of grant, rounded up to the nearest whole share. The Annual RSUs will vest over four years on the same terms as similarly situated executive officers (i.e., 1 year cliff with quarterly vesting thereafter). The Annual PSUs will be subject to the terms of 2025 annual performance-based equity awards established by the Approving Body for issuance to other similarly-situated executive officers of the Company.</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Each of the Initial Promotion RSUs and Initial Annual Awards shall be governed by the terms and conditions of Parent’s 2021 Equity Incentive Plan, and the relevant award agreements thereunder.</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Following 2025, you will be eligible to participate in our annual executive equity grant program subject to CEO and Approving Body approval.</w:t>
      </w:r>
    </w:p>
    <w:p>
      <w:pPr>
        <w:pStyle w:val="TextBody"/>
        <w:bidi w:val="0"/>
        <w:jc w:val="both"/>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160"/>
        <w:jc w:val="both"/>
        <w:rPr/>
      </w:pPr>
      <w:r>
        <w:rPr>
          <w:rFonts w:ascii="Times New Roman" w:hAnsi="Times New Roman"/>
          <w:color w:val="000000"/>
          <w:sz w:val="22"/>
        </w:rPr>
        <w:t>Subject to commencement of your Start Date and approval by the Approving Body, you will be eligible to participate in the (a) Definitive Healthcare Corp. Severance Plan for Executives (the “</w:t>
      </w:r>
      <w:r>
        <w:rPr>
          <w:rFonts w:ascii="Times New Roman" w:hAnsi="Times New Roman"/>
          <w:color w:val="000000"/>
          <w:sz w:val="22"/>
          <w:u w:val="single"/>
        </w:rPr>
        <w:t>Executive Severance Plan</w:t>
      </w:r>
      <w:r>
        <w:rPr>
          <w:color w:val="000000"/>
        </w:rPr>
        <w:t>”</w:t>
      </w:r>
      <w:r>
        <w:rPr>
          <w:rFonts w:ascii="Times New Roman" w:hAnsi="Times New Roman"/>
          <w:color w:val="000000"/>
          <w:sz w:val="22"/>
        </w:rPr>
        <w:t>); and (b) Definitive Healthcare Corp. Change in Control Severance Plan for Executives (the “</w:t>
      </w:r>
      <w:r>
        <w:rPr>
          <w:rFonts w:ascii="Times New Roman" w:hAnsi="Times New Roman"/>
          <w:color w:val="000000"/>
          <w:sz w:val="22"/>
          <w:u w:val="single"/>
        </w:rPr>
        <w:t>CiC Executive Severance Plan,</w:t>
      </w:r>
      <w:r>
        <w:rPr>
          <w:color w:val="000000"/>
        </w:rPr>
        <w:t xml:space="preserve">” </w:t>
      </w:r>
      <w:r>
        <w:rPr>
          <w:rFonts w:ascii="Times New Roman" w:hAnsi="Times New Roman"/>
          <w:color w:val="000000"/>
          <w:sz w:val="22"/>
        </w:rPr>
        <w:t>and together with the Executive Severance Plan, the “</w:t>
      </w:r>
      <w:r>
        <w:rPr>
          <w:rFonts w:ascii="Times New Roman" w:hAnsi="Times New Roman"/>
          <w:color w:val="000000"/>
          <w:sz w:val="22"/>
          <w:u w:val="single"/>
        </w:rPr>
        <w:t>Severance Plans</w:t>
      </w:r>
      <w:r>
        <w:rPr>
          <w:color w:val="000000"/>
        </w:rPr>
        <w:t>”</w:t>
      </w:r>
      <w:r>
        <w:rPr>
          <w:rFonts w:ascii="Times New Roman" w:hAnsi="Times New Roman"/>
          <w:color w:val="000000"/>
          <w:sz w:val="22"/>
        </w:rPr>
        <w:t>). Notwithstanding the foregoing or anything to the contrary set forth in the Severance Plans, the terms of the Severance Plans will be modified with respect to you as set forth below. Except as expressly set forth below, the terms and conditions of the Severance Plans will remain unaltered and in full force and effect.</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Section 2.1(a) of the Executive Severance Plan shall be disregarded for you. In other words, in the event of a Qualifying Termination (as defined in the Executive Severance Plan) you will be entitled to the treatment set forth in Section 2.1(b) of the Executive Severance Plan regardless of the amount of time between your original date of hire and your Separation Date (as defined in the Executive Severance Plan);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Solely with respect to you,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the definition of “Qualifying Termination” within each of the CiC Executive Severance Plan and Executive Severance Plan shall read as follows: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both"/>
        <w:rPr/>
      </w:pPr>
      <w:r>
        <w:rPr>
          <w:color w:val="000000"/>
        </w:rPr>
        <w:t>“‘</w:t>
      </w:r>
      <w:r>
        <w:rPr>
          <w:rFonts w:ascii="Times New Roman" w:hAnsi="Times New Roman"/>
          <w:color w:val="000000"/>
          <w:sz w:val="22"/>
          <w:u w:val="single"/>
        </w:rPr>
        <w:t>Qualifying Termination’</w:t>
      </w:r>
      <w:r>
        <w:rPr>
          <w:color w:val="000000"/>
        </w:rPr>
        <w:t xml:space="preserve"> </w:t>
      </w:r>
      <w:r>
        <w:rPr>
          <w:rFonts w:ascii="Times New Roman" w:hAnsi="Times New Roman"/>
          <w:color w:val="000000"/>
          <w:sz w:val="22"/>
        </w:rPr>
        <w:t xml:space="preserve">means a termination of an Eligible Employee’s employment by the Company without Cause or by the Eligible Employee for Good Reason, excluding a termination as a result of the Eligible Employee’s death or Disability;” </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subject to the other terms and conditions set forth in the Executive Severance Plan (other than, for the avoidance of doubt, Section 2.1(a) which is modified for you as set forth above) all references in Section 2.1(b) of the Executive Severance Plan to “nine (9) months” shall instead be read to reference “twelve (12) months”;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Section 2.1(b)(ii) of the Executive Severance Plan shall be read to say:</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both"/>
        <w:rPr>
          <w:color w:val="000000"/>
        </w:rPr>
      </w:pPr>
      <w:r>
        <w:rPr>
          <w:color w:val="000000"/>
        </w:rPr>
        <w:t>“</w:t>
      </w:r>
      <w:r>
        <w:rPr>
          <w:rFonts w:ascii="Times New Roman" w:hAnsi="Times New Roman"/>
          <w:color w:val="000000"/>
          <w:sz w:val="22"/>
        </w:rPr>
        <w:t>a lump sum payment equal to (A) any unpaid amount of the annual bonus for the immediately preceding calendar year that the Eligible Employee would have earned in accordance with the executive bonus plan had the employment termination not occurred, plus (B) an amount equal to the Eligible Employee’s Annual Target Bonus for the calendar year in which the Separation Date occurs, payable in a lump sum on the first administratively feasible payroll date following the Separation Date.”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Section 2.1(b) of the CiC Executive Severance Plan shall be read to say:</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both"/>
        <w:rPr>
          <w:color w:val="000000"/>
        </w:rPr>
      </w:pPr>
      <w:r>
        <w:rPr>
          <w:color w:val="000000"/>
        </w:rPr>
        <w:t>“</w:t>
      </w:r>
      <w:r>
        <w:rPr>
          <w:rFonts w:ascii="Times New Roman" w:hAnsi="Times New Roman"/>
          <w:color w:val="000000"/>
          <w:sz w:val="22"/>
        </w:rPr>
        <w:t>a lump sum payment equal to (A) any unpaid amount of the annual bonus for the immediately preceding calendar year that the Eligible Employee would have earned in accordance with the executive bonus plan had the employment termination not occurred, plus (B) an amount equal to the Eligible Employee’s Annual Target Bonus for the calendar year in which the Separation Date occurs, payable in a lump sum on the first administratively feasible payroll date following the Payment Trigger.”</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160"/>
        <w:jc w:val="both"/>
        <w:rPr/>
      </w:pPr>
      <w:r>
        <w:rPr>
          <w:rFonts w:ascii="Times New Roman" w:hAnsi="Times New Roman"/>
          <w:color w:val="000000"/>
          <w:sz w:val="22"/>
        </w:rPr>
        <w:t xml:space="preserve">For the purposes of this letter agreement and the severance-related provisions referenced in </w:t>
      </w:r>
      <w:r>
        <w:rPr>
          <w:rFonts w:ascii="Times New Roman" w:hAnsi="Times New Roman"/>
          <w:color w:val="000000"/>
          <w:sz w:val="22"/>
          <w:u w:val="single"/>
        </w:rPr>
        <w:t>Section 5)</w:t>
      </w:r>
      <w:r>
        <w:rPr>
          <w:color w:val="000000"/>
        </w:rPr>
        <w:t xml:space="preserve"> </w:t>
      </w:r>
      <w:r>
        <w:rPr>
          <w:rFonts w:ascii="Times New Roman" w:hAnsi="Times New Roman"/>
          <w:color w:val="000000"/>
          <w:sz w:val="22"/>
        </w:rPr>
        <w:t>above: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60"/>
        <w:jc w:val="both"/>
        <w:rPr>
          <w:color w:val="000000"/>
        </w:rPr>
      </w:pPr>
      <w:r>
        <w:rPr>
          <w:color w:val="000000"/>
        </w:rPr>
        <w:t>“</w:t>
      </w:r>
      <w:r>
        <w:rPr>
          <w:rFonts w:ascii="Times New Roman" w:hAnsi="Times New Roman"/>
          <w:color w:val="000000"/>
          <w:sz w:val="22"/>
        </w:rPr>
        <w:t xml:space="preserve">Cause” shall mean with respect to you: (i) commission of, or pleading guilty or no contest to, a felony, or any crime involving moral turpitude (other than minor traffic violations); (ii) any unlawful act which is materially injurious or materially detrimental to the reputation or financial interests of any of the Company Group or its affiliates; (iii) theft of property of any of the Company Group or its affiliates or willful falsification of documents of any of the Company Group or its affiliates or willful dishonesty in their preparation; (iv) material breach of any material provision of any agreement with any of the Company Group or its affiliates, or any breach of any non-competition, non-solicitation or confidentiality provisions, or any other similar restrictive covenants to which the you are or may become a party with any of the Company Group or its affiliates; or (v) refusal to perform, or repeated failure to undertake good faith efforts to perform, the duties or responsibilities reasonably assigned to you by the CEO or the Board, which duties or responsibilities are consistent with the scope and nature of your position. To the extent any purported grounds set forth in this definition of Cause can be cured (including, without limitation, those set forth in clauses (iv) or (v)), Parent shall provide written notice to you identifying such grounds and you shall have thirty (30) calendar days to cure such grounds. “Willful” for these purposes shall mean your act or omission in bad faith or without the reasonable belief that such act or omission was in the best interests of the Company Group. </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Failure to attain performance goals or financial objectives shall not in and of itself constitute Cause; and</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60"/>
        <w:jc w:val="both"/>
        <w:rPr>
          <w:color w:val="000000"/>
        </w:rPr>
      </w:pPr>
      <w:r>
        <w:rPr>
          <w:color w:val="000000"/>
        </w:rPr>
        <w:t>“</w:t>
      </w:r>
      <w:r>
        <w:rPr>
          <w:rFonts w:ascii="Times New Roman" w:hAnsi="Times New Roman"/>
          <w:color w:val="000000"/>
          <w:sz w:val="22"/>
        </w:rPr>
        <w:t>Good Reason” shall mean (i) a material diminution (of 10% or more) of your base salary or target bonus (i.e., the size of the target annual bonus that you have the opportunity to earn) unless you consent to such reduction; (ii) any material breach by the Company Group of any material written agreement between you and the Company Group; (iii) a relocation of the your principal place of employment of more than thirty (30) miles; (iv) a material diminution of your duties, title, authority or responsibilities other than those duties, titles, authority or responsibilities that are by their nature, or specifically identified as, temporary; or (v) the failure of the Company Group to obtain the assumption in writing of its obligations to fully perform this letter agreement by any successor to all or substantially all of the of the assets of the Company Group (or the relevant employing entity within the Company Group, as applicable) within 15 days after request by you following a merger, consolidation, sale or similar transaction, provided that no condition set forth in the preceding will be deemed Good Reason if the Company Group cures the condition(s) giving rise to Good Reason within 30 days from the date on which you notify the Company, in writing, of such condition(s).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160"/>
        <w:jc w:val="both"/>
        <w:rPr/>
      </w:pPr>
      <w:r>
        <w:rPr>
          <w:rFonts w:ascii="Times New Roman" w:hAnsi="Times New Roman"/>
          <w:color w:val="000000"/>
          <w:sz w:val="22"/>
        </w:rPr>
        <w:t>In connection with your initial employment with the Company, you received a one-time cash bonus of $250,000 (the “</w:t>
      </w:r>
      <w:r>
        <w:rPr>
          <w:rFonts w:ascii="Times New Roman" w:hAnsi="Times New Roman"/>
          <w:color w:val="000000"/>
          <w:sz w:val="22"/>
          <w:u w:val="single"/>
        </w:rPr>
        <w:t>Original Signing Bonus</w:t>
      </w:r>
      <w:r>
        <w:rPr>
          <w:color w:val="000000"/>
        </w:rPr>
        <w:t>”</w:t>
      </w:r>
      <w:r>
        <w:rPr>
          <w:rFonts w:ascii="Times New Roman" w:hAnsi="Times New Roman"/>
          <w:color w:val="000000"/>
          <w:sz w:val="22"/>
        </w:rPr>
        <w:t>) in the final payroll period of February 2024. The conditions of the Original Signing Bonus are restated here for clarity and include the requirement that, in the event that your employment with the Company ends prior to the two-year anniversary of your original employment start date with the Company, then you will be required to repay a pro-rata portion of the Original Signing Bonus based on your time with the Company. Similarly, in connection with your initial employment with the Company, you had a right to be reimbursed for up to $100,000 in documented relocation costs if you were to relocate to within 30 miles of the Company’s Framingham headquarters (the “</w:t>
      </w:r>
      <w:r>
        <w:rPr>
          <w:rFonts w:ascii="Times New Roman" w:hAnsi="Times New Roman"/>
          <w:color w:val="000000"/>
          <w:sz w:val="22"/>
          <w:u w:val="single"/>
        </w:rPr>
        <w:t>Original Relocation Coverage</w:t>
      </w:r>
      <w:r>
        <w:rPr>
          <w:color w:val="000000"/>
        </w:rPr>
        <w:t>”</w:t>
      </w:r>
      <w:r>
        <w:rPr>
          <w:rFonts w:ascii="Times New Roman" w:hAnsi="Times New Roman"/>
          <w:color w:val="000000"/>
          <w:sz w:val="22"/>
        </w:rPr>
        <w:t>). The conditions of the Original Relocation Bonus are restated here for clarity and include the requirement that, in the event that your employment with the Company ends prior to the two-year anniversary of payment of the Original Relocation Coverage amount, that you shall be required to repay a pro-rata portion of the Original Relocation Coverage amount received based on your time with the Company from the date of such payment until your last day of service with the Company. Notwithstanding the foregoing, if your employment is terminated by the Company Group without “Cause” during such two-year period, you shall not be required repay any portion of the Original Relocation Coverage.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The Company or Parent shall, upon presentation of an invoice to the Company, pay Davis &amp; Gilbert LLP directly up to a maximum of $10,000 for legal fees incurred in connection with negotiation of this letter agreement, provided that, any such payment shall be made on or before March 15 of the calendar year immediately following the Start Date.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Definitive Healthcare supports employee health and wellbeing. Upon starting as a full-time employee, you will be eligible to participate in the company sponsored health insurance plan, and other insurance benefit programs offered to employees of the Company to the extent that you are eligible to participate based on plan criteria. Please follow this link to view our 2025 Benefits Summary. </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You will be eligible to participate in the company’s 401(k) plan upon completion of 60 days of service. The company will match your contribution as follows: the first 3% contribution at 100% and an additional 2% at 50%, for a total of 4% company contribution based on a 5% contribution from employee.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160"/>
        <w:jc w:val="both"/>
        <w:rPr/>
      </w:pPr>
      <w:r>
        <w:rPr>
          <w:rFonts w:ascii="Times New Roman" w:hAnsi="Times New Roman"/>
          <w:color w:val="000000"/>
          <w:sz w:val="22"/>
        </w:rPr>
        <w:t>To help foster a culture of personal responsibility and mutual trust, Definitive Healthcare provides an unlimited paid time off (“</w:t>
      </w:r>
      <w:r>
        <w:rPr>
          <w:rFonts w:ascii="Times New Roman" w:hAnsi="Times New Roman"/>
          <w:color w:val="000000"/>
          <w:sz w:val="22"/>
          <w:u w:val="single"/>
        </w:rPr>
        <w:t>PTO</w:t>
      </w:r>
      <w:r>
        <w:rPr>
          <w:color w:val="000000"/>
        </w:rPr>
        <w:t>”</w:t>
      </w:r>
      <w:r>
        <w:rPr>
          <w:rFonts w:ascii="Times New Roman" w:hAnsi="Times New Roman"/>
          <w:color w:val="000000"/>
          <w:sz w:val="22"/>
        </w:rPr>
        <w:t>) policy for all US-based, full-time employees. It is our sincere hope that our PTO policy provides our employees with the freedom and flexibility required to balance work and personal lives. PTO should be used for planned vacations, sick leave, and for bereavement, religious observances, or other personal or family needs.</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In addition, you will be entitled to participate in all other benefits provided to other employees of the Company to the extent that any applicable plan criteria make you eligible to participate.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13)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both"/>
        <w:rPr>
          <w:rFonts w:ascii="Times New Roman" w:hAnsi="Times New Roman"/>
          <w:color w:val="000000"/>
          <w:sz w:val="22"/>
        </w:rPr>
      </w:pPr>
      <w:r>
        <w:rPr>
          <w:rFonts w:ascii="Times New Roman" w:hAnsi="Times New Roman"/>
          <w:color w:val="000000"/>
          <w:sz w:val="22"/>
        </w:rPr>
        <w:t>You will also be entitled to substantially the same number of holidays and other benefits as are generally allowed to other employees of the Company in accordance with the Company policy handbook.</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rFonts w:ascii="Times New Roman" w:hAnsi="Times New Roman"/>
          <w:color w:val="000000"/>
          <w:sz w:val="22"/>
        </w:rPr>
      </w:pPr>
      <w:r>
        <w:rPr>
          <w:rFonts w:ascii="Times New Roman" w:hAnsi="Times New Roman"/>
          <w:color w:val="000000"/>
          <w:sz w:val="22"/>
        </w:rPr>
        <w:t>Promptly following your Start Date you will be required to acknowledge and agree to the Company’s policies applicable to similarly-situated executives, including the Definitive Healthcare Corp. Incentive Compensation Recoupment Policy and minimum stockholding guidelines applicable to executive officers. You also affirm and acknowledge your agreement to the terms and conditions of employment already applicable to you that were entered into or agreed to in connection with your initial employment with the Company including, among other things, your acknowledgement of employee handbooks, and your entry into the Company’s Assignment of Inventions, Non-Disclosure, Non-Solicitation, and Non-Competition Agreement.</w:t>
      </w:r>
    </w:p>
    <w:p>
      <w:pPr>
        <w:pStyle w:val="TextBody"/>
        <w:bidi w:val="0"/>
        <w:spacing w:before="0" w:after="160"/>
        <w:jc w:val="both"/>
        <w:rPr>
          <w:rFonts w:ascii="Times New Roman" w:hAnsi="Times New Roman"/>
          <w:sz w:val="20"/>
        </w:rPr>
      </w:pPr>
      <w:r>
        <w:rPr>
          <w:rFonts w:ascii="Times New Roman" w:hAnsi="Times New Roman"/>
          <w:color w:val="000000"/>
          <w:sz w:val="22"/>
        </w:rPr>
        <w:t>You will be an at-will employee and as such you will be free to resign your employment with the Company at any time upon reasonable notice and the Company may terminate your employment at any time as well.</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22"/>
        </w:rPr>
        <w:t xml:space="preserve">Please let us know of your decision to accept the promotion, contingent upon the effectiveness of the Start Date and the other terms and conditions set forth herein and in the documents and policies referenced herein, by signing a copy of this offer letter and returning it to us by </w:t>
      </w:r>
      <w:r>
        <w:rPr>
          <w:rFonts w:ascii="Times New Roman" w:hAnsi="Times New Roman"/>
          <w:b/>
          <w:color w:val="000000"/>
          <w:sz w:val="22"/>
        </w:rPr>
        <w:t>February 26, 2025.</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Sincerely,</w:t>
      </w:r>
    </w:p>
    <w:p>
      <w:pPr>
        <w:pStyle w:val="TextBody"/>
        <w:bidi w:val="0"/>
        <w:spacing w:before="0" w:after="160"/>
        <w:jc w:val="left"/>
        <w:rPr>
          <w:rFonts w:ascii="Times New Roman" w:hAnsi="Times New Roman"/>
          <w:sz w:val="20"/>
        </w:rPr>
      </w:pPr>
      <w:r>
        <w:rPr>
          <w:rFonts w:ascii="Times New Roman" w:hAnsi="Times New Roman"/>
          <w:color w:val="000000"/>
          <w:sz w:val="22"/>
        </w:rPr>
        <w:t>By:</w:t>
      </w:r>
      <w:r>
        <w:rPr>
          <w:rFonts w:ascii="Times New Roman" w:hAnsi="Times New Roman"/>
          <w:color w:val="000000"/>
          <w:sz w:val="20"/>
        </w:rPr>
        <w:t xml:space="preserve"> </w:t>
      </w:r>
    </w:p>
    <w:p>
      <w:pPr>
        <w:pStyle w:val="TextBody"/>
        <w:bidi w:val="0"/>
        <w:jc w:val="left"/>
        <w:rPr>
          <w:rFonts w:ascii="Times New Roman" w:hAnsi="Times New Roman"/>
          <w:b/>
          <w:color w:val="000000"/>
          <w:sz w:val="22"/>
        </w:rPr>
      </w:pPr>
      <w:r>
        <w:rPr>
          <w:rFonts w:ascii="Times New Roman" w:hAnsi="Times New Roman"/>
          <w:b/>
          <w:color w:val="000000"/>
          <w:sz w:val="22"/>
        </w:rPr>
        <w:t>DEFINITIVE HEALTHCARE, LLC</w:t>
      </w:r>
    </w:p>
    <w:p>
      <w:pPr>
        <w:pStyle w:val="TextBody"/>
        <w:bidi w:val="0"/>
        <w:jc w:val="left"/>
        <w:rPr>
          <w:rFonts w:ascii="Times New Roman" w:hAnsi="Times New Roman"/>
          <w:b/>
          <w:color w:val="000000"/>
          <w:sz w:val="22"/>
        </w:rPr>
      </w:pPr>
      <w:r>
        <w:rPr>
          <w:rFonts w:ascii="Times New Roman" w:hAnsi="Times New Roman"/>
          <w:b/>
          <w:color w:val="000000"/>
          <w:sz w:val="22"/>
        </w:rPr>
        <w:t>DEFINITIVE HEALTHCARE CORP.</w:t>
      </w:r>
    </w:p>
    <w:p>
      <w:pPr>
        <w:pStyle w:val="TextBody"/>
        <w:bidi w:val="0"/>
        <w:jc w:val="left"/>
        <w:rPr/>
      </w:pPr>
      <w:r>
        <w:rPr/>
        <w:t> </w:t>
      </w:r>
    </w:p>
    <w:p>
      <w:pPr>
        <w:pStyle w:val="TextBody"/>
        <w:bidi w:val="0"/>
        <w:jc w:val="left"/>
        <w:rPr/>
      </w:pPr>
      <w:r>
        <w:rPr/>
        <w:t> </w:t>
      </w:r>
    </w:p>
    <w:tbl>
      <w:tblPr>
        <w:tblW w:w="1868" w:type="dxa"/>
        <w:jc w:val="left"/>
        <w:tblInd w:w="0" w:type="dxa"/>
        <w:tblLayout w:type="fixed"/>
        <w:tblCellMar>
          <w:top w:w="28" w:type="dxa"/>
          <w:left w:w="28" w:type="dxa"/>
          <w:bottom w:w="28" w:type="dxa"/>
          <w:right w:w="28" w:type="dxa"/>
        </w:tblCellMar>
      </w:tblPr>
      <w:tblGrid>
        <w:gridCol w:w="1531"/>
        <w:gridCol w:w="146"/>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Kevin Coop</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rFonts w:ascii="Times New Roman" w:hAnsi="Times New Roman"/>
          <w:color w:val="000000"/>
          <w:sz w:val="22"/>
        </w:rPr>
      </w:pPr>
      <w:r>
        <w:rPr>
          <w:rFonts w:ascii="Times New Roman" w:hAnsi="Times New Roman"/>
          <w:color w:val="000000"/>
          <w:sz w:val="22"/>
        </w:rPr>
        <w:t>Kevin Coop</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Date: February 24, 2025</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 accept this offer of employment and agree to be bound by the terms set forth herein understanding that my employment will be on an “at will” basis with nothing in this letter or elsewhere being intended as a promise of employment for any specific term:</w:t>
      </w:r>
    </w:p>
    <w:tbl>
      <w:tblPr>
        <w:tblW w:w="2653" w:type="dxa"/>
        <w:jc w:val="left"/>
        <w:tblInd w:w="0" w:type="dxa"/>
        <w:tblLayout w:type="fixed"/>
        <w:tblCellMar>
          <w:top w:w="28" w:type="dxa"/>
          <w:left w:w="28" w:type="dxa"/>
          <w:bottom w:w="28" w:type="dxa"/>
          <w:right w:w="28" w:type="dxa"/>
        </w:tblCellMar>
      </w:tblPr>
      <w:tblGrid>
        <w:gridCol w:w="616"/>
        <w:gridCol w:w="1846"/>
        <w:gridCol w:w="191"/>
      </w:tblGrid>
      <w:tr>
        <w:trPr/>
        <w:tc>
          <w:tcPr>
            <w:tcW w:w="61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Casey Heller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Casey Heller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February 24, 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5" w:name="dh-ex99_1.htm"/>
      <w:bookmarkStart w:id="6" w:name="ksdhex99_1"/>
      <w:bookmarkEnd w:id="5"/>
      <w:bookmarkEnd w:id="6"/>
      <w:r>
        <w:rPr>
          <w:rFonts w:ascii="Arial" w:hAnsi="Arial"/>
          <w:b/>
          <w:color w:val="000000"/>
          <w:sz w:val="22"/>
        </w:rPr>
        <w:t>Exhibit 99.1</w:t>
      </w:r>
      <w:r>
        <w:br w:type="page"/>
      </w:r>
    </w:p>
    <w:p>
      <w:pPr>
        <w:pStyle w:val="TextBody"/>
        <w:bidi w:val="0"/>
        <w:jc w:val="right"/>
        <w:rPr/>
      </w:pPr>
      <w:r>
        <w:rPr/>
        <w:t> </w:t>
      </w:r>
    </w:p>
    <w:p>
      <w:pPr>
        <w:pStyle w:val="TextBody"/>
        <w:bidi w:val="0"/>
        <w:jc w:val="center"/>
        <w:rPr/>
      </w:pPr>
      <w:r>
        <w:rPr/>
        <w:t> </w:t>
      </w:r>
    </w:p>
    <w:p>
      <w:pPr>
        <w:pStyle w:val="TextBody"/>
        <w:bidi w:val="0"/>
        <w:spacing w:before="0" w:after="120"/>
        <w:jc w:val="center"/>
        <w:rPr>
          <w:rFonts w:ascii="Arial" w:hAnsi="Arial"/>
          <w:b/>
          <w:color w:val="000000"/>
          <w:sz w:val="22"/>
        </w:rPr>
      </w:pPr>
      <w:r>
        <w:rPr>
          <w:rFonts w:ascii="Arial" w:hAnsi="Arial"/>
          <w:b/>
          <w:color w:val="000000"/>
          <w:sz w:val="22"/>
        </w:rPr>
        <w:t>Definitive Healthcare Reports Financial Results for Fourth Quarter and Full Fiscal Year 2024</w:t>
      </w:r>
    </w:p>
    <w:p>
      <w:pPr>
        <w:pStyle w:val="TextBody"/>
        <w:bidi w:val="0"/>
        <w:spacing w:before="0" w:after="120"/>
        <w:jc w:val="center"/>
        <w:rPr>
          <w:rFonts w:ascii="Arial" w:hAnsi="Arial"/>
          <w:i/>
          <w:color w:val="000000"/>
          <w:sz w:val="22"/>
        </w:rPr>
      </w:pPr>
      <w:r>
        <w:rPr>
          <w:rFonts w:ascii="Arial" w:hAnsi="Arial"/>
          <w:i/>
          <w:color w:val="000000"/>
          <w:sz w:val="22"/>
        </w:rPr>
        <w:t>Fourth quarter and full year 2024 revenue exceeded guidance</w:t>
      </w:r>
    </w:p>
    <w:p>
      <w:pPr>
        <w:pStyle w:val="TextBody"/>
        <w:bidi w:val="0"/>
        <w:spacing w:before="0" w:after="120"/>
        <w:jc w:val="left"/>
        <w:rPr>
          <w:rFonts w:ascii="Times New Roman" w:hAnsi="Times New Roman"/>
          <w:sz w:val="20"/>
        </w:rPr>
      </w:pPr>
      <w:r>
        <w:rPr>
          <w:rFonts w:ascii="Arial" w:hAnsi="Arial"/>
          <w:b/>
          <w:color w:val="000000"/>
          <w:sz w:val="22"/>
        </w:rPr>
        <w:t>Framingham, MA (February 27, 2025)</w:t>
      </w:r>
      <w:r>
        <w:rPr>
          <w:rFonts w:ascii="Times New Roman" w:hAnsi="Times New Roman"/>
          <w:color w:val="000000"/>
          <w:sz w:val="20"/>
        </w:rPr>
        <w:t xml:space="preserve"> – </w:t>
      </w:r>
      <w:r>
        <w:rPr>
          <w:rFonts w:ascii="Arial" w:hAnsi="Arial"/>
          <w:color w:val="000000"/>
          <w:sz w:val="22"/>
        </w:rPr>
        <w:t>Definitive Healthcare Corp. (“Definitive Healthcare” or the “Company”) (Nasdaq: DH), an industry leader in healthcare commercial intelligence, today announced financial results for the quarter and full year ended December 31, 2024.</w:t>
      </w:r>
      <w:r>
        <w:rPr>
          <w:rFonts w:ascii="Times New Roman" w:hAnsi="Times New Roman"/>
          <w:color w:val="000000"/>
          <w:sz w:val="20"/>
        </w:rPr>
        <w:t xml:space="preserve"> </w:t>
      </w:r>
    </w:p>
    <w:p>
      <w:pPr>
        <w:pStyle w:val="TextBody"/>
        <w:bidi w:val="0"/>
        <w:jc w:val="both"/>
        <w:rPr>
          <w:rFonts w:ascii="Arial" w:hAnsi="Arial"/>
          <w:b/>
          <w:color w:val="000000"/>
          <w:sz w:val="22"/>
        </w:rPr>
      </w:pPr>
      <w:r>
        <w:rPr>
          <w:rFonts w:ascii="Arial" w:hAnsi="Arial"/>
          <w:b/>
          <w:color w:val="000000"/>
          <w:sz w:val="22"/>
        </w:rPr>
        <w:t>Fourth Quarter 2024 Financial Highlights: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color w:val="000000"/>
          <w:sz w:val="22"/>
        </w:rPr>
        <w:t>was $62.3 million, a decrease of 6% from $65.9 million in Q4 2023.</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Net Loss</w:t>
      </w:r>
      <w:r>
        <w:rPr>
          <w:rFonts w:ascii="Arial" w:hAnsi="Arial"/>
          <w:color w:val="000000"/>
          <w:sz w:val="22"/>
        </w:rPr>
        <w:t>, inclusive of goodwill impairment charges of $97.1 million, was $(84.7) million, or (136)% of revenue, compared to $(13.4) million or (20)% of revenue in Q4 2023.</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color w:val="000000"/>
          <w:sz w:val="22"/>
        </w:rPr>
        <w:t>was $12.6 million, compared to $10.6 million in Q4 2023.</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color w:val="000000"/>
          <w:sz w:val="22"/>
        </w:rPr>
        <w:t>was $17.5 million, or 28% of revenue, compared to $19.8 million, or 30% of revenue in Q4 2023.</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color w:val="000000"/>
          <w:sz w:val="22"/>
        </w:rPr>
        <w:t>was $8.1 million in the quarter.</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color w:val="000000"/>
          <w:sz w:val="22"/>
        </w:rPr>
        <w:t>was $(1.6) million in the quarter.</w:t>
      </w:r>
    </w:p>
    <w:p>
      <w:pPr>
        <w:pStyle w:val="TextBody"/>
        <w:bidi w:val="0"/>
        <w:jc w:val="both"/>
        <w:rPr/>
      </w:pPr>
      <w:r>
        <w:rPr/>
        <w:t> </w:t>
      </w:r>
    </w:p>
    <w:p>
      <w:pPr>
        <w:pStyle w:val="TextBody"/>
        <w:bidi w:val="0"/>
        <w:spacing w:before="240" w:after="283"/>
        <w:jc w:val="both"/>
        <w:rPr>
          <w:rFonts w:ascii="Arial" w:hAnsi="Arial"/>
          <w:b/>
          <w:color w:val="000000"/>
          <w:sz w:val="22"/>
        </w:rPr>
      </w:pPr>
      <w:r>
        <w:rPr>
          <w:rFonts w:ascii="Arial" w:hAnsi="Arial"/>
          <w:b/>
          <w:color w:val="000000"/>
          <w:sz w:val="22"/>
        </w:rPr>
        <w:t>Full Year 2024 Financial Highlights: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2"/>
        </w:rPr>
        <w:t>Revenue</w:t>
      </w:r>
      <w:r>
        <w:rPr>
          <w:color w:val="000000"/>
        </w:rPr>
        <w:t xml:space="preserve"> </w:t>
      </w:r>
      <w:r>
        <w:rPr>
          <w:rFonts w:ascii="Arial" w:hAnsi="Arial"/>
          <w:color w:val="000000"/>
          <w:sz w:val="22"/>
        </w:rPr>
        <w:t>was $252.2 million, compared to $251.4 million for the full year 2023.</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Net Loss</w:t>
      </w:r>
      <w:r>
        <w:rPr>
          <w:rFonts w:ascii="Arial" w:hAnsi="Arial"/>
          <w:color w:val="000000"/>
          <w:sz w:val="22"/>
        </w:rPr>
        <w:t>, inclusive of goodwill impairment charges of $688.9 million, was $(591.4) million, or (235)% of revenue, compared to $(289.6) million, inclusive of goodwill impairment charges of $287.4 million, or (115)% of revenue for the full year 2023.</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Net Income </w:t>
      </w:r>
      <w:r>
        <w:rPr>
          <w:rFonts w:ascii="Arial" w:hAnsi="Arial"/>
          <w:color w:val="000000"/>
          <w:sz w:val="22"/>
        </w:rPr>
        <w:t>was $55.1 million, compared to $46.7 million for the full year 2023.</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Adjusted EBITDA </w:t>
      </w:r>
      <w:r>
        <w:rPr>
          <w:rFonts w:ascii="Arial" w:hAnsi="Arial"/>
          <w:color w:val="000000"/>
          <w:sz w:val="22"/>
        </w:rPr>
        <w:t>was $79.1 million, or 31% of revenue, compared to $74.5 million, or 30% of revenue for the full year 2023.</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Cash Flow from Operations </w:t>
      </w:r>
      <w:r>
        <w:rPr>
          <w:rFonts w:ascii="Arial" w:hAnsi="Arial"/>
          <w:color w:val="000000"/>
          <w:sz w:val="22"/>
        </w:rPr>
        <w:t>was $58.2 million for the full year 2024, up 41% from $41.2 million for the full year 2023.</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Unlevered Free Cash Flow </w:t>
      </w:r>
      <w:r>
        <w:rPr>
          <w:rFonts w:ascii="Arial" w:hAnsi="Arial"/>
          <w:color w:val="000000"/>
          <w:sz w:val="22"/>
        </w:rPr>
        <w:t>was $72.5 million for the full year 2024, up 6% from $68.6 million for the full year 2023.</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20"/>
        <w:jc w:val="left"/>
        <w:rPr>
          <w:color w:val="000000"/>
        </w:rPr>
      </w:pPr>
      <w:r>
        <w:rPr>
          <w:color w:val="000000"/>
        </w:rPr>
        <w:t>“</w:t>
      </w:r>
      <w:r>
        <w:rPr>
          <w:rFonts w:ascii="Arial" w:hAnsi="Arial"/>
          <w:color w:val="000000"/>
          <w:sz w:val="22"/>
        </w:rPr>
        <w:t>Revenue and adjusted EBITDA were above the high end of our guided ranges despite challenging commercial conditions,” said Kevin Coop, CEO of Definitive Healthcare. “We executed on delivering new business growth, securing new logos and expanding relationships with existing customers through upsell and cross-sell opportunities. We are committed to building on this momentum as we move into 2025.</w:t>
      </w:r>
    </w:p>
    <w:p>
      <w:pPr>
        <w:pStyle w:val="TextBody"/>
        <w:bidi w:val="0"/>
        <w:spacing w:before="240" w:after="120"/>
        <w:jc w:val="left"/>
        <w:rPr>
          <w:color w:val="000000"/>
        </w:rPr>
      </w:pPr>
      <w:r>
        <w:rPr>
          <w:color w:val="000000"/>
        </w:rPr>
        <w:t>“</w:t>
      </w:r>
      <w:r>
        <w:rPr>
          <w:rFonts w:ascii="Arial" w:hAnsi="Arial"/>
          <w:color w:val="000000"/>
          <w:sz w:val="22"/>
        </w:rPr>
        <w:t>I’m also pleased to announce that after a thorough search process, Casey Heller, our Senior Vice President of Finance, will assume the role of Chief Financial Officer, effective on June 2, 2025. We expect a smooth transition as she is already responsible for a significant portion of the company’s financial functions, including all aspects of commercial and operational finance, FP&amp;A, and investor relations. In addition, Rick Booth will continue to serve as CFO until early June to give us time to backfill Casey’s current position and enable her to hit the ground running as CFO with a full team.”</w:t>
      </w:r>
    </w:p>
    <w:p>
      <w:pPr>
        <w:pStyle w:val="TextBody"/>
        <w:bidi w:val="0"/>
        <w:spacing w:before="360" w:after="283"/>
        <w:jc w:val="both"/>
        <w:rPr>
          <w:rFonts w:ascii="Arial" w:hAnsi="Arial"/>
          <w:b/>
          <w:color w:val="000000"/>
          <w:sz w:val="22"/>
        </w:rPr>
      </w:pPr>
      <w:r>
        <w:rPr>
          <w:rFonts w:ascii="Arial" w:hAnsi="Arial"/>
          <w:b/>
          <w:color w:val="000000"/>
          <w:sz w:val="22"/>
        </w:rPr>
        <w:t>Recent Business and Operating Highlights:</w:t>
      </w:r>
    </w:p>
    <w:p>
      <w:pPr>
        <w:pStyle w:val="TextBody"/>
        <w:bidi w:val="0"/>
        <w:spacing w:before="360" w:after="283"/>
        <w:jc w:val="both"/>
        <w:rPr>
          <w:rFonts w:ascii="Arial" w:hAnsi="Arial"/>
          <w:b/>
          <w:color w:val="000000"/>
          <w:sz w:val="22"/>
        </w:rPr>
      </w:pPr>
      <w:r>
        <w:rPr>
          <w:rFonts w:ascii="Arial" w:hAnsi="Arial"/>
          <w:b/>
          <w:color w:val="000000"/>
          <w:sz w:val="22"/>
        </w:rPr>
        <w:t>Customer Wins</w:t>
      </w:r>
    </w:p>
    <w:p>
      <w:pPr>
        <w:pStyle w:val="TextBody"/>
        <w:bidi w:val="0"/>
        <w:spacing w:before="240" w:after="120"/>
        <w:jc w:val="left"/>
        <w:rPr>
          <w:rFonts w:ascii="Arial" w:hAnsi="Arial"/>
          <w:color w:val="000000"/>
          <w:sz w:val="22"/>
        </w:rPr>
      </w:pPr>
      <w:r>
        <w:rPr>
          <w:rFonts w:ascii="Arial" w:hAnsi="Arial"/>
          <w:color w:val="000000"/>
          <w:sz w:val="22"/>
        </w:rPr>
        <w:t>In the fourth quarter, Definitive Healthcare continued to win new logos across all end-markets, by providing the data, insights, and integrations that drive their critical business use cases. Customer wins for the quarter included:</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2"/>
        </w:rPr>
      </w:pPr>
      <w:r>
        <w:rPr>
          <w:rFonts w:ascii="Arial" w:hAnsi="Arial"/>
          <w:color w:val="000000"/>
          <w:sz w:val="22"/>
        </w:rPr>
        <w:t>A behavioral and mental health screening company is leveraging our reference, affiliation, and claims data to identify and build stronger relationships with the right doctors and practices. They’ve also created an AI-powered tool that leverages insights from our data to compare physician prescribing habits, helping health systems improve care and drive growth.</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2"/>
        </w:rPr>
      </w:pPr>
      <w:r>
        <w:rPr>
          <w:rFonts w:ascii="Arial" w:hAnsi="Arial"/>
          <w:color w:val="000000"/>
          <w:sz w:val="22"/>
        </w:rPr>
        <w:t>A leading U.S. supplier of industrial, medical, and specialty gases chose us to gain insights into complex IDN hierarchies, identify high-volume facilities, navigate the Healthcare RFP process, and expand into new markets like surgery centers and post-acute facilities. This partnership also helps them connect with key nursing, procurement, and purchasing executives at both the facility and group purchasing organization (GPO) levels.</w:t>
      </w:r>
    </w:p>
    <w:p>
      <w:pPr>
        <w:pStyle w:val="TextBody"/>
        <w:bidi w:val="0"/>
        <w:spacing w:before="120" w:after="120"/>
        <w:jc w:val="left"/>
        <w:rPr>
          <w:color w:val="000000"/>
        </w:rPr>
      </w:pPr>
      <w:r>
        <w:rPr>
          <w:color w:val="000000"/>
        </w:rPr>
        <w:t>•</w:t>
      </w:r>
    </w:p>
    <w:p>
      <w:pPr>
        <w:pStyle w:val="TextBody"/>
        <w:bidi w:val="0"/>
        <w:spacing w:before="120" w:after="120"/>
        <w:jc w:val="left"/>
        <w:rPr>
          <w:rFonts w:ascii="Arial" w:hAnsi="Arial"/>
          <w:color w:val="000000"/>
          <w:sz w:val="22"/>
        </w:rPr>
      </w:pPr>
      <w:r>
        <w:rPr>
          <w:rFonts w:ascii="Arial" w:hAnsi="Arial"/>
          <w:color w:val="000000"/>
          <w:sz w:val="22"/>
        </w:rPr>
        <w:t>A large pharmaceutical company is leveraging our data along with their own internal and third party data inside a robust master data management (MDM) system they have built, to develop a sophisticated patient and provider segmentation machine learning model, along with a next-best action program, to support the launch of a new pain medication. Definitive not only provides critical data and services to enable this integration, but our expertise also increases the value the customer derives from their existing platform investments.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Business Outlook</w:t>
      </w:r>
    </w:p>
    <w:p>
      <w:pPr>
        <w:pStyle w:val="TextBody"/>
        <w:bidi w:val="0"/>
        <w:spacing w:before="120" w:after="283"/>
        <w:jc w:val="both"/>
        <w:rPr>
          <w:rFonts w:ascii="Arial" w:hAnsi="Arial"/>
          <w:color w:val="000000"/>
          <w:sz w:val="22"/>
        </w:rPr>
      </w:pPr>
      <w:r>
        <w:rPr>
          <w:rFonts w:ascii="Arial" w:hAnsi="Arial"/>
          <w:color w:val="000000"/>
          <w:sz w:val="22"/>
        </w:rPr>
        <w:t>Based on information as of February 27, 2025, the Company is issuing the following financial guidance.</w:t>
      </w:r>
    </w:p>
    <w:p>
      <w:pPr>
        <w:pStyle w:val="TextBody"/>
        <w:bidi w:val="0"/>
        <w:spacing w:before="120" w:after="283"/>
        <w:jc w:val="both"/>
        <w:rPr>
          <w:rFonts w:ascii="Arial" w:hAnsi="Arial"/>
          <w:b/>
          <w:color w:val="000000"/>
          <w:sz w:val="22"/>
        </w:rPr>
      </w:pPr>
      <w:r>
        <w:rPr>
          <w:rFonts w:ascii="Arial" w:hAnsi="Arial"/>
          <w:b/>
          <w:color w:val="000000"/>
          <w:sz w:val="22"/>
        </w:rPr>
        <w:t>First Quarter 2025:</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Revenue</w:t>
      </w:r>
      <w:r>
        <w:rPr>
          <w:color w:val="000000"/>
        </w:rPr>
        <w:t xml:space="preserve"> </w:t>
      </w:r>
      <w:r>
        <w:rPr>
          <w:rFonts w:ascii="Arial" w:hAnsi="Arial"/>
          <w:color w:val="000000"/>
          <w:sz w:val="22"/>
        </w:rPr>
        <w:t xml:space="preserve">is expected to be in the range of $55.5 – $57.0 million.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Adjusted Operating Income</w:t>
      </w:r>
      <w:r>
        <w:rPr>
          <w:color w:val="000000"/>
        </w:rPr>
        <w:t xml:space="preserve"> </w:t>
      </w:r>
      <w:r>
        <w:rPr>
          <w:rFonts w:ascii="Arial" w:hAnsi="Arial"/>
          <w:color w:val="000000"/>
          <w:sz w:val="22"/>
        </w:rPr>
        <w:t xml:space="preserve">is expected to be in the range of $7.5 – $8.5 million.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Adjusted EBITDA</w:t>
      </w:r>
      <w:r>
        <w:rPr>
          <w:color w:val="000000"/>
        </w:rPr>
        <w:t xml:space="preserve"> </w:t>
      </w:r>
      <w:r>
        <w:rPr>
          <w:rFonts w:ascii="Arial" w:hAnsi="Arial"/>
          <w:color w:val="000000"/>
          <w:sz w:val="22"/>
        </w:rPr>
        <w:t xml:space="preserve">is expected to be in the range of $10.5 – $11.5 million, and 19 – 20% adjusted EBITDA margin.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Adjusted Net Income</w:t>
      </w:r>
      <w:r>
        <w:rPr>
          <w:color w:val="000000"/>
        </w:rPr>
        <w:t xml:space="preserve"> </w:t>
      </w:r>
      <w:r>
        <w:rPr>
          <w:rFonts w:ascii="Arial" w:hAnsi="Arial"/>
          <w:color w:val="000000"/>
          <w:sz w:val="22"/>
        </w:rPr>
        <w:t xml:space="preserve">is expected to be $3.0 – $4.0 million.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approximately $0.02 per share on approximately 153.3 million weighted-average shares outstanding.</w:t>
      </w:r>
    </w:p>
    <w:p>
      <w:pPr>
        <w:pStyle w:val="TextBody"/>
        <w:bidi w:val="0"/>
        <w:spacing w:before="240" w:after="283"/>
        <w:jc w:val="both"/>
        <w:rPr>
          <w:rFonts w:ascii="Arial" w:hAnsi="Arial"/>
          <w:b/>
          <w:color w:val="000000"/>
          <w:sz w:val="22"/>
        </w:rPr>
      </w:pPr>
      <w:r>
        <w:rPr>
          <w:rFonts w:ascii="Arial" w:hAnsi="Arial"/>
          <w:b/>
          <w:color w:val="000000"/>
          <w:sz w:val="22"/>
        </w:rPr>
        <w:t>Full Year 2025:</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 xml:space="preserve">Revenue </w:t>
      </w:r>
      <w:r>
        <w:rPr>
          <w:rFonts w:ascii="Arial" w:hAnsi="Arial"/>
          <w:color w:val="000000"/>
          <w:sz w:val="22"/>
        </w:rPr>
        <w:t>is expected to be in the range of $230.0 – $240.0 million.</w:t>
      </w:r>
      <w:r>
        <w:rPr>
          <w:color w:val="000000"/>
        </w:rPr>
        <w:t xml:space="preserve">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Adjusted Operating Income</w:t>
      </w:r>
      <w:r>
        <w:rPr>
          <w:color w:val="000000"/>
        </w:rPr>
        <w:t xml:space="preserve"> </w:t>
      </w:r>
      <w:r>
        <w:rPr>
          <w:rFonts w:ascii="Arial" w:hAnsi="Arial"/>
          <w:color w:val="000000"/>
          <w:sz w:val="22"/>
        </w:rPr>
        <w:t>is expected to be in the range of $49.0 – $53.0 million.</w:t>
      </w:r>
      <w:r>
        <w:rPr>
          <w:color w:val="000000"/>
        </w:rPr>
        <w:t xml:space="preserve">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 xml:space="preserve">Adjusted EBITDA </w:t>
      </w:r>
      <w:r>
        <w:rPr>
          <w:rFonts w:ascii="Arial" w:hAnsi="Arial"/>
          <w:color w:val="000000"/>
          <w:sz w:val="22"/>
        </w:rPr>
        <w:t>is expected to be in the range of $61.0 – $65.0 million, for a full-year adjusted EBITDA margin ranging from 26 – 28%.</w:t>
      </w:r>
      <w:r>
        <w:rPr>
          <w:color w:val="000000"/>
        </w:rPr>
        <w:t xml:space="preserve">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Adjusted Net Income</w:t>
      </w:r>
      <w:r>
        <w:rPr>
          <w:color w:val="000000"/>
        </w:rPr>
        <w:t xml:space="preserve"> </w:t>
      </w:r>
      <w:r>
        <w:rPr>
          <w:rFonts w:ascii="Arial" w:hAnsi="Arial"/>
          <w:color w:val="000000"/>
          <w:sz w:val="22"/>
        </w:rPr>
        <w:t>is expected to be $30.0 – $34.0 million.</w:t>
      </w:r>
      <w:r>
        <w:rPr>
          <w:color w:val="000000"/>
        </w:rPr>
        <w:t xml:space="preserve">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Arial" w:hAnsi="Arial"/>
          <w:b/>
          <w:color w:val="000000"/>
          <w:sz w:val="22"/>
        </w:rPr>
        <w:t>Adjusted Net Income Per Diluted Share</w:t>
      </w:r>
      <w:r>
        <w:rPr>
          <w:color w:val="000000"/>
        </w:rPr>
        <w:t xml:space="preserve"> </w:t>
      </w:r>
      <w:r>
        <w:rPr>
          <w:rFonts w:ascii="Arial" w:hAnsi="Arial"/>
          <w:color w:val="000000"/>
          <w:sz w:val="22"/>
        </w:rPr>
        <w:t>is expected to be $0.19 – $0.22 per share on approximately 153.9 million weighted-average shares outstanding.</w:t>
      </w:r>
    </w:p>
    <w:p>
      <w:pPr>
        <w:pStyle w:val="TextBody"/>
        <w:bidi w:val="0"/>
        <w:spacing w:before="240" w:after="120"/>
        <w:jc w:val="left"/>
        <w:rPr>
          <w:rFonts w:ascii="Arial" w:hAnsi="Arial"/>
          <w:i/>
          <w:color w:val="000000"/>
          <w:sz w:val="22"/>
        </w:rPr>
      </w:pPr>
      <w:r>
        <w:rPr>
          <w:rFonts w:ascii="Arial" w:hAnsi="Arial"/>
          <w:i/>
          <w:color w:val="000000"/>
          <w:sz w:val="22"/>
        </w:rPr>
        <w:t>We do not provide a quantitative reconciliation of the forward-looking non-GAAP financial measures included in this press release to the most directly comparable GAAP measures due to the high variability and difficulty in predicting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Arial" w:hAnsi="Arial"/>
          <w:b/>
          <w:color w:val="000000"/>
          <w:sz w:val="22"/>
        </w:rPr>
      </w:pPr>
      <w:r>
        <w:rPr>
          <w:rFonts w:ascii="Arial" w:hAnsi="Arial"/>
          <w:b/>
          <w:color w:val="000000"/>
          <w:sz w:val="22"/>
        </w:rPr>
        <w:t>Conference Call Information</w:t>
      </w:r>
    </w:p>
    <w:p>
      <w:pPr>
        <w:pStyle w:val="TextBody"/>
        <w:bidi w:val="0"/>
        <w:spacing w:before="240" w:after="120"/>
        <w:jc w:val="left"/>
        <w:rPr>
          <w:rFonts w:ascii="Arial" w:hAnsi="Arial"/>
          <w:color w:val="000000"/>
          <w:sz w:val="22"/>
        </w:rPr>
      </w:pPr>
      <w:r>
        <w:rPr>
          <w:rFonts w:ascii="Arial" w:hAnsi="Arial"/>
          <w:color w:val="000000"/>
          <w:sz w:val="22"/>
        </w:rPr>
        <w:t>Definitive Healthcare will host a conference call today February 27, 2025, at 5:00 p.m. (Eastern Time) to discuss the Company's full financial results and current business outlook. Participants may access the call at 1-877-358-7298 or 1-848-488-9244. Shortly after the conclusion of the call, a replay of this conference call will be available through March 29, 2025, at 1-800-645-7964 or 1-757-849-6722. The replay passcode is 1765#. A live audio webcast of the event will be available on Definitive Healthcare’s Investor Relations website at https://ir.definitivehc.com/.</w:t>
      </w:r>
    </w:p>
    <w:p>
      <w:pPr>
        <w:pStyle w:val="TextBody"/>
        <w:bidi w:val="0"/>
        <w:spacing w:before="360" w:after="283"/>
        <w:jc w:val="left"/>
        <w:rPr>
          <w:rFonts w:ascii="Arial" w:hAnsi="Arial"/>
          <w:b/>
          <w:color w:val="000000"/>
          <w:sz w:val="22"/>
        </w:rPr>
      </w:pPr>
      <w:r>
        <w:rPr>
          <w:rFonts w:ascii="Arial" w:hAnsi="Arial"/>
          <w:b/>
          <w:color w:val="000000"/>
          <w:sz w:val="22"/>
        </w:rPr>
        <w:t>About Definitive Healthcare</w:t>
      </w:r>
    </w:p>
    <w:p>
      <w:pPr>
        <w:pStyle w:val="TextBody"/>
        <w:bidi w:val="0"/>
        <w:spacing w:before="240" w:after="120"/>
        <w:jc w:val="left"/>
        <w:rPr>
          <w:rFonts w:ascii="Arial" w:hAnsi="Arial"/>
          <w:color w:val="000000"/>
          <w:sz w:val="22"/>
        </w:rPr>
      </w:pPr>
      <w:r>
        <w:rPr>
          <w:rFonts w:ascii="Arial" w:hAnsi="Arial"/>
          <w:color w:val="000000"/>
          <w:sz w:val="22"/>
        </w:rPr>
        <w:t>At Definitive Healthcare, our passion is to transform data, analytics and expertise into healthcare commercial intelligence. We help clients uncover the right markets, opportunities and people, so they can shape tomorrow’s healthcare industry. Learn more at 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Arial" w:hAnsi="Arial"/>
          <w:b/>
          <w:color w:val="000000"/>
          <w:sz w:val="22"/>
        </w:rPr>
      </w:pPr>
      <w:r>
        <w:rPr>
          <w:rFonts w:ascii="Arial" w:hAnsi="Arial"/>
          <w:b/>
          <w:color w:val="000000"/>
          <w:sz w:val="22"/>
        </w:rPr>
        <w:t>Forward-Looking Statements</w:t>
      </w:r>
    </w:p>
    <w:p>
      <w:pPr>
        <w:pStyle w:val="TextBody"/>
        <w:bidi w:val="0"/>
        <w:spacing w:before="240" w:after="120"/>
        <w:jc w:val="left"/>
        <w:rPr>
          <w:rFonts w:ascii="Arial" w:hAnsi="Arial"/>
          <w:i/>
          <w:color w:val="000000"/>
          <w:sz w:val="22"/>
        </w:rPr>
      </w:pPr>
      <w:r>
        <w:rPr>
          <w:rFonts w:ascii="Arial" w:hAnsi="Arial"/>
          <w:i/>
          <w:color w:val="000000"/>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“continues,” “assumes,” “would,” “potentially”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benefits of our healthcare commercial intelligence solutions, our overall future prospects, customer behaviors and use of our solutions, the market, industry and macroeconomic environment, our plans to improve our operational and financial performance and our business, our ability to execute on our plans, customer growth, including our upsell and cross-sell opportunities, and our ability to successfully transition executive leadership. 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global geopolitical tension and difficult macroeconomic conditions; actual or potential changes in international, national, regional and local economic, business and financial conditions, including trade tensions, recessions, inflation, high interest rates, volatility in the capital markets and related market uncertainty;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loss of our access to our data providers; the failure to respond to advances in healthcare commercial intelligence; an inability to attract new customers and expand subscriptions of current customers; our ability to successfully transition executive leadership; the possibility that our security measures are breached or unauthorized access to data is otherwise obtained; and the risks of being required to collect sales or other related taxes for subscriptions to our platform in jurisdictions where we have not historically done so.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20"/>
        <w:jc w:val="left"/>
        <w:rPr>
          <w:rFonts w:ascii="Times New Roman" w:hAnsi="Times New Roman"/>
          <w:sz w:val="20"/>
        </w:rPr>
      </w:pPr>
      <w:r>
        <w:rPr>
          <w:rFonts w:ascii="Arial" w:hAnsi="Arial"/>
          <w:i/>
          <w:color w:val="000000"/>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For additional discussion of factors that could impact our operational and financial results, refer to our Annual Report on Form 10-K for the fiscal year ended December 31, 2024 that will be filed following this earnings release, as well as our Current Reports on Form 8-K and other subsequent SEC filings, which are or will be available on the Investor Relations page of our website at ir.definitivehc.com and on the SEC website at www.sec.gov.</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All information in this press release speaks only as of the date on which it is made. We undertake no obligation to publicly update this information, whether as a result of new information, future developments or otherwise, except as may be required by law.</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2"/>
        </w:rPr>
      </w:pPr>
      <w:r>
        <w:rPr>
          <w:rFonts w:ascii="Arial" w:hAnsi="Arial"/>
          <w:b/>
          <w:color w:val="000000"/>
          <w:sz w:val="22"/>
        </w:rPr>
        <w:t>Website</w:t>
      </w:r>
    </w:p>
    <w:p>
      <w:pPr>
        <w:pStyle w:val="TextBody"/>
        <w:bidi w:val="0"/>
        <w:spacing w:before="240" w:after="120"/>
        <w:jc w:val="left"/>
        <w:rPr>
          <w:rFonts w:ascii="Arial" w:hAnsi="Arial"/>
          <w:i/>
          <w:color w:val="000000"/>
          <w:sz w:val="22"/>
        </w:rPr>
      </w:pPr>
      <w:r>
        <w:rPr>
          <w:rFonts w:ascii="Arial" w:hAnsi="Arial"/>
          <w:i/>
          <w:color w:val="000000"/>
          <w:sz w:val="22"/>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both"/>
        <w:rPr>
          <w:rFonts w:ascii="Times New Roman" w:hAnsi="Times New Roman"/>
          <w:sz w:val="20"/>
        </w:rPr>
      </w:pPr>
      <w:r>
        <w:rPr>
          <w:rFonts w:ascii="Arial" w:hAnsi="Arial"/>
          <w:b/>
          <w:color w:val="000000"/>
          <w:sz w:val="22"/>
        </w:rPr>
        <w:t>Non-GAAP Financial Measures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 A reconciliation of GAAP to non-GAAP results has been provided in the financial statement tables included at the end of this press release. In evaluating our non-GAAP financial measures, you should be aware that in the future, we may incur expenses similar to those eliminated in these presentations.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required by or prepared in accordance with generally accepted accounting principles in the U.S. (“GAAP”). These are supplemental financial measures of our performance and should not be considered substitutes for cash provided by (used in) operating activities, loss from operations, net (loss) income, net (loss) income margin, gross profit, gross margin, or any other measure derived in accordance with GAAP.</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define Unlevered Free Cash Flow as net cash provided by operating activities less purchases of property, equipment and other assets, plus cash interest expense, and cash payments related to transaction, integration, and restructuring related expenses, earnouts, and other non-core items. Unlevered Free Cash Flow does not represent residual cash flow available for discretionary expenditures since, among other things, we have mandatory debt service requirements.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define EBITDA as earnings before debt-related costs, including interest expense, net, income taxes and depreciation and amortization. Adjusted EBITDA is defined as EBITDA adjusted to exclude certain items of a significant or unusual nature, including other income, net, equity-based compensation, transaction, integration, and restructuring expenses, goodwill impairments and other non-core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information to help</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120"/>
        <w:jc w:val="left"/>
        <w:rPr>
          <w:rFonts w:ascii="Times New Roman" w:hAnsi="Times New Roman"/>
          <w:sz w:val="20"/>
        </w:rPr>
      </w:pPr>
      <w:r>
        <w:rPr>
          <w:rFonts w:ascii="Arial" w:hAnsi="Arial"/>
          <w:i/>
          <w:color w:val="000000"/>
          <w:sz w:val="22"/>
        </w:rPr>
        <w:t>investors to assess our operating performance because these metrics eliminate non-core 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define Adjusted Gross Profit as gross profit excluding acquisition-related amortization and equity-based compensation costs and Adjusted Gross Margin is defined as Adjusted Gross Profit as a percentage of revenue.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portion of equity-based compensation is included in cost of revenue in accordance with GAAP but is excluded from our Adjusted Gross Profit calculations due to its non-cash nature.</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define Adjusted Operating Income as loss from operations plus acquisition related amortization, equity-based compensation, transaction, integration, and restructuring expenses, goodwill impairments and other non-core expenses. We define Adjusted Net Income as Adjusted Operating Income less interest (expense), income net, recurring income tax (provision) benefit, foreign currency gain (loss), and tax impacts of adjustments.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We define Adjusted Net Income Per Diluted Share as Adjusted Net Income divided by diluted outstanding shares.</w:t>
      </w:r>
      <w:r>
        <w:rPr>
          <w:rFonts w:ascii="Times New Roman" w:hAnsi="Times New Roman"/>
          <w:color w:val="000000"/>
          <w:sz w:val="20"/>
        </w:rPr>
        <w:t xml:space="preserve"> </w:t>
      </w:r>
    </w:p>
    <w:p>
      <w:pPr>
        <w:pStyle w:val="TextBody"/>
        <w:bidi w:val="0"/>
        <w:spacing w:before="240" w:after="120"/>
        <w:jc w:val="left"/>
        <w:rPr>
          <w:rFonts w:ascii="Times New Roman" w:hAnsi="Times New Roman"/>
          <w:sz w:val="20"/>
        </w:rPr>
      </w:pPr>
      <w:r>
        <w:rPr>
          <w:rFonts w:ascii="Arial" w:hAnsi="Arial"/>
          <w:i/>
          <w:color w:val="000000"/>
          <w:sz w:val="22"/>
        </w:rPr>
        <w:t>In evaluating our non-GAAP financial measures, you should be aware that in the future we may incur expenses similar to those eliminated in these presentations.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sz w:val="20"/>
        </w:rPr>
      </w:pPr>
      <w:r>
        <w:rPr>
          <w:rFonts w:ascii="Arial" w:hAnsi="Arial"/>
          <w:b/>
          <w:color w:val="000000"/>
          <w:sz w:val="22"/>
        </w:rPr>
        <w:t>Investor Contact:</w:t>
      </w:r>
      <w:r>
        <w:rPr>
          <w:rFonts w:ascii="Times New Roman" w:hAnsi="Times New Roman"/>
          <w:color w:val="000000"/>
          <w:sz w:val="20"/>
        </w:rPr>
        <w:t xml:space="preserve"> </w:t>
      </w:r>
    </w:p>
    <w:p>
      <w:pPr>
        <w:pStyle w:val="TextBody"/>
        <w:bidi w:val="0"/>
        <w:jc w:val="left"/>
        <w:rPr>
          <w:rFonts w:ascii="Arial" w:hAnsi="Arial"/>
          <w:color w:val="000000"/>
          <w:sz w:val="22"/>
        </w:rPr>
      </w:pPr>
      <w:r>
        <w:rPr>
          <w:rFonts w:ascii="Arial" w:hAnsi="Arial"/>
          <w:color w:val="000000"/>
          <w:sz w:val="22"/>
        </w:rPr>
        <w:t>Brian Denyeau</w:t>
      </w:r>
    </w:p>
    <w:p>
      <w:pPr>
        <w:pStyle w:val="TextBody"/>
        <w:bidi w:val="0"/>
        <w:jc w:val="left"/>
        <w:rPr>
          <w:rFonts w:ascii="Times New Roman" w:hAnsi="Times New Roman"/>
          <w:sz w:val="20"/>
        </w:rPr>
      </w:pPr>
      <w:r>
        <w:rPr>
          <w:rFonts w:ascii="Arial" w:hAnsi="Arial"/>
          <w:color w:val="000000"/>
          <w:sz w:val="22"/>
        </w:rPr>
        <w:t>ICR for Definitive Healthcare</w:t>
      </w:r>
      <w:r>
        <w:rPr>
          <w:rFonts w:ascii="Times New Roman" w:hAnsi="Times New Roman"/>
          <w:color w:val="000000"/>
          <w:sz w:val="20"/>
        </w:rPr>
        <w:t xml:space="preserve"> </w:t>
      </w:r>
    </w:p>
    <w:p>
      <w:pPr>
        <w:pStyle w:val="TextBody"/>
        <w:bidi w:val="0"/>
        <w:jc w:val="left"/>
        <w:rPr>
          <w:rFonts w:ascii="Arial" w:hAnsi="Arial"/>
          <w:color w:val="0000FF"/>
          <w:sz w:val="22"/>
          <w:u w:val="single"/>
        </w:rPr>
      </w:pPr>
      <w:r>
        <w:rPr>
          <w:rFonts w:ascii="Arial" w:hAnsi="Arial"/>
          <w:color w:val="0000FF"/>
          <w:sz w:val="22"/>
          <w:u w:val="single"/>
        </w:rPr>
        <w:t>brian.denyeau@icrinc.com</w:t>
      </w:r>
    </w:p>
    <w:p>
      <w:pPr>
        <w:pStyle w:val="TextBody"/>
        <w:bidi w:val="0"/>
        <w:jc w:val="left"/>
        <w:rPr>
          <w:rFonts w:ascii="Arial" w:hAnsi="Arial"/>
          <w:color w:val="000000"/>
          <w:sz w:val="22"/>
        </w:rPr>
      </w:pPr>
      <w:r>
        <w:rPr>
          <w:rFonts w:ascii="Arial" w:hAnsi="Arial"/>
          <w:color w:val="000000"/>
          <w:sz w:val="22"/>
        </w:rPr>
        <w:t>646-277-1251</w:t>
      </w:r>
    </w:p>
    <w:p>
      <w:pPr>
        <w:pStyle w:val="TextBody"/>
        <w:bidi w:val="0"/>
        <w:spacing w:before="240" w:after="283"/>
        <w:jc w:val="left"/>
        <w:rPr>
          <w:rFonts w:ascii="Times New Roman" w:hAnsi="Times New Roman"/>
          <w:sz w:val="20"/>
        </w:rPr>
      </w:pPr>
      <w:r>
        <w:rPr>
          <w:rFonts w:ascii="Arial" w:hAnsi="Arial"/>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 xml:space="preserve">Bethany Swackhamer </w:t>
        <w:br/>
      </w:r>
      <w:r>
        <w:rPr>
          <w:rFonts w:ascii="Arial" w:hAnsi="Arial"/>
          <w:color w:val="0000FF"/>
          <w:sz w:val="22"/>
          <w:u w:val="single"/>
        </w:rPr>
        <w:t>bswackhamer@definitivehc.com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6501"/>
        <w:gridCol w:w="246"/>
        <w:gridCol w:w="226"/>
        <w:gridCol w:w="1000"/>
        <w:gridCol w:w="166"/>
        <w:gridCol w:w="246"/>
        <w:gridCol w:w="226"/>
        <w:gridCol w:w="1000"/>
        <w:gridCol w:w="594"/>
      </w:tblGrid>
      <w:tr>
        <w:trPr/>
        <w:tc>
          <w:tcPr>
            <w:tcW w:w="65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Balance Sheets</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1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(amounts in thousands, except number of shares and par value; unaudited)</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130,976</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393,927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323,121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1,825,901</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170,682</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242,567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agreements liability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113,953,554 and 116,562,252 shares issued and outstanding at December 31, 2024 and 2023, respectively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39,439,198 and 39,375,806 shares issued and outstanding, respectively, at December 31, 2024, and 39,762,700 and 39,168,047 shares issued and outstanding, respectively, at December 31, 2023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1,086,581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(deficit)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(227,450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337,817</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1,199,174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1,825,901</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center"/>
        <w:rPr/>
      </w:pPr>
      <w:r>
        <w:rPr/>
        <w:t> </w:t>
      </w:r>
    </w:p>
    <w:tbl>
      <w:tblPr>
        <w:tblW w:w="13372" w:type="dxa"/>
        <w:jc w:val="left"/>
        <w:tblInd w:w="0" w:type="dxa"/>
        <w:tblLayout w:type="fixed"/>
        <w:tblCellMar>
          <w:top w:w="28" w:type="dxa"/>
          <w:left w:w="28" w:type="dxa"/>
          <w:bottom w:w="28" w:type="dxa"/>
          <w:right w:w="28" w:type="dxa"/>
        </w:tblCellMar>
      </w:tblPr>
      <w:tblGrid>
        <w:gridCol w:w="2551"/>
        <w:gridCol w:w="1346"/>
        <w:gridCol w:w="211"/>
        <w:gridCol w:w="1141"/>
        <w:gridCol w:w="446"/>
        <w:gridCol w:w="446"/>
        <w:gridCol w:w="211"/>
        <w:gridCol w:w="1141"/>
        <w:gridCol w:w="546"/>
        <w:gridCol w:w="546"/>
        <w:gridCol w:w="211"/>
        <w:gridCol w:w="1141"/>
        <w:gridCol w:w="546"/>
        <w:gridCol w:w="546"/>
        <w:gridCol w:w="211"/>
        <w:gridCol w:w="1141"/>
        <w:gridCol w:w="991"/>
      </w:tblGrid>
      <w:tr>
        <w:trPr/>
        <w:tc>
          <w:tcPr>
            <w:tcW w:w="255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238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Definitive Healthcare Corp.</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8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 Statements of Operations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81"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(amounts in thousands, except share amounts and per share data; unaudited)</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62,288</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252,202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Cost of revenue exclusive of amortization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Gross profit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47,602</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197,469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Sales and marketing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20,372</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94,534</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Product development </w:t>
            </w:r>
            <w:r>
              <w:rPr>
                <w:rFonts w:ascii="Times New Roman" w:hAnsi="Times New Roman"/>
                <w:color w:val="000000"/>
                <w:sz w:val="13"/>
              </w:rPr>
              <w:t>(1)</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8,982</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(1)</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Depreciation and amortization</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37,618</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39,008</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 impairment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operating expenses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147,165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908,289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533,733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from operations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(99,563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(710,820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Interest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Other income (expense), net</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other income (expense), net</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8,951</w:t>
            </w:r>
          </w:p>
        </w:tc>
        <w:tc>
          <w:tcPr>
            <w:tcW w:w="4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5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77,075</w:t>
            </w:r>
          </w:p>
        </w:tc>
        <w:tc>
          <w:tcPr>
            <w:tcW w:w="5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Loss before income taxes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(90,612</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(633,745</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Benefit from (provision for) income taxes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(59,075</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(413,124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Diluted</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Stock outstanding:</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Basic</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115,015,489</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116,418,495</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116,640,183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112,764,537</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Diluted</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115,015,489</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116,418,495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116,640,183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112,764,537</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Amounts include equity-based compensation expense as follows: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22,432</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equity-based compensation expense</w:t>
            </w:r>
          </w:p>
        </w:tc>
        <w:tc>
          <w:tcPr>
            <w:tcW w:w="13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48,739</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837"/>
        <w:gridCol w:w="204"/>
        <w:gridCol w:w="783"/>
        <w:gridCol w:w="173"/>
        <w:gridCol w:w="152"/>
        <w:gridCol w:w="204"/>
        <w:gridCol w:w="720"/>
        <w:gridCol w:w="966"/>
        <w:gridCol w:w="946"/>
        <w:gridCol w:w="196"/>
        <w:gridCol w:w="751"/>
        <w:gridCol w:w="166"/>
        <w:gridCol w:w="146"/>
        <w:gridCol w:w="196"/>
        <w:gridCol w:w="751"/>
        <w:gridCol w:w="1014"/>
      </w:tblGrid>
      <w:tr>
        <w:trPr/>
        <w:tc>
          <w:tcPr>
            <w:tcW w:w="28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919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Definitive Healthcare Corp.</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9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Consolidated Statements of Cash Flows</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91"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(amounts in thousands; unaudited)</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provided by (used in) operating activities:</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(13,362</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(289,627</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provided by operating activities:</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Depreciation and amortization</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Amortization of intangible assets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12,439</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49,797</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Amortization of deferred contract costs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3,488</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12,963</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Equity-based compensation</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13,254</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48,739</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Amortization of debt issuance costs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Provision for bad debt expense</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Non-cash restructuring charges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Goodwill impairment charges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97,060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287,400</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Tax receivable agreement remeasurement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1,507</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(23,470</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Changes in fair value of contingent consideration</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Deferred income taxes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(18,713</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Accounts receivable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(18,559</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Prepaid expenses and other assets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(7,156</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Deferred contract costs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(5,770</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(18,790</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Contingent consideration</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Accounts payable, accrued expenses, and other liabilities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2,919</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Deferred revenue</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7,533</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(6,580</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operating activities</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4,709</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41,190</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provided by investing activities:</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property, equipment, and other assets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(2,977</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short-term investments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(111,634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(45,595</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(259,208</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Maturities of short-term investments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100,596</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275,426</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for acquisitions and investments, net of cash acquired</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(45,023</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54,407</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(31,782</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financing activities:</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term loans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(3,438</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(8,594</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Taxes paid related to net share settlement of equity awards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(4,432</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Repurchases of Class A Common Stock</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Payments of contingent consideration</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Payments under tax receivable agreement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Payments of equity offering issuance costs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Member distributions</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(2,324</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(12,282</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(6,062</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(25,584</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53,054</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(16,176</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and cash equivalents, beginning of year</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137,609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77,460</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146,934</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and cash equivalents, end of year</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105,378</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130,976</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130,976</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disclosures:</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during the period for:</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3,684</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14,456</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Acquisitions:</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assets acquired, net of cash acquired</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52,678</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Working capital adjustment receivable</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Contingent consideration</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paid for acquisitions</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9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45,023</w:t>
            </w:r>
          </w:p>
        </w:tc>
        <w:tc>
          <w:tcPr>
            <w:tcW w:w="1014"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activities:</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Capital expenditures included in accounts payable and accrued expenses and other liabilities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Reconciliations of Non-GAAP Financial Measures to Closest GAAP Equivalent</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12"/>
        <w:gridCol w:w="239"/>
        <w:gridCol w:w="837"/>
        <w:gridCol w:w="302"/>
        <w:gridCol w:w="279"/>
        <w:gridCol w:w="239"/>
        <w:gridCol w:w="768"/>
        <w:gridCol w:w="1073"/>
        <w:gridCol w:w="1051"/>
        <w:gridCol w:w="234"/>
        <w:gridCol w:w="818"/>
        <w:gridCol w:w="295"/>
        <w:gridCol w:w="273"/>
        <w:gridCol w:w="234"/>
        <w:gridCol w:w="751"/>
        <w:gridCol w:w="500"/>
      </w:tblGrid>
      <w:tr>
        <w:trPr/>
        <w:tc>
          <w:tcPr>
            <w:tcW w:w="23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97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Operating Cash Flow to Unlevered Free Cash Flow</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05"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unaudited)</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4,709</w:t>
            </w:r>
          </w:p>
        </w:tc>
        <w:tc>
          <w:tcPr>
            <w:tcW w:w="10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58,196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41,190</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equipment, and other assets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(10,901</w:t>
            </w:r>
          </w:p>
        </w:tc>
        <w:tc>
          <w:tcPr>
            <w:tcW w:w="3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07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(12,344</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5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paid in cash</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07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14,456</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Transaction, integration, and restructuring expenses paid in cash</w:t>
            </w:r>
            <w:r>
              <w:rPr>
                <w:rFonts w:ascii="Times New Roman" w:hAnsi="Times New Roman"/>
                <w:color w:val="000000"/>
                <w:sz w:val="13"/>
              </w:rPr>
              <w:t>(a)</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07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12,766</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11,032</w:t>
            </w:r>
          </w:p>
        </w:tc>
        <w:tc>
          <w:tcPr>
            <w:tcW w:w="5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Earnout payment </w:t>
            </w:r>
            <w:r>
              <w:rPr>
                <w:rFonts w:ascii="Times New Roman" w:hAnsi="Times New Roman"/>
                <w:color w:val="000000"/>
                <w:sz w:val="13"/>
              </w:rPr>
              <w:t>(b)</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w:t>
            </w:r>
            <w:r>
              <w:rPr>
                <w:rFonts w:ascii="Times New Roman" w:hAnsi="Times New Roman"/>
                <w:color w:val="000000"/>
                <w:sz w:val="13"/>
              </w:rPr>
              <w:t>(c)</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Unlevered Free Cash Flow</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72,480</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68,576</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05"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Transaction and integration expenses paid in cash primarily represent legal, accounting, and consulting expenses related to our acquisitions. Restructuring expenses paid in cash relate to our restructuring plans announced in the first quarter of 2024 and the first and third quarters of 2023, along with exit costs related to office relocations.</w:t>
              <w:br/>
              <w:t xml:space="preserve">(b) Earnout payment represents final settlement of contingent consideration included in cash flow from operations. </w:t>
              <w:br/>
              <w:t>(c) Other non-core items represent expenses driven by events that are typically by nature one-time, non-operational, and/or unrelated to our core operations.</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376"/>
        <w:gridCol w:w="211"/>
        <w:gridCol w:w="1142"/>
        <w:gridCol w:w="266"/>
        <w:gridCol w:w="246"/>
        <w:gridCol w:w="211"/>
        <w:gridCol w:w="1142"/>
        <w:gridCol w:w="947"/>
        <w:gridCol w:w="947"/>
        <w:gridCol w:w="211"/>
        <w:gridCol w:w="1142"/>
        <w:gridCol w:w="246"/>
        <w:gridCol w:w="246"/>
        <w:gridCol w:w="211"/>
        <w:gridCol w:w="1142"/>
        <w:gridCol w:w="519"/>
      </w:tblGrid>
      <w:tr>
        <w:trPr/>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968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Net Income and</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GAAP Operating Loss to Adjusted Operating Income</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86"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except per share amounts; unaudited)</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(13,362</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(591,446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Income tax (benefit) provision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Interest expense,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(income)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(77,320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(23,179</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Loss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(99,563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(10,080</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(710,820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(329,800</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Amortization of intangible assets acquired through business combinations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11,510</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46,099</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Equity-based compensation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48,739</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Transaction, integration, and restructuring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Goodwill impairment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Other non-core items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Operating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68,802</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 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Less: Recurring income tax benefit (provision) </w:t>
            </w:r>
            <w:r>
              <w:rPr>
                <w:rFonts w:ascii="Times New Roman" w:hAnsi="Times New Roman"/>
                <w:color w:val="000000"/>
                <w:sz w:val="13"/>
              </w:rPr>
              <w:t>(a)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Foreign currency gain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Tax impacts of adjustments to 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Adjusted Net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46,693</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Shares for Adjusted Net Income Per Diluted Share </w:t>
            </w:r>
            <w:r>
              <w:rPr>
                <w:rFonts w:ascii="Times New Roman" w:hAnsi="Times New Roman"/>
                <w:color w:val="000000"/>
                <w:sz w:val="13"/>
              </w:rPr>
              <w:t>(b)</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154,404,162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155,560,756</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155,853,282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154,836,706</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Income Per Diluted Share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94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86" w:type="dxa"/>
            <w:gridSpan w:val="1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Recurring income tax benefit (provision) excludes the income tax impact of goodwill impairment charges.</w:t>
              <w:br/>
              <w:t>(b)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162,498,543 and 163,153,442 as of December 31, 2024 and 2023, respectively.</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pPr>
      <w:r>
        <w:rPr/>
        <w:t> </w:t>
      </w:r>
    </w:p>
    <w:p>
      <w:pPr>
        <w:pStyle w:val="TextBody"/>
        <w:bidi w:val="0"/>
        <w:spacing w:before="0" w:after="240"/>
        <w:jc w:val="center"/>
        <w:rPr/>
      </w:pPr>
      <w:r>
        <w:rPr/>
        <w:t> </w:t>
      </w:r>
    </w:p>
    <w:tbl>
      <w:tblPr>
        <w:tblW w:w="10484" w:type="dxa"/>
        <w:jc w:val="left"/>
        <w:tblInd w:w="0" w:type="dxa"/>
        <w:tblLayout w:type="fixed"/>
        <w:tblCellMar>
          <w:top w:w="28" w:type="dxa"/>
          <w:left w:w="28" w:type="dxa"/>
          <w:bottom w:w="28" w:type="dxa"/>
          <w:right w:w="28" w:type="dxa"/>
        </w:tblCellMar>
      </w:tblPr>
      <w:tblGrid>
        <w:gridCol w:w="1411"/>
        <w:gridCol w:w="146"/>
        <w:gridCol w:w="196"/>
        <w:gridCol w:w="601"/>
        <w:gridCol w:w="146"/>
        <w:gridCol w:w="146"/>
        <w:gridCol w:w="243"/>
        <w:gridCol w:w="478"/>
        <w:gridCol w:w="256"/>
        <w:gridCol w:w="146"/>
        <w:gridCol w:w="196"/>
        <w:gridCol w:w="601"/>
        <w:gridCol w:w="146"/>
        <w:gridCol w:w="146"/>
        <w:gridCol w:w="243"/>
        <w:gridCol w:w="478"/>
        <w:gridCol w:w="256"/>
        <w:gridCol w:w="146"/>
        <w:gridCol w:w="196"/>
        <w:gridCol w:w="691"/>
        <w:gridCol w:w="146"/>
        <w:gridCol w:w="146"/>
        <w:gridCol w:w="243"/>
        <w:gridCol w:w="478"/>
        <w:gridCol w:w="256"/>
        <w:gridCol w:w="146"/>
        <w:gridCol w:w="196"/>
        <w:gridCol w:w="691"/>
        <w:gridCol w:w="146"/>
        <w:gridCol w:w="146"/>
        <w:gridCol w:w="243"/>
        <w:gridCol w:w="478"/>
        <w:gridCol w:w="30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183"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Gross Profit and Margin to Adjusted Gross Profit and Margin</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183" w:type="dxa"/>
            <w:gridSpan w:val="3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Reported gross profit</w:t>
            </w:r>
            <w:r>
              <w:rPr>
                <w:rFonts w:ascii="Times New Roman" w:hAnsi="Times New Roman"/>
                <w:color w:val="000000"/>
                <w:sz w:val="18"/>
              </w:rPr>
              <w:t xml:space="preserve"> </w:t>
            </w:r>
            <w:r>
              <w:rPr>
                <w:rFonts w:ascii="Times New Roman" w:hAnsi="Times New Roman"/>
                <w:b/>
                <w:color w:val="000000"/>
                <w:sz w:val="18"/>
              </w:rPr>
              <w:t>and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 assets resulting from acquisition-related purchase accounting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Equity-based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gross profit and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pPr>
      <w:r>
        <w:rPr/>
        <w:t> </w:t>
      </w:r>
    </w:p>
    <w:tbl>
      <w:tblPr>
        <w:tblW w:w="10358" w:type="dxa"/>
        <w:jc w:val="left"/>
        <w:tblInd w:w="0" w:type="dxa"/>
        <w:tblLayout w:type="fixed"/>
        <w:tblCellMar>
          <w:top w:w="28" w:type="dxa"/>
          <w:left w:w="28" w:type="dxa"/>
          <w:bottom w:w="28" w:type="dxa"/>
          <w:right w:w="28" w:type="dxa"/>
        </w:tblCellMar>
      </w:tblPr>
      <w:tblGrid>
        <w:gridCol w:w="1171"/>
        <w:gridCol w:w="196"/>
        <w:gridCol w:w="661"/>
        <w:gridCol w:w="166"/>
        <w:gridCol w:w="146"/>
        <w:gridCol w:w="180"/>
        <w:gridCol w:w="541"/>
        <w:gridCol w:w="241"/>
        <w:gridCol w:w="146"/>
        <w:gridCol w:w="196"/>
        <w:gridCol w:w="661"/>
        <w:gridCol w:w="166"/>
        <w:gridCol w:w="146"/>
        <w:gridCol w:w="213"/>
        <w:gridCol w:w="508"/>
        <w:gridCol w:w="241"/>
        <w:gridCol w:w="146"/>
        <w:gridCol w:w="196"/>
        <w:gridCol w:w="751"/>
        <w:gridCol w:w="166"/>
        <w:gridCol w:w="146"/>
        <w:gridCol w:w="180"/>
        <w:gridCol w:w="541"/>
        <w:gridCol w:w="241"/>
        <w:gridCol w:w="146"/>
        <w:gridCol w:w="196"/>
        <w:gridCol w:w="751"/>
        <w:gridCol w:w="166"/>
        <w:gridCol w:w="146"/>
        <w:gridCol w:w="180"/>
        <w:gridCol w:w="541"/>
        <w:gridCol w:w="286"/>
      </w:tblGrid>
      <w:tr>
        <w:trPr/>
        <w:tc>
          <w:tcPr>
            <w:tcW w:w="1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072"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Reconciliation of GAAP Net Loss to Adjusted EBITDA</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072" w:type="dxa"/>
            <w:gridSpan w:val="3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 unaudited)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4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loss and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(benefit) provision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Depreciation &amp; amortization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EBITDA and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(581,833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Other (income) expense, net </w:t>
            </w:r>
            <w:r>
              <w:rPr>
                <w:rFonts w:ascii="Times New Roman" w:hAnsi="Times New Roman"/>
                <w:color w:val="000000"/>
                <w:sz w:val="11"/>
              </w:rPr>
              <w:t>(a)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Equity-based compensation </w:t>
            </w:r>
            <w:r>
              <w:rPr>
                <w:rFonts w:ascii="Times New Roman" w:hAnsi="Times New Roman"/>
                <w:color w:val="000000"/>
                <w:sz w:val="11"/>
              </w:rPr>
              <w:t>(b)</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Transaction, integration, and restructuring expenses </w:t>
            </w:r>
            <w:r>
              <w:rPr>
                <w:rFonts w:ascii="Times New Roman" w:hAnsi="Times New Roman"/>
                <w:color w:val="000000"/>
                <w:sz w:val="11"/>
              </w:rPr>
              <w:t>(c)</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Goodwill impairment </w:t>
            </w:r>
            <w:r>
              <w:rPr>
                <w:rFonts w:ascii="Times New Roman" w:hAnsi="Times New Roman"/>
                <w:color w:val="000000"/>
                <w:sz w:val="11"/>
              </w:rPr>
              <w:t>(d)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688,854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287,400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Other non-core items </w:t>
            </w:r>
            <w:r>
              <w:rPr>
                <w:rFonts w:ascii="Times New Roman" w:hAnsi="Times New Roman"/>
                <w:color w:val="000000"/>
                <w:sz w:val="11"/>
              </w:rPr>
              <w:t>(e)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Adjusted EBITDA and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72" w:type="dxa"/>
            <w:gridSpan w:val="3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Primarily represents TRA liability remeasurement and foreign exchange gains and losses.</w:t>
              <w:br/>
              <w:t>(b) Equity-based compensation represents non-cash compensation expense recognized in association with equity awards made to employees and directors.</w:t>
              <w:br/>
              <w:t>(c) Transaction and integration expenses primarily represent legal, accounting, and consulting expenses and fair value adjustments for contingent consideration related to our acquisitions and strategic partnerships. Restructuring expenses relate to the 2024 Restructuring Plan and those we committed to during the first and third quarters of 2023, as well as impairment and restructuring charges related to office closures, relocations, and consolidations.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74"/>
        <w:gridCol w:w="546"/>
        <w:gridCol w:w="237"/>
        <w:gridCol w:w="643"/>
        <w:gridCol w:w="276"/>
        <w:gridCol w:w="276"/>
        <w:gridCol w:w="237"/>
        <w:gridCol w:w="643"/>
        <w:gridCol w:w="646"/>
        <w:gridCol w:w="646"/>
        <w:gridCol w:w="211"/>
        <w:gridCol w:w="676"/>
        <w:gridCol w:w="266"/>
        <w:gridCol w:w="246"/>
        <w:gridCol w:w="211"/>
        <w:gridCol w:w="676"/>
        <w:gridCol w:w="195"/>
      </w:tblGrid>
      <w:tr>
        <w:trPr/>
        <w:tc>
          <w:tcPr>
            <w:tcW w:w="357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Goodwill impairment charges represent non-cash, pre-tax, goodwill impairment charges. We experienced declines in our market capitalization as a result of sustained decreases in our stock price, which represented triggering events requiring our management to perform quantitative goodwill impairment tests multiple times in 2024 and during the third quarter of 2023. As a result of the impairment tests conducted in each respective period, we determined that the fair value of our single reporting unit was lower than its carrying value and, accordingly, recorded these impairment charges.</w:t>
      </w:r>
    </w:p>
    <w:p>
      <w:pPr>
        <w:pStyle w:val="TextBody"/>
        <w:bidi w:val="0"/>
        <w:jc w:val="left"/>
        <w:rPr>
          <w:rFonts w:ascii="Times New Roman" w:hAnsi="Times New Roman"/>
          <w:color w:val="000000"/>
          <w:sz w:val="20"/>
        </w:rPr>
      </w:pPr>
      <w:r>
        <w:rPr>
          <w:rFonts w:ascii="Times New Roman" w:hAnsi="Times New Roman"/>
          <w:color w:val="000000"/>
          <w:sz w:val="20"/>
        </w:rPr>
        <w:t>(e) 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2024 and in certain previous years, and other non-recurring legal and regulatory matters. Other non-core items also include consulting fees and severance costs associated with strategic transition initiatives, as well as professional fees related to financing, capital structure changes, and other non-core items.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0"/>
        <w:gridCol w:w="546"/>
        <w:gridCol w:w="235"/>
        <w:gridCol w:w="706"/>
        <w:gridCol w:w="297"/>
        <w:gridCol w:w="275"/>
        <w:gridCol w:w="235"/>
        <w:gridCol w:w="638"/>
        <w:gridCol w:w="666"/>
        <w:gridCol w:w="646"/>
        <w:gridCol w:w="211"/>
        <w:gridCol w:w="631"/>
        <w:gridCol w:w="266"/>
        <w:gridCol w:w="246"/>
        <w:gridCol w:w="211"/>
        <w:gridCol w:w="571"/>
        <w:gridCol w:w="195"/>
      </w:tblGrid>
      <w:tr>
        <w:trPr/>
        <w:tc>
          <w:tcPr>
            <w:tcW w:w="36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6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severance costs for strategic transition initiatives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9317</Words>
  <Characters>50301</Characters>
  <CharactersWithSpaces>60415</CharactersWithSpaces>
  <Paragraphs>3622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