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4"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120015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3"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139065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1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2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6"/>
                <w:szCs w:val="16"/>
                <w:b w:val="1"/>
                <w:bCs w:val="1"/>
                <w:color w:val="auto"/>
              </w:rPr>
              <w:t>to</w:t>
            </w:r>
          </w:p>
        </w:tc>
      </w:tr>
      <w:tr>
        <w:trPr>
          <w:trHeight w:val="325"/>
        </w:trPr>
        <w:tc>
          <w:tcPr>
            <w:tcW w:w="3260" w:type="dxa"/>
            <w:vAlign w:val="bottom"/>
            <w:gridSpan w:val="3"/>
          </w:tcPr>
          <w:p>
            <w:pPr>
              <w:ind w:left="740"/>
              <w:spacing w:after="0"/>
              <w:rPr>
                <w:sz w:val="20"/>
                <w:szCs w:val="20"/>
                <w:color w:val="auto"/>
              </w:rPr>
            </w:pPr>
            <w:r>
              <w:rPr>
                <w:rFonts w:ascii="Arial" w:cs="Arial" w:eastAsia="Arial" w:hAnsi="Arial"/>
                <w:sz w:val="16"/>
                <w:szCs w:val="16"/>
                <w:b w:val="1"/>
                <w:bCs w:val="1"/>
                <w:color w:val="auto"/>
                <w:w w:val="91"/>
              </w:rPr>
              <w:t>Commission File Number 001-40815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114935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Definitive Healthcare Corp.</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7580" w:type="dxa"/>
            <w:vAlign w:val="bottom"/>
            <w:gridSpan w:val="7"/>
          </w:tcPr>
          <w:p>
            <w:pPr>
              <w:jc w:val="center"/>
              <w:ind w:left="352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80" w:type="dxa"/>
            <w:vAlign w:val="bottom"/>
            <w:gridSpan w:val="3"/>
            <w:vMerge w:val="restart"/>
          </w:tcPr>
          <w:p>
            <w:pPr>
              <w:jc w:val="center"/>
              <w:ind w:left="1043"/>
              <w:spacing w:after="0"/>
              <w:rPr>
                <w:sz w:val="20"/>
                <w:szCs w:val="20"/>
                <w:color w:val="auto"/>
              </w:rPr>
            </w:pPr>
            <w:r>
              <w:rPr>
                <w:rFonts w:ascii="Arial" w:cs="Arial" w:eastAsia="Arial" w:hAnsi="Arial"/>
                <w:sz w:val="16"/>
                <w:szCs w:val="16"/>
                <w:b w:val="1"/>
                <w:bCs w:val="1"/>
                <w:color w:val="auto"/>
                <w:w w:val="91"/>
              </w:rPr>
              <w:t>Delaware</w:t>
            </w:r>
          </w:p>
        </w:tc>
        <w:tc>
          <w:tcPr>
            <w:tcW w:w="2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20" w:type="dxa"/>
            <w:vAlign w:val="bottom"/>
            <w:vMerge w:val="restart"/>
          </w:tcPr>
          <w:p>
            <w:pPr>
              <w:jc w:val="right"/>
              <w:ind w:right="2324"/>
              <w:spacing w:after="0"/>
              <w:rPr>
                <w:sz w:val="20"/>
                <w:szCs w:val="20"/>
                <w:color w:val="auto"/>
              </w:rPr>
            </w:pPr>
            <w:r>
              <w:rPr>
                <w:rFonts w:ascii="Arial" w:cs="Arial" w:eastAsia="Arial" w:hAnsi="Arial"/>
                <w:sz w:val="16"/>
                <w:szCs w:val="16"/>
                <w:b w:val="1"/>
                <w:bCs w:val="1"/>
                <w:color w:val="auto"/>
              </w:rPr>
              <w:t>86-3988281</w:t>
            </w:r>
          </w:p>
        </w:tc>
        <w:tc>
          <w:tcPr>
            <w:tcW w:w="0" w:type="dxa"/>
            <w:vAlign w:val="bottom"/>
          </w:tcPr>
          <w:p>
            <w:pPr>
              <w:spacing w:after="0"/>
              <w:rPr>
                <w:sz w:val="1"/>
                <w:szCs w:val="1"/>
                <w:color w:val="auto"/>
              </w:rPr>
            </w:pPr>
          </w:p>
        </w:tc>
      </w:tr>
      <w:tr>
        <w:trPr>
          <w:trHeight w:val="325"/>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80" w:type="dxa"/>
            <w:vAlign w:val="bottom"/>
            <w:gridSpan w:val="3"/>
          </w:tcPr>
          <w:p>
            <w:pPr>
              <w:jc w:val="center"/>
              <w:ind w:left="1043"/>
              <w:spacing w:after="0" w:line="15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20" w:type="dxa"/>
            <w:vAlign w:val="bottom"/>
          </w:tcPr>
          <w:p>
            <w:pPr>
              <w:jc w:val="center"/>
              <w:ind w:right="1864"/>
              <w:spacing w:after="0" w:line="15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48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20" w:type="dxa"/>
            <w:vAlign w:val="bottom"/>
          </w:tcPr>
          <w:p>
            <w:pPr>
              <w:jc w:val="center"/>
              <w:ind w:right="186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62"/>
        </w:trPr>
        <w:tc>
          <w:tcPr>
            <w:tcW w:w="4480" w:type="dxa"/>
            <w:vAlign w:val="bottom"/>
            <w:gridSpan w:val="3"/>
          </w:tcPr>
          <w:p>
            <w:pPr>
              <w:jc w:val="center"/>
              <w:ind w:left="1023"/>
              <w:spacing w:after="0"/>
              <w:rPr>
                <w:sz w:val="20"/>
                <w:szCs w:val="20"/>
                <w:color w:val="auto"/>
              </w:rPr>
            </w:pPr>
            <w:r>
              <w:rPr>
                <w:rFonts w:ascii="Arial" w:cs="Arial" w:eastAsia="Arial" w:hAnsi="Arial"/>
                <w:sz w:val="16"/>
                <w:szCs w:val="16"/>
                <w:b w:val="1"/>
                <w:bCs w:val="1"/>
                <w:color w:val="auto"/>
                <w:w w:val="91"/>
              </w:rPr>
              <w:t>492 Old Connecticut Path, Suite 401</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gridSpan w:val="3"/>
          </w:tcPr>
          <w:p>
            <w:pPr>
              <w:jc w:val="center"/>
              <w:ind w:left="1043"/>
              <w:spacing w:after="0"/>
              <w:rPr>
                <w:sz w:val="20"/>
                <w:szCs w:val="20"/>
                <w:color w:val="auto"/>
              </w:rPr>
            </w:pPr>
            <w:r>
              <w:rPr>
                <w:rFonts w:ascii="Arial" w:cs="Arial" w:eastAsia="Arial" w:hAnsi="Arial"/>
                <w:sz w:val="16"/>
                <w:szCs w:val="16"/>
                <w:b w:val="1"/>
                <w:bCs w:val="1"/>
                <w:color w:val="auto"/>
                <w:w w:val="95"/>
              </w:rPr>
              <w:t>Framingham, MA</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20" w:type="dxa"/>
            <w:vAlign w:val="bottom"/>
          </w:tcPr>
          <w:p>
            <w:pPr>
              <w:jc w:val="right"/>
              <w:ind w:right="2504"/>
              <w:spacing w:after="0"/>
              <w:rPr>
                <w:sz w:val="20"/>
                <w:szCs w:val="20"/>
                <w:color w:val="auto"/>
              </w:rPr>
            </w:pPr>
            <w:r>
              <w:rPr>
                <w:rFonts w:ascii="Arial" w:cs="Arial" w:eastAsia="Arial" w:hAnsi="Arial"/>
                <w:sz w:val="16"/>
                <w:szCs w:val="16"/>
                <w:b w:val="1"/>
                <w:bCs w:val="1"/>
                <w:color w:val="auto"/>
              </w:rPr>
              <w:t>01701</w:t>
            </w:r>
          </w:p>
        </w:tc>
        <w:tc>
          <w:tcPr>
            <w:tcW w:w="0" w:type="dxa"/>
            <w:vAlign w:val="bottom"/>
          </w:tcPr>
          <w:p>
            <w:pPr>
              <w:spacing w:after="0"/>
              <w:rPr>
                <w:sz w:val="1"/>
                <w:szCs w:val="1"/>
                <w:color w:val="auto"/>
              </w:rPr>
            </w:pPr>
          </w:p>
        </w:tc>
      </w:tr>
      <w:tr>
        <w:trPr>
          <w:trHeight w:val="196"/>
        </w:trPr>
        <w:tc>
          <w:tcPr>
            <w:tcW w:w="448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tcPr>
          <w:p>
            <w:pPr>
              <w:jc w:val="center"/>
              <w:ind w:right="188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26"/>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1"/>
              </w:rPr>
              <w:t>(508) 720-4224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580" w:type="dxa"/>
            <w:vAlign w:val="bottom"/>
            <w:gridSpan w:val="7"/>
          </w:tcPr>
          <w:p>
            <w:pPr>
              <w:jc w:val="center"/>
              <w:ind w:left="3503"/>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80" w:type="dxa"/>
            <w:vAlign w:val="bottom"/>
            <w:gridSpan w:val="3"/>
            <w:vMerge w:val="restart"/>
          </w:tcPr>
          <w:p>
            <w:pPr>
              <w:ind w:left="50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85"/>
        </w:trPr>
        <w:tc>
          <w:tcPr>
            <w:tcW w:w="44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Class A Common Stock, $0.001 par value</w:t>
            </w:r>
          </w:p>
        </w:tc>
        <w:tc>
          <w:tcPr>
            <w:tcW w:w="3100" w:type="dxa"/>
            <w:vAlign w:val="bottom"/>
            <w:gridSpan w:val="4"/>
          </w:tcPr>
          <w:p>
            <w:pPr>
              <w:jc w:val="center"/>
              <w:ind w:right="900"/>
              <w:spacing w:after="0"/>
              <w:rPr>
                <w:sz w:val="20"/>
                <w:szCs w:val="20"/>
                <w:color w:val="auto"/>
              </w:rPr>
            </w:pPr>
            <w:r>
              <w:rPr>
                <w:rFonts w:ascii="Arial" w:cs="Arial" w:eastAsia="Arial" w:hAnsi="Arial"/>
                <w:sz w:val="16"/>
                <w:szCs w:val="16"/>
                <w:b w:val="1"/>
                <w:bCs w:val="1"/>
                <w:color w:val="auto"/>
              </w:rPr>
              <w:t>DH</w:t>
            </w:r>
          </w:p>
        </w:tc>
        <w:tc>
          <w:tcPr>
            <w:tcW w:w="3620" w:type="dxa"/>
            <w:vAlign w:val="bottom"/>
          </w:tcPr>
          <w:p>
            <w:pPr>
              <w:ind w:left="40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right="20" w:firstLine="509"/>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ind w:firstLine="50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8" w:lineRule="exact"/>
        <w:rPr>
          <w:sz w:val="24"/>
          <w:szCs w:val="24"/>
          <w:color w:val="auto"/>
        </w:rPr>
      </w:pPr>
    </w:p>
    <w:p>
      <w:pPr>
        <w:jc w:val="both"/>
        <w:ind w:right="26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2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60" w:type="dxa"/>
            <w:vAlign w:val="bottom"/>
          </w:tcPr>
          <w:p>
            <w:pPr>
              <w:ind w:left="292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1" w:lineRule="exact"/>
        <w:rPr>
          <w:sz w:val="24"/>
          <w:szCs w:val="24"/>
          <w:color w:val="auto"/>
        </w:rPr>
      </w:pPr>
    </w:p>
    <w:p>
      <w:pPr>
        <w:ind w:right="80" w:firstLine="50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2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by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31, 2023, the number of outstanding shares of the registrant’s Class A Common Stock was 116,328,089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Glossary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FINANCIAL INFORMATION</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Changes in Total Equity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920" w:type="dxa"/>
            <w:vAlign w:val="bottom"/>
          </w:tcPr>
          <w:p>
            <w:pPr>
              <w:jc w:val="right"/>
              <w:ind w:right="251"/>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4820" w:type="dxa"/>
            <w:vAlign w:val="bottom"/>
            <w:gridSpan w:val="10"/>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4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96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40" w:type="dxa"/>
            <w:vAlign w:val="bottom"/>
            <w:gridSpan w:val="16"/>
          </w:tcPr>
          <w:p>
            <w:pPr>
              <w:ind w:left="454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336"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w:t>
      </w:r>
    </w:p>
    <w:p>
      <w:pPr>
        <w:spacing w:after="0" w:line="2" w:lineRule="exact"/>
        <w:rPr>
          <w:sz w:val="20"/>
          <w:szCs w:val="20"/>
          <w:color w:val="auto"/>
        </w:rPr>
      </w:pPr>
    </w:p>
    <w:p>
      <w:pPr>
        <w:ind w:right="120" w:firstLine="8"/>
        <w:spacing w:after="0" w:line="32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354" w:lineRule="exact"/>
        <w:rPr>
          <w:rFonts w:ascii="Arial" w:cs="Arial" w:eastAsia="Arial" w:hAnsi="Arial"/>
          <w:sz w:val="16"/>
          <w:szCs w:val="16"/>
          <w:color w:val="auto"/>
        </w:rPr>
      </w:pPr>
    </w:p>
    <w:p>
      <w:pPr>
        <w:ind w:left="1020" w:right="220" w:hanging="504"/>
        <w:spacing w:after="0" w:line="258"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AIDH Buyer</w:t>
      </w:r>
      <w:r>
        <w:rPr>
          <w:rFonts w:ascii="Arial" w:cs="Arial" w:eastAsia="Arial" w:hAnsi="Arial"/>
          <w:sz w:val="18"/>
          <w:szCs w:val="18"/>
          <w:color w:val="auto"/>
        </w:rPr>
        <w:t>” refers to AIDH Buyer, LLC, which is a wholly owned subsidiary of Definitive OpCo and the direct parent company of DH Holdings.</w:t>
      </w:r>
    </w:p>
    <w:p>
      <w:pPr>
        <w:ind w:left="1020" w:hanging="504"/>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w:t>
      </w:r>
      <w:r>
        <w:rPr>
          <w:rFonts w:ascii="Arial" w:cs="Arial" w:eastAsia="Arial" w:hAnsi="Arial"/>
          <w:sz w:val="18"/>
          <w:szCs w:val="18"/>
          <w:color w:val="auto"/>
        </w:rPr>
        <w:t>” refers to funds affiliated with Advent International, a global private equity firm.</w:t>
      </w:r>
    </w:p>
    <w:p>
      <w:pPr>
        <w:spacing w:after="0" w:line="8" w:lineRule="exact"/>
        <w:rPr>
          <w:rFonts w:ascii="Arial" w:cs="Arial" w:eastAsia="Arial" w:hAnsi="Arial"/>
          <w:sz w:val="18"/>
          <w:szCs w:val="18"/>
          <w:color w:val="auto"/>
        </w:rPr>
      </w:pPr>
    </w:p>
    <w:p>
      <w:pPr>
        <w:ind w:left="102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AIDH Management Holdings, LLC</w:t>
      </w:r>
      <w:r>
        <w:rPr>
          <w:rFonts w:ascii="Arial" w:cs="Arial" w:eastAsia="Arial" w:hAnsi="Arial"/>
          <w:sz w:val="18"/>
          <w:szCs w:val="18"/>
          <w:color w:val="auto"/>
        </w:rPr>
        <w:t>” is a special purpose investment vehicle through which certain persons, primarily employees and certain legacy investors, indirectly hold interests in Definitive OpCo.</w:t>
      </w:r>
    </w:p>
    <w:p>
      <w:pPr>
        <w:jc w:val="both"/>
        <w:ind w:left="1020" w:right="8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LLC Agreement</w:t>
      </w:r>
      <w:r>
        <w:rPr>
          <w:rFonts w:ascii="Arial" w:cs="Arial" w:eastAsia="Arial" w:hAnsi="Arial"/>
          <w:sz w:val="18"/>
          <w:szCs w:val="18"/>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ind w:left="1020" w:hanging="504"/>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w:t>
      </w:r>
      <w:r>
        <w:rPr>
          <w:rFonts w:ascii="Arial" w:cs="Arial" w:eastAsia="Arial" w:hAnsi="Arial"/>
          <w:sz w:val="18"/>
          <w:szCs w:val="18"/>
          <w:color w:val="auto"/>
        </w:rPr>
        <w:t>” refers to annualized recurring revenue as of period end.</w:t>
      </w:r>
    </w:p>
    <w:p>
      <w:pPr>
        <w:spacing w:after="0" w:line="8" w:lineRule="exact"/>
        <w:rPr>
          <w:rFonts w:ascii="Arial" w:cs="Arial" w:eastAsia="Arial" w:hAnsi="Arial"/>
          <w:sz w:val="18"/>
          <w:szCs w:val="18"/>
          <w:color w:val="auto"/>
        </w:rPr>
      </w:pPr>
    </w:p>
    <w:p>
      <w:pPr>
        <w:ind w:left="1020" w:right="14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Company</w:t>
      </w:r>
      <w:r>
        <w:rPr>
          <w:rFonts w:ascii="Arial" w:cs="Arial" w:eastAsia="Arial" w:hAnsi="Arial"/>
          <w:sz w:val="18"/>
          <w:szCs w:val="18"/>
          <w:color w:val="auto"/>
        </w:rPr>
        <w:t>” or “</w:t>
      </w:r>
      <w:r>
        <w:rPr>
          <w:rFonts w:ascii="Arial" w:cs="Arial" w:eastAsia="Arial" w:hAnsi="Arial"/>
          <w:sz w:val="18"/>
          <w:szCs w:val="18"/>
          <w:u w:val="single" w:color="auto"/>
          <w:color w:val="auto"/>
        </w:rPr>
        <w:t>Blocker Companies</w:t>
      </w:r>
      <w:r>
        <w:rPr>
          <w:rFonts w:ascii="Arial" w:cs="Arial" w:eastAsia="Arial" w:hAnsi="Arial"/>
          <w:sz w:val="18"/>
          <w:szCs w:val="18"/>
          <w:color w:val="auto"/>
        </w:rPr>
        <w:t>” refers to certain entities treated as corporations for U.S. federal income tax purposes that held LLC units in Definitive OpCo which, through the Reorganization Transactions, were merged into Definitive Healthcare Corp. and are now holders of Class A Common Stock.</w:t>
      </w:r>
    </w:p>
    <w:p>
      <w:pPr>
        <w:ind w:left="1020" w:right="4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Pre-IPO LLC Members</w:t>
      </w:r>
      <w:r>
        <w:rPr>
          <w:rFonts w:ascii="Arial" w:cs="Arial" w:eastAsia="Arial" w:hAnsi="Arial"/>
          <w:sz w:val="18"/>
          <w:szCs w:val="18"/>
          <w:color w:val="auto"/>
        </w:rPr>
        <w:t>” refers to certain Pre-IPO LLC Members who retained their equity ownership in Definitive OpCo in the form of LLC Units immediately following the consummation of the Reorganization Transactions.</w:t>
      </w:r>
    </w:p>
    <w:p>
      <w:pPr>
        <w:ind w:left="1020" w:right="44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OpCo</w:t>
      </w:r>
      <w:r>
        <w:rPr>
          <w:rFonts w:ascii="Arial" w:cs="Arial" w:eastAsia="Arial" w:hAnsi="Arial"/>
          <w:sz w:val="18"/>
          <w:szCs w:val="18"/>
          <w:color w:val="auto"/>
        </w:rPr>
        <w:t>” refers to AIDH TopCo, LLC, a Delaware limited liability company, and a subsidiary of Definitive Healthcare Corp., following the Reorganization Transactions.</w:t>
      </w:r>
    </w:p>
    <w:p>
      <w:pPr>
        <w:ind w:left="1020" w:right="8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DH Holdings</w:t>
      </w:r>
      <w:r>
        <w:rPr>
          <w:rFonts w:ascii="Arial" w:cs="Arial" w:eastAsia="Arial" w:hAnsi="Arial"/>
          <w:sz w:val="18"/>
          <w:szCs w:val="18"/>
          <w:color w:val="auto"/>
        </w:rPr>
        <w:t>” refers to Definitive Healthcare Holdings, LLC, a Delaware limited liability company and wholly-owned subsidiary of AIDH Buyer.</w:t>
      </w:r>
    </w:p>
    <w:p>
      <w:pPr>
        <w:ind w:left="1020" w:hanging="504"/>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Definitive Healthcare Corp.</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Units</w:t>
      </w:r>
      <w:r>
        <w:rPr>
          <w:rFonts w:ascii="Arial" w:cs="Arial" w:eastAsia="Arial" w:hAnsi="Arial"/>
          <w:sz w:val="18"/>
          <w:szCs w:val="18"/>
          <w:color w:val="auto"/>
        </w:rPr>
        <w:t>” refers to limited liability company interests in Definitive OpCo.</w:t>
      </w:r>
    </w:p>
    <w:p>
      <w:pPr>
        <w:spacing w:after="0" w:line="8" w:lineRule="exact"/>
        <w:rPr>
          <w:rFonts w:ascii="Arial" w:cs="Arial" w:eastAsia="Arial" w:hAnsi="Arial"/>
          <w:sz w:val="18"/>
          <w:szCs w:val="18"/>
          <w:color w:val="auto"/>
        </w:rPr>
      </w:pPr>
    </w:p>
    <w:p>
      <w:pPr>
        <w:ind w:left="1020" w:right="20" w:hanging="504"/>
        <w:spacing w:after="0" w:line="264" w:lineRule="auto"/>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NDR</w:t>
      </w:r>
      <w:r>
        <w:rPr>
          <w:rFonts w:ascii="Arial" w:cs="Arial" w:eastAsia="Arial" w:hAnsi="Arial"/>
          <w:sz w:val="17"/>
          <w:szCs w:val="17"/>
          <w:color w:val="auto"/>
        </w:rPr>
        <w:t>” or “</w:t>
      </w:r>
      <w:r>
        <w:rPr>
          <w:rFonts w:ascii="Arial" w:cs="Arial" w:eastAsia="Arial" w:hAnsi="Arial"/>
          <w:sz w:val="17"/>
          <w:szCs w:val="17"/>
          <w:u w:val="single" w:color="auto"/>
          <w:color w:val="auto"/>
        </w:rPr>
        <w:t>Net Dollar Retention Rate</w:t>
      </w:r>
      <w:r>
        <w:rPr>
          <w:rFonts w:ascii="Arial" w:cs="Arial" w:eastAsia="Arial" w:hAnsi="Arial"/>
          <w:sz w:val="17"/>
          <w:szCs w:val="17"/>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2" w:lineRule="exact"/>
        <w:rPr>
          <w:rFonts w:ascii="Arial" w:cs="Arial" w:eastAsia="Arial" w:hAnsi="Arial"/>
          <w:sz w:val="17"/>
          <w:szCs w:val="17"/>
          <w:color w:val="auto"/>
        </w:rPr>
      </w:pPr>
    </w:p>
    <w:p>
      <w:pPr>
        <w:ind w:left="1020" w:hanging="504"/>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Populi</w:t>
      </w:r>
      <w:r>
        <w:rPr>
          <w:rFonts w:ascii="Arial" w:cs="Arial" w:eastAsia="Arial" w:hAnsi="Arial"/>
          <w:sz w:val="18"/>
          <w:szCs w:val="18"/>
          <w:color w:val="auto"/>
        </w:rPr>
        <w:t>” refers to Populi, Inc., a Delaware corporation.</w:t>
      </w:r>
    </w:p>
    <w:p>
      <w:pPr>
        <w:spacing w:after="0" w:line="8" w:lineRule="exact"/>
        <w:rPr>
          <w:rFonts w:ascii="Arial" w:cs="Arial" w:eastAsia="Arial" w:hAnsi="Arial"/>
          <w:sz w:val="18"/>
          <w:szCs w:val="18"/>
          <w:color w:val="auto"/>
        </w:rPr>
      </w:pPr>
    </w:p>
    <w:p>
      <w:pPr>
        <w:ind w:left="1020" w:right="28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LLC Members</w:t>
      </w:r>
      <w:r>
        <w:rPr>
          <w:rFonts w:ascii="Arial" w:cs="Arial" w:eastAsia="Arial" w:hAnsi="Arial"/>
          <w:sz w:val="18"/>
          <w:szCs w:val="18"/>
          <w:color w:val="auto"/>
        </w:rPr>
        <w:t>” refers to certain affiliates of Spectrum Equity, Jason Krantz, DH Holdings, AIDH Management Holdings, LLC, certain affiliates of 22C Capital, certain affiliates of Advent and certain other minority equity holders of Definitive OpCo prior to the Reorganization Transactions.</w:t>
      </w:r>
    </w:p>
    <w:p>
      <w:pPr>
        <w:ind w:left="1020" w:right="20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Parties</w:t>
      </w:r>
      <w:r>
        <w:rPr>
          <w:rFonts w:ascii="Arial" w:cs="Arial" w:eastAsia="Arial" w:hAnsi="Arial"/>
          <w:sz w:val="18"/>
          <w:szCs w:val="18"/>
          <w:color w:val="auto"/>
        </w:rPr>
        <w:t>” refers to the shareholders of the Blocker Companies prior to the merger of the Blocker Companies into Definitive Healthcare Corp.</w:t>
      </w:r>
    </w:p>
    <w:p>
      <w:pPr>
        <w:ind w:left="1020" w:right="52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transactions completed in connection with the Company’s IPO as defined within Note 1 to our unaudited condensed consolidated financial statements included in Part I, Item 1 of this Form 10-Q.</w:t>
      </w:r>
    </w:p>
    <w:p>
      <w:pPr>
        <w:ind w:left="1020" w:hanging="504"/>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Spectrum Equity</w:t>
      </w:r>
      <w:r>
        <w:rPr>
          <w:rFonts w:ascii="Arial" w:cs="Arial" w:eastAsia="Arial" w:hAnsi="Arial"/>
          <w:sz w:val="18"/>
          <w:szCs w:val="18"/>
          <w:color w:val="auto"/>
        </w:rPr>
        <w:t>” refers to investment funds associated with Spectrum Equity Management, L.P., a private equity firm.</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Advent, 22C Capital, and Spectrum Equity.</w:t>
      </w:r>
    </w:p>
    <w:p>
      <w:pPr>
        <w:spacing w:after="0" w:line="8" w:lineRule="exact"/>
        <w:rPr>
          <w:rFonts w:ascii="Arial" w:cs="Arial" w:eastAsia="Arial" w:hAnsi="Arial"/>
          <w:sz w:val="18"/>
          <w:szCs w:val="18"/>
          <w:color w:val="auto"/>
        </w:rPr>
      </w:pPr>
    </w:p>
    <w:p>
      <w:pPr>
        <w:ind w:left="1020" w:right="44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refers to the Tax Receivable Agreement, dated September 14, 2021, between Definitive Healthcare Corp., Definitive OpCo, and the TRA Parties.</w:t>
      </w:r>
    </w:p>
    <w:p>
      <w:pPr>
        <w:ind w:left="1020" w:right="520" w:hanging="504"/>
        <w:spacing w:after="0" w:line="250"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Parties</w:t>
      </w:r>
      <w:r>
        <w:rPr>
          <w:rFonts w:ascii="Arial" w:cs="Arial" w:eastAsia="Arial" w:hAnsi="Arial"/>
          <w:sz w:val="18"/>
          <w:szCs w:val="18"/>
          <w:color w:val="auto"/>
        </w:rPr>
        <w:t>” refers to the Continuing Pre-IPO LLC Members, the Reorganization Parties, and any future party to the Tax Receivable Agreement.</w:t>
      </w:r>
    </w:p>
    <w:p>
      <w:pPr>
        <w:ind w:left="1020" w:hanging="504"/>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22C Capital</w:t>
      </w:r>
      <w:r>
        <w:rPr>
          <w:rFonts w:ascii="Arial" w:cs="Arial" w:eastAsia="Arial" w:hAnsi="Arial"/>
          <w:sz w:val="18"/>
          <w:szCs w:val="18"/>
          <w:color w:val="auto"/>
        </w:rPr>
        <w:t>” refers to investment funds associated with 22C Capital LLC, a private equity firm.</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48"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spacing w:after="0" w:line="6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Part I, Item 1A, “Risk Factors,” in our Amendment No. 1 on Form 10-K/A to our Annual Report on Form 10-K for the year ended December 31, 2022 (the “2022 Form 10-K/A”) filed with the Securities and Exchange Commission (“SEC”) on August 14, 2023,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PART I -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number of shares and par value)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Restated)</w:t>
            </w:r>
          </w:p>
        </w:tc>
      </w:tr>
      <w:tr>
        <w:trPr>
          <w:trHeight w:val="185"/>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2022</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77,460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146,934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229,565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184,939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14,667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portion of deferred contract costs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12,396</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375,396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413,745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9,951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Deferred contract costs, net of current portion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16,132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336,027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350,722</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1,073,986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tcPr>
          <w:p>
            <w:pPr>
              <w:spacing w:after="0"/>
              <w:rPr>
                <w:sz w:val="20"/>
                <w:szCs w:val="20"/>
                <w:color w:val="auto"/>
              </w:rPr>
            </w:pPr>
          </w:p>
        </w:tc>
      </w:tr>
      <w:tr>
        <w:trPr>
          <w:trHeight w:val="282"/>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1,819,534</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2,122,624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5,567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89,713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99,692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term loan</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147,142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140,610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Long term liabilities: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Term loan, net of current portion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245,866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255,765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Tax receivable agreements liability, net of current portion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138,736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155,111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75,737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616,084</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640,679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774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 Common Stock, par value $0.001, 600,000,000 shares authorized, 116,281,962 and</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105,138,273 shares issued and outstanding at September 30, 2023 and December 31, 2022,</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Class B Common Stock, par value $0.00001, 65,000,000 shares authorized, 39,781,946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w w:val="93"/>
              </w:rPr>
              <w:t>39,129,867 shares issued and outstanding, respectively, at September 30, 2023, and 50,433,101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48,923,952 shares issued and outstanding, respectively at December 31, 2022</w:t>
            </w:r>
          </w:p>
        </w:tc>
        <w:tc>
          <w:tcPr>
            <w:tcW w:w="14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1,077,332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970,207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(217,217 )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(25,062 )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340,168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533,027</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1,203,450</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1,481,945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774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1,819,534</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2,122,624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-5899150</wp:posOffset>
            </wp:positionV>
            <wp:extent cx="7683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-5899150</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-4648835</wp:posOffset>
            </wp:positionV>
            <wp:extent cx="123317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-2139950</wp:posOffset>
            </wp:positionV>
            <wp:extent cx="76835"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(amounts in thousands, except share amounts and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jc w:val="right"/>
              <w:ind w:right="421"/>
              <w:spacing w:after="0"/>
              <w:rPr>
                <w:sz w:val="20"/>
                <w:szCs w:val="20"/>
                <w:color w:val="auto"/>
              </w:rPr>
            </w:pPr>
            <w:r>
              <w:rPr>
                <w:rFonts w:ascii="Arial" w:cs="Arial" w:eastAsia="Arial" w:hAnsi="Arial"/>
                <w:sz w:val="14"/>
                <w:szCs w:val="14"/>
                <w:b w:val="1"/>
                <w:bCs w:val="1"/>
                <w:color w:val="auto"/>
                <w:w w:val="95"/>
              </w:rPr>
              <w:t>Three Months Ended September 30,</w:t>
            </w:r>
          </w:p>
        </w:tc>
        <w:tc>
          <w:tcPr>
            <w:tcW w:w="180" w:type="dxa"/>
            <w:vAlign w:val="bottom"/>
          </w:tcPr>
          <w:p>
            <w:pPr>
              <w:spacing w:after="0"/>
              <w:rPr>
                <w:sz w:val="16"/>
                <w:szCs w:val="16"/>
                <w:color w:val="auto"/>
              </w:rPr>
            </w:pPr>
          </w:p>
        </w:tc>
        <w:tc>
          <w:tcPr>
            <w:tcW w:w="258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0"/>
        </w:trPr>
        <w:tc>
          <w:tcPr>
            <w:tcW w:w="5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32"/>
              <w:spacing w:after="0" w:line="159" w:lineRule="exact"/>
              <w:rPr>
                <w:sz w:val="20"/>
                <w:szCs w:val="20"/>
                <w:color w:val="auto"/>
              </w:rPr>
            </w:pPr>
            <w:r>
              <w:rPr>
                <w:rFonts w:ascii="Arial" w:cs="Arial" w:eastAsia="Arial" w:hAnsi="Arial"/>
                <w:sz w:val="14"/>
                <w:szCs w:val="14"/>
                <w:b w:val="1"/>
                <w:bCs w:val="1"/>
                <w:color w:val="auto"/>
                <w:w w:val="95"/>
              </w:rPr>
              <w:t>(As Restated)</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12"/>
              <w:spacing w:after="0" w:line="159" w:lineRule="exact"/>
              <w:rPr>
                <w:sz w:val="20"/>
                <w:szCs w:val="20"/>
                <w:color w:val="auto"/>
              </w:rPr>
            </w:pPr>
            <w:r>
              <w:rPr>
                <w:rFonts w:ascii="Arial" w:cs="Arial" w:eastAsia="Arial" w:hAnsi="Arial"/>
                <w:sz w:val="14"/>
                <w:szCs w:val="14"/>
                <w:b w:val="1"/>
                <w:bCs w:val="1"/>
                <w:color w:val="auto"/>
                <w:w w:val="95"/>
              </w:rPr>
              <w:t>(As Restated)</w:t>
            </w:r>
          </w:p>
        </w:tc>
        <w:tc>
          <w:tcPr>
            <w:tcW w:w="100" w:type="dxa"/>
            <w:vAlign w:val="bottom"/>
          </w:tcPr>
          <w:p>
            <w:pPr>
              <w:spacing w:after="0"/>
              <w:rPr>
                <w:sz w:val="13"/>
                <w:szCs w:val="13"/>
                <w:color w:val="auto"/>
              </w:rPr>
            </w:pPr>
          </w:p>
        </w:tc>
      </w:tr>
      <w:tr>
        <w:trPr>
          <w:trHeight w:val="185"/>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185,483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100" w:type="dxa"/>
            <w:vAlign w:val="bottom"/>
            <w:shd w:val="clear" w:color="auto" w:fill="CFF0FC"/>
          </w:tcPr>
          <w:p>
            <w:pPr>
              <w:spacing w:after="0"/>
              <w:rPr>
                <w:sz w:val="20"/>
                <w:szCs w:val="20"/>
                <w:color w:val="auto"/>
              </w:rPr>
            </w:pPr>
          </w:p>
        </w:tc>
      </w:tr>
      <w:tr>
        <w:trPr>
          <w:trHeight w:val="236"/>
        </w:trPr>
        <w:tc>
          <w:tcPr>
            <w:tcW w:w="53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exclusive of amortization</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shd w:val="clear" w:color="auto" w:fill="CFF0FC"/>
          </w:tcPr>
          <w:p>
            <w:pPr>
              <w:spacing w:after="0"/>
              <w:rPr>
                <w:sz w:val="21"/>
                <w:szCs w:val="21"/>
                <w:color w:val="auto"/>
              </w:rPr>
            </w:pPr>
          </w:p>
        </w:tc>
      </w:tr>
      <w:tr>
        <w:trPr>
          <w:trHeight w:val="236"/>
        </w:trPr>
        <w:tc>
          <w:tcPr>
            <w:tcW w:w="53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20"/>
                <w:szCs w:val="20"/>
                <w:color w:val="auto"/>
              </w:rPr>
            </w:pPr>
          </w:p>
        </w:tc>
      </w:tr>
      <w:tr>
        <w:trPr>
          <w:trHeight w:val="236"/>
        </w:trPr>
        <w:tc>
          <w:tcPr>
            <w:tcW w:w="53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53,430</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150,514</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66,062</w:t>
            </w:r>
          </w:p>
        </w:tc>
        <w:tc>
          <w:tcPr>
            <w:tcW w:w="100" w:type="dxa"/>
            <w:vAlign w:val="bottom"/>
            <w:shd w:val="clear" w:color="auto" w:fill="CFF0FC"/>
          </w:tcPr>
          <w:p>
            <w:pPr>
              <w:spacing w:after="0"/>
              <w:rPr>
                <w:sz w:val="21"/>
                <w:szCs w:val="21"/>
                <w:color w:val="auto"/>
              </w:rPr>
            </w:pPr>
          </w:p>
        </w:tc>
      </w:tr>
      <w:tr>
        <w:trPr>
          <w:trHeight w:val="236"/>
        </w:trPr>
        <w:tc>
          <w:tcPr>
            <w:tcW w:w="53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30,872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24,761</w:t>
            </w:r>
          </w:p>
        </w:tc>
        <w:tc>
          <w:tcPr>
            <w:tcW w:w="100" w:type="dxa"/>
            <w:vAlign w:val="bottom"/>
          </w:tcPr>
          <w:p>
            <w:pPr>
              <w:spacing w:after="0"/>
              <w:rPr>
                <w:sz w:val="20"/>
                <w:szCs w:val="20"/>
                <w:color w:val="auto"/>
              </w:rPr>
            </w:pP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42,294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35,440</w:t>
            </w:r>
          </w:p>
        </w:tc>
        <w:tc>
          <w:tcPr>
            <w:tcW w:w="100" w:type="dxa"/>
            <w:vAlign w:val="bottom"/>
            <w:shd w:val="clear" w:color="auto" w:fill="CFF0FC"/>
          </w:tcPr>
          <w:p>
            <w:pPr>
              <w:spacing w:after="0"/>
              <w:rPr>
                <w:sz w:val="21"/>
                <w:szCs w:val="21"/>
                <w:color w:val="auto"/>
              </w:rPr>
            </w:pPr>
          </w:p>
        </w:tc>
      </w:tr>
      <w:tr>
        <w:trPr>
          <w:trHeight w:val="236"/>
        </w:trPr>
        <w:tc>
          <w:tcPr>
            <w:tcW w:w="5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9,795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30,105</w:t>
            </w:r>
          </w:p>
        </w:tc>
        <w:tc>
          <w:tcPr>
            <w:tcW w:w="100" w:type="dxa"/>
            <w:vAlign w:val="bottom"/>
          </w:tcPr>
          <w:p>
            <w:pPr>
              <w:spacing w:after="0"/>
              <w:rPr>
                <w:sz w:val="20"/>
                <w:szCs w:val="20"/>
                <w:color w:val="auto"/>
              </w:rPr>
            </w:pP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integration, and restructuring expenses</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FF0FC"/>
          </w:tcPr>
          <w:p>
            <w:pPr>
              <w:spacing w:after="0"/>
              <w:rPr>
                <w:sz w:val="21"/>
                <w:szCs w:val="21"/>
                <w:color w:val="auto"/>
              </w:rPr>
            </w:pPr>
          </w:p>
        </w:tc>
      </w:tr>
      <w:tr>
        <w:trPr>
          <w:trHeight w:val="236"/>
        </w:trPr>
        <w:tc>
          <w:tcPr>
            <w:tcW w:w="53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287,400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287,400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348,808</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470,234</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380" w:type="dxa"/>
            <w:vAlign w:val="bottom"/>
          </w:tcPr>
          <w:p>
            <w:pPr>
              <w:ind w:left="56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(295,378 )</w:t>
            </w:r>
          </w:p>
        </w:tc>
        <w:tc>
          <w:tcPr>
            <w:tcW w:w="140" w:type="dxa"/>
            <w:vAlign w:val="bottom"/>
          </w:tcPr>
          <w:p>
            <w:pPr>
              <w:spacing w:after="0"/>
              <w:rPr>
                <w:sz w:val="20"/>
                <w:szCs w:val="20"/>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(10,062 )</w:t>
            </w:r>
          </w:p>
        </w:tc>
        <w:tc>
          <w:tcPr>
            <w:tcW w:w="18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(319,720 )</w:t>
            </w: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(33,506 )</w:t>
            </w:r>
          </w:p>
        </w:tc>
      </w:tr>
      <w:tr>
        <w:trPr>
          <w:trHeight w:val="24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3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(3,897 )</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(3,074 )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(11,304 )</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(7,788 )</w:t>
            </w:r>
          </w:p>
        </w:tc>
      </w:tr>
      <w:tr>
        <w:trPr>
          <w:trHeight w:val="236"/>
        </w:trPr>
        <w:tc>
          <w:tcPr>
            <w:tcW w:w="538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29,589</w:t>
            </w: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25,161</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100" w:type="dxa"/>
            <w:vAlign w:val="bottom"/>
            <w:tcBorders>
              <w:bottom w:val="single" w:sz="8" w:color="CFF0FC"/>
            </w:tcBorders>
          </w:tcPr>
          <w:p>
            <w:pPr>
              <w:spacing w:after="0"/>
              <w:rPr>
                <w:sz w:val="20"/>
                <w:szCs w:val="20"/>
                <w:color w:val="auto"/>
              </w:rPr>
            </w:pPr>
          </w:p>
        </w:tc>
      </w:tr>
      <w:tr>
        <w:trPr>
          <w:trHeight w:val="236"/>
        </w:trPr>
        <w:tc>
          <w:tcPr>
            <w:tcW w:w="53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29,156</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380" w:type="dxa"/>
            <w:vAlign w:val="bottom"/>
          </w:tcPr>
          <w:p>
            <w:pPr>
              <w:ind w:left="560"/>
              <w:spacing w:after="0"/>
              <w:rPr>
                <w:sz w:val="20"/>
                <w:szCs w:val="20"/>
                <w:color w:val="auto"/>
              </w:rPr>
            </w:pPr>
            <w:r>
              <w:rPr>
                <w:rFonts w:ascii="Arial" w:cs="Arial" w:eastAsia="Arial" w:hAnsi="Arial"/>
                <w:sz w:val="18"/>
                <w:szCs w:val="18"/>
                <w:color w:val="auto"/>
              </w:rPr>
              <w:t>Net loss before income taxes</w:t>
            </w:r>
          </w:p>
        </w:tc>
        <w:tc>
          <w:tcPr>
            <w:tcW w:w="18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(266,222 )</w:t>
            </w:r>
          </w:p>
        </w:tc>
        <w:tc>
          <w:tcPr>
            <w:tcW w:w="140" w:type="dxa"/>
            <w:vAlign w:val="bottom"/>
          </w:tcPr>
          <w:p>
            <w:pPr>
              <w:spacing w:after="0"/>
              <w:rPr>
                <w:sz w:val="20"/>
                <w:szCs w:val="20"/>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(6,900 )</w:t>
            </w:r>
          </w:p>
        </w:tc>
        <w:tc>
          <w:tcPr>
            <w:tcW w:w="18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(295,993 )</w:t>
            </w: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(30,720 )</w:t>
            </w:r>
          </w:p>
        </w:tc>
      </w:tr>
      <w:tr>
        <w:trPr>
          <w:trHeight w:val="243"/>
        </w:trPr>
        <w:tc>
          <w:tcPr>
            <w:tcW w:w="53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Benefit from income taxes</w:t>
            </w: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80" w:type="dxa"/>
            <w:vAlign w:val="bottom"/>
          </w:tcPr>
          <w:p>
            <w:pPr>
              <w:ind w:left="56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(248,688 )</w:t>
            </w:r>
          </w:p>
        </w:tc>
        <w:tc>
          <w:tcPr>
            <w:tcW w:w="140" w:type="dxa"/>
            <w:vAlign w:val="bottom"/>
          </w:tcPr>
          <w:p>
            <w:pPr>
              <w:spacing w:after="0"/>
              <w:rPr>
                <w:sz w:val="20"/>
                <w:szCs w:val="20"/>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(6,885 )</w:t>
            </w:r>
          </w:p>
        </w:tc>
        <w:tc>
          <w:tcPr>
            <w:tcW w:w="18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(276,265 )</w:t>
            </w: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(30,066 )</w:t>
            </w:r>
          </w:p>
        </w:tc>
      </w:tr>
      <w:tr>
        <w:trPr>
          <w:trHeight w:val="236"/>
        </w:trPr>
        <w:tc>
          <w:tcPr>
            <w:tcW w:w="5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(77,162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2"/>
        </w:trPr>
        <w:tc>
          <w:tcPr>
            <w:tcW w:w="5380" w:type="dxa"/>
            <w:vAlign w:val="bottom"/>
          </w:tcPr>
          <w:p>
            <w:pPr>
              <w:ind w:left="560"/>
              <w:spacing w:after="0"/>
              <w:rPr>
                <w:sz w:val="20"/>
                <w:szCs w:val="20"/>
                <w:color w:val="auto"/>
              </w:rPr>
            </w:pPr>
            <w:r>
              <w:rPr>
                <w:rFonts w:ascii="Arial" w:cs="Arial" w:eastAsia="Arial" w:hAnsi="Arial"/>
                <w:sz w:val="18"/>
                <w:szCs w:val="18"/>
                <w:color w:val="auto"/>
              </w:rPr>
              <w:t>Net loss attributable to Definitive Healthcare Corp.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(171,526 )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(3,020 )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(192,155 )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(17,087 )</w:t>
            </w:r>
          </w:p>
        </w:tc>
      </w:tr>
      <w:tr>
        <w:trPr>
          <w:trHeight w:val="20"/>
        </w:trPr>
        <w:tc>
          <w:tcPr>
            <w:tcW w:w="5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of Class A Common Stock:</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(0.03 )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(1.72 )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(0.17 )</w:t>
            </w:r>
          </w:p>
        </w:tc>
      </w:tr>
      <w:tr>
        <w:trPr>
          <w:trHeight w:val="20"/>
        </w:trPr>
        <w:tc>
          <w:tcPr>
            <w:tcW w:w="5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Class A Common Stock outstanding:</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114,527,514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102,904,565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111,533,166</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99,776,742</w:t>
            </w:r>
          </w:p>
        </w:tc>
        <w:tc>
          <w:tcPr>
            <w:tcW w:w="100" w:type="dxa"/>
            <w:vAlign w:val="bottom"/>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-3689985</wp:posOffset>
            </wp:positionV>
            <wp:extent cx="7683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-3689985</wp:posOffset>
            </wp:positionV>
            <wp:extent cx="7683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-3689985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-3689985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-2439670</wp:posOffset>
            </wp:positionV>
            <wp:extent cx="7683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-2439670</wp:posOffset>
            </wp:positionV>
            <wp:extent cx="7683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-2439670</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-2439670</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-1673225</wp:posOffset>
            </wp:positionV>
            <wp:extent cx="7068185" cy="337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8185" cy="33782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-1181100</wp:posOffset>
            </wp:positionV>
            <wp:extent cx="768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-1181100</wp:posOffset>
            </wp:positionV>
            <wp:extent cx="7683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-1181100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-1181100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-855345</wp:posOffset>
            </wp:positionV>
            <wp:extent cx="7683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-855345</wp:posOffset>
            </wp:positionV>
            <wp:extent cx="7683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-855345</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-855345</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0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0"/>
        </w:trPr>
        <w:tc>
          <w:tcPr>
            <w:tcW w:w="5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14"/>
              <w:spacing w:after="0" w:line="159" w:lineRule="exact"/>
              <w:rPr>
                <w:sz w:val="20"/>
                <w:szCs w:val="20"/>
                <w:color w:val="auto"/>
              </w:rPr>
            </w:pPr>
            <w:r>
              <w:rPr>
                <w:rFonts w:ascii="Arial" w:cs="Arial" w:eastAsia="Arial" w:hAnsi="Arial"/>
                <w:sz w:val="14"/>
                <w:szCs w:val="14"/>
                <w:b w:val="1"/>
                <w:bCs w:val="1"/>
                <w:color w:val="auto"/>
                <w:w w:val="95"/>
              </w:rPr>
              <w:t>(As Restated)</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14"/>
              <w:spacing w:after="0" w:line="159" w:lineRule="exact"/>
              <w:rPr>
                <w:sz w:val="20"/>
                <w:szCs w:val="20"/>
                <w:color w:val="auto"/>
              </w:rPr>
            </w:pPr>
            <w:r>
              <w:rPr>
                <w:rFonts w:ascii="Arial" w:cs="Arial" w:eastAsia="Arial" w:hAnsi="Arial"/>
                <w:sz w:val="14"/>
                <w:szCs w:val="14"/>
                <w:b w:val="1"/>
                <w:bCs w:val="1"/>
                <w:color w:val="auto"/>
                <w:w w:val="95"/>
              </w:rPr>
              <w:t>(As Restated)</w:t>
            </w:r>
          </w:p>
        </w:tc>
        <w:tc>
          <w:tcPr>
            <w:tcW w:w="100" w:type="dxa"/>
            <w:vAlign w:val="bottom"/>
          </w:tcPr>
          <w:p>
            <w:pPr>
              <w:spacing w:after="0"/>
              <w:rPr>
                <w:sz w:val="13"/>
                <w:szCs w:val="13"/>
                <w:color w:val="auto"/>
              </w:rPr>
            </w:pPr>
          </w:p>
        </w:tc>
      </w:tr>
      <w:tr>
        <w:trPr>
          <w:trHeight w:val="185"/>
        </w:trPr>
        <w:tc>
          <w:tcPr>
            <w:tcW w:w="5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(248,688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(276,265</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(207 )</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(134 )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(417 )</w:t>
            </w: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(59 )</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(406 )</w:t>
            </w:r>
          </w:p>
        </w:tc>
      </w:tr>
      <w:tr>
        <w:trPr>
          <w:trHeight w:val="243"/>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gain on interest rate hedging instruments</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(442 )</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(686 )</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6,673</w:t>
            </w:r>
          </w:p>
        </w:tc>
        <w:tc>
          <w:tcPr>
            <w:tcW w:w="100" w:type="dxa"/>
            <w:vAlign w:val="bottom"/>
            <w:shd w:val="clear" w:color="auto" w:fill="CFF0FC"/>
          </w:tcPr>
          <w:p>
            <w:pPr>
              <w:spacing w:after="0"/>
              <w:rPr>
                <w:sz w:val="21"/>
                <w:szCs w:val="2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6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(248,955 )</w:t>
            </w:r>
          </w:p>
        </w:tc>
        <w:tc>
          <w:tcPr>
            <w:tcW w:w="16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(3,713 )</w:t>
            </w:r>
          </w:p>
        </w:tc>
        <w:tc>
          <w:tcPr>
            <w:tcW w:w="2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(277,144 )</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(24,216 )</w:t>
            </w:r>
          </w:p>
        </w:tc>
      </w:tr>
      <w:tr>
        <w:trPr>
          <w:trHeight w:val="243"/>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(77,228 )</w:t>
            </w: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(2,931 )</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(84,372 )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(10,978 )</w:t>
            </w:r>
          </w:p>
        </w:tc>
      </w:tr>
      <w:tr>
        <w:trPr>
          <w:trHeight w:val="20"/>
        </w:trPr>
        <w:tc>
          <w:tcPr>
            <w:tcW w:w="5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2"/>
        </w:trPr>
        <w:tc>
          <w:tcPr>
            <w:tcW w:w="5460" w:type="dxa"/>
            <w:vAlign w:val="bottom"/>
          </w:tcPr>
          <w:p>
            <w:pPr>
              <w:ind w:left="380"/>
              <w:spacing w:after="0"/>
              <w:rPr>
                <w:sz w:val="20"/>
                <w:szCs w:val="20"/>
                <w:color w:val="auto"/>
              </w:rPr>
            </w:pPr>
            <w:r>
              <w:rPr>
                <w:rFonts w:ascii="Arial" w:cs="Arial" w:eastAsia="Arial" w:hAnsi="Arial"/>
                <w:sz w:val="18"/>
                <w:szCs w:val="18"/>
                <w:color w:val="auto"/>
              </w:rPr>
              <w:t>Comprehensive loss attributable to Definitive Healthcare Corp.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(171,727 )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(782 )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(192,772 )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(13,238 )</w:t>
            </w:r>
          </w:p>
        </w:tc>
      </w:tr>
      <w:tr>
        <w:trPr>
          <w:trHeight w:val="20"/>
        </w:trPr>
        <w:tc>
          <w:tcPr>
            <w:tcW w:w="5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-504825</wp:posOffset>
            </wp:positionV>
            <wp:extent cx="7683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-504825</wp:posOffset>
            </wp:positionV>
            <wp:extent cx="6858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-504825</wp:posOffset>
            </wp:positionV>
            <wp:extent cx="6858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-187960</wp:posOffset>
            </wp:positionV>
            <wp:extent cx="7683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-187960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6858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DEFINITIVE HEALTHCARE CORP.</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CHANGES IN TOTAL EQUITY</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(amounts in thousands, except share amounts)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w:t>
            </w:r>
          </w:p>
        </w:tc>
        <w:tc>
          <w:tcPr>
            <w:tcW w:w="9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Noncontrollin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Class A</w:t>
            </w:r>
          </w:p>
        </w:tc>
        <w:tc>
          <w:tcPr>
            <w:tcW w:w="16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3"/>
                <w:szCs w:val="13"/>
                <w:b w:val="1"/>
                <w:bCs w:val="1"/>
                <w:color w:val="auto"/>
                <w:w w:val="96"/>
              </w:rPr>
              <w:t>Class A</w:t>
            </w: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Class B</w:t>
            </w:r>
          </w:p>
        </w:tc>
        <w:tc>
          <w:tcPr>
            <w:tcW w:w="16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3"/>
                <w:szCs w:val="13"/>
                <w:b w:val="1"/>
                <w:bCs w:val="1"/>
                <w:color w:val="auto"/>
              </w:rPr>
              <w:t>Class B</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Paid-In</w:t>
            </w:r>
          </w:p>
        </w:tc>
        <w:tc>
          <w:tcPr>
            <w:tcW w:w="104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w w:val="88"/>
              </w:rPr>
              <w:t>Accumulated</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ve</w:t>
            </w:r>
          </w:p>
        </w:tc>
        <w:tc>
          <w:tcPr>
            <w:tcW w:w="140" w:type="dxa"/>
            <w:vAlign w:val="bottom"/>
          </w:tcPr>
          <w:p>
            <w:pPr>
              <w:spacing w:after="0"/>
              <w:rPr>
                <w:sz w:val="14"/>
                <w:szCs w:val="14"/>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g</w:t>
            </w:r>
          </w:p>
        </w:tc>
        <w:tc>
          <w:tcPr>
            <w:tcW w:w="1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32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900" w:type="dxa"/>
            <w:vAlign w:val="bottom"/>
            <w:gridSpan w:val="3"/>
          </w:tcPr>
          <w:p>
            <w:pPr>
              <w:jc w:val="right"/>
              <w:ind w:right="417"/>
              <w:spacing w:after="0"/>
              <w:rPr>
                <w:sz w:val="20"/>
                <w:szCs w:val="20"/>
                <w:color w:val="auto"/>
              </w:rPr>
            </w:pPr>
            <w:r>
              <w:rPr>
                <w:rFonts w:ascii="Arial" w:cs="Arial" w:eastAsia="Arial" w:hAnsi="Arial"/>
                <w:sz w:val="13"/>
                <w:szCs w:val="13"/>
                <w:b w:val="1"/>
                <w:bCs w:val="1"/>
                <w:color w:val="auto"/>
              </w:rPr>
              <w:t>Deficit</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8"/>
              </w:rPr>
              <w:t>Interests</w:t>
            </w: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8"/>
              </w:rPr>
              <w:t>Balance at January 1, 2023, as</w:t>
            </w: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restated</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105,138,273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50,433,101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970,207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(25,062 ) $</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533,027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1,481,945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Net loss, as restated</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(12,063 )</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(3,909 )</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(15,972 )</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(875 )</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(372 )</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(1,247 )</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Vested incentive units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(505 )</w:t>
            </w:r>
          </w:p>
        </w:tc>
        <w:tc>
          <w:tcPr>
            <w:tcW w:w="140" w:type="dxa"/>
            <w:vAlign w:val="bottom"/>
          </w:tcPr>
          <w:p>
            <w:pPr>
              <w:spacing w:after="0"/>
              <w:rPr>
                <w:sz w:val="19"/>
                <w:szCs w:val="19"/>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Class A Common</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upon vesting of RSUs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380,676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(828 )</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Shares withheld related to net</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color w:val="auto"/>
              </w:rPr>
              <w:t>share settlement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(127,829 )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(1,530 )</w:t>
            </w:r>
          </w:p>
        </w:tc>
        <w:tc>
          <w:tcPr>
            <w:tcW w:w="140" w:type="dxa"/>
            <w:vAlign w:val="bottom"/>
          </w:tcPr>
          <w:p>
            <w:pPr>
              <w:spacing w:after="0"/>
              <w:rPr>
                <w:sz w:val="18"/>
                <w:szCs w:val="18"/>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(1,530 )</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Effect of LLC unit exchanges, as</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restated</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4,771,545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(4,771,545 )</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(52,352 )</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(10,466 )</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(34,623 )</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3,317</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Balance at March 31, 2023, as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restated</w:t>
            </w:r>
          </w:p>
        </w:tc>
        <w:tc>
          <w:tcPr>
            <w:tcW w:w="1180" w:type="dxa"/>
            <w:vAlign w:val="bottom"/>
          </w:tcPr>
          <w:p>
            <w:pPr>
              <w:jc w:val="right"/>
              <w:spacing w:after="0"/>
              <w:rPr>
                <w:sz w:val="20"/>
                <w:szCs w:val="20"/>
                <w:color w:val="auto"/>
              </w:rPr>
            </w:pPr>
            <w:r>
              <w:rPr>
                <w:rFonts w:ascii="Arial" w:cs="Arial" w:eastAsia="Arial" w:hAnsi="Arial"/>
                <w:sz w:val="16"/>
                <w:szCs w:val="16"/>
                <w:color w:val="auto"/>
              </w:rPr>
              <w:t>110,162,665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45,626,933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1,018,692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(37,125 ) $</w:t>
            </w:r>
          </w:p>
        </w:tc>
        <w:tc>
          <w:tcPr>
            <w:tcW w:w="620" w:type="dxa"/>
            <w:vAlign w:val="bottom"/>
          </w:tcPr>
          <w:p>
            <w:pPr>
              <w:jc w:val="right"/>
              <w:spacing w:after="0"/>
              <w:rPr>
                <w:sz w:val="20"/>
                <w:szCs w:val="20"/>
                <w:color w:val="auto"/>
              </w:rPr>
            </w:pPr>
            <w:r>
              <w:rPr>
                <w:rFonts w:ascii="Arial" w:cs="Arial" w:eastAsia="Arial" w:hAnsi="Arial"/>
                <w:sz w:val="16"/>
                <w:szCs w:val="16"/>
                <w:color w:val="auto"/>
              </w:rPr>
              <w:t>2,793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479,388</w:t>
            </w:r>
          </w:p>
        </w:tc>
        <w:tc>
          <w:tcPr>
            <w:tcW w:w="1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1,463,858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(8,566 )</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(3,039 )</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(11,605 )</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 incentive units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(390 )</w:t>
            </w:r>
          </w:p>
        </w:tc>
        <w:tc>
          <w:tcPr>
            <w:tcW w:w="14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Issuance of Class A Common</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color w:val="auto"/>
              </w:rPr>
              <w:t>Stock upon vesting of RSUs</w:t>
            </w:r>
          </w:p>
        </w:tc>
        <w:tc>
          <w:tcPr>
            <w:tcW w:w="1180" w:type="dxa"/>
            <w:vAlign w:val="bottom"/>
          </w:tcPr>
          <w:p>
            <w:pPr>
              <w:jc w:val="right"/>
              <w:spacing w:after="0"/>
              <w:rPr>
                <w:sz w:val="20"/>
                <w:szCs w:val="20"/>
                <w:color w:val="auto"/>
              </w:rPr>
            </w:pPr>
            <w:r>
              <w:rPr>
                <w:rFonts w:ascii="Arial" w:cs="Arial" w:eastAsia="Arial" w:hAnsi="Arial"/>
                <w:sz w:val="16"/>
                <w:szCs w:val="16"/>
                <w:color w:val="auto"/>
              </w:rPr>
              <w:t>309,694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(620 )</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related to net</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settlement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(105,249 )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(1,085 )</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(1,085 )</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Effect of LLC unit exchanges</w:t>
            </w:r>
          </w:p>
        </w:tc>
        <w:tc>
          <w:tcPr>
            <w:tcW w:w="1180" w:type="dxa"/>
            <w:vAlign w:val="bottom"/>
          </w:tcPr>
          <w:p>
            <w:pPr>
              <w:jc w:val="right"/>
              <w:spacing w:after="0"/>
              <w:rPr>
                <w:sz w:val="20"/>
                <w:szCs w:val="20"/>
                <w:color w:val="auto"/>
              </w:rPr>
            </w:pPr>
            <w:r>
              <w:rPr>
                <w:rFonts w:ascii="Arial" w:cs="Arial" w:eastAsia="Arial" w:hAnsi="Arial"/>
                <w:sz w:val="16"/>
                <w:szCs w:val="16"/>
                <w:color w:val="auto"/>
              </w:rPr>
              <w:t>2,718,054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(2,718,054 )</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(29,817 )</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(5,880 )</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(47,267 )</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Distributions to noncontrolling</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(2,827 )</w:t>
            </w:r>
          </w:p>
        </w:tc>
        <w:tc>
          <w:tcPr>
            <w:tcW w:w="18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(2,827 )</w:t>
            </w:r>
          </w:p>
        </w:tc>
        <w:tc>
          <w:tcPr>
            <w:tcW w:w="0" w:type="dxa"/>
            <w:vAlign w:val="bottom"/>
          </w:tcPr>
          <w:p>
            <w:pPr>
              <w:spacing w:after="0"/>
              <w:rPr>
                <w:sz w:val="1"/>
                <w:szCs w:val="1"/>
                <w:color w:val="auto"/>
              </w:rPr>
            </w:pPr>
          </w:p>
        </w:tc>
      </w:tr>
      <w:tr>
        <w:trPr>
          <w:trHeight w:val="20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interests</w:t>
            </w:r>
          </w:p>
        </w:tc>
        <w:tc>
          <w:tcPr>
            <w:tcW w:w="118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180" w:type="dxa"/>
            <w:vAlign w:val="bottom"/>
          </w:tcPr>
          <w:p>
            <w:pPr>
              <w:jc w:val="right"/>
              <w:spacing w:after="0"/>
              <w:rPr>
                <w:sz w:val="20"/>
                <w:szCs w:val="20"/>
                <w:color w:val="auto"/>
              </w:rPr>
            </w:pPr>
            <w:r>
              <w:rPr>
                <w:rFonts w:ascii="Arial" w:cs="Arial" w:eastAsia="Arial" w:hAnsi="Arial"/>
                <w:sz w:val="16"/>
                <w:szCs w:val="16"/>
                <w:color w:val="auto"/>
              </w:rPr>
              <w:t>113,085,164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42,861,612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1,050,714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(45,691 ) $</w:t>
            </w:r>
          </w:p>
        </w:tc>
        <w:tc>
          <w:tcPr>
            <w:tcW w:w="620" w:type="dxa"/>
            <w:vAlign w:val="bottom"/>
          </w:tcPr>
          <w:p>
            <w:pPr>
              <w:jc w:val="right"/>
              <w:spacing w:after="0"/>
              <w:rPr>
                <w:sz w:val="20"/>
                <w:szCs w:val="20"/>
                <w:color w:val="auto"/>
              </w:rPr>
            </w:pPr>
            <w:r>
              <w:rPr>
                <w:rFonts w:ascii="Arial" w:cs="Arial" w:eastAsia="Arial" w:hAnsi="Arial"/>
                <w:sz w:val="16"/>
                <w:szCs w:val="16"/>
                <w:color w:val="auto"/>
              </w:rPr>
              <w:t>3,252</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447,071</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1,455,459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5"/>
              </w:rPr>
              <w:t>(171,526 )</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(77,162 )</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(248,688 )</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(201 )</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(66 )</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(267 )</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 incentive units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(5,086 )</w:t>
            </w:r>
          </w:p>
        </w:tc>
        <w:tc>
          <w:tcPr>
            <w:tcW w:w="14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Issuance of Class A Common</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color w:val="auto"/>
              </w:rPr>
              <w:t>Stock upon vesting of RSUs</w:t>
            </w:r>
          </w:p>
        </w:tc>
        <w:tc>
          <w:tcPr>
            <w:tcW w:w="1180" w:type="dxa"/>
            <w:vAlign w:val="bottom"/>
          </w:tcPr>
          <w:p>
            <w:pPr>
              <w:jc w:val="right"/>
              <w:spacing w:after="0"/>
              <w:rPr>
                <w:sz w:val="20"/>
                <w:szCs w:val="20"/>
                <w:color w:val="auto"/>
              </w:rPr>
            </w:pPr>
            <w:r>
              <w:rPr>
                <w:rFonts w:ascii="Arial" w:cs="Arial" w:eastAsia="Arial" w:hAnsi="Arial"/>
                <w:sz w:val="16"/>
                <w:szCs w:val="16"/>
                <w:color w:val="auto"/>
              </w:rPr>
              <w:t>214,549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(391 )</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related to net</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settlement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(75,217 )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(782 )</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(782 )</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Effect of LLC unit exchanges</w:t>
            </w:r>
          </w:p>
        </w:tc>
        <w:tc>
          <w:tcPr>
            <w:tcW w:w="1180" w:type="dxa"/>
            <w:vAlign w:val="bottom"/>
          </w:tcPr>
          <w:p>
            <w:pPr>
              <w:jc w:val="right"/>
              <w:spacing w:after="0"/>
              <w:rPr>
                <w:sz w:val="20"/>
                <w:szCs w:val="20"/>
                <w:color w:val="auto"/>
              </w:rPr>
            </w:pPr>
            <w:r>
              <w:rPr>
                <w:rFonts w:ascii="Arial" w:cs="Arial" w:eastAsia="Arial" w:hAnsi="Arial"/>
                <w:sz w:val="16"/>
                <w:szCs w:val="16"/>
                <w:color w:val="auto"/>
              </w:rPr>
              <w:t>3,057,466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(3,057,466 )</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23,231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(29,634 )</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(6,400 )</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(22,200 )</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Distributions to noncontrolling</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(7,866 )</w:t>
            </w:r>
          </w:p>
        </w:tc>
        <w:tc>
          <w:tcPr>
            <w:tcW w:w="18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(7,866 )</w:t>
            </w:r>
          </w:p>
        </w:tc>
        <w:tc>
          <w:tcPr>
            <w:tcW w:w="0" w:type="dxa"/>
            <w:vAlign w:val="bottom"/>
          </w:tcPr>
          <w:p>
            <w:pPr>
              <w:spacing w:after="0"/>
              <w:rPr>
                <w:sz w:val="1"/>
                <w:szCs w:val="1"/>
                <w:color w:val="auto"/>
              </w:rPr>
            </w:pPr>
          </w:p>
        </w:tc>
      </w:tr>
      <w:tr>
        <w:trPr>
          <w:trHeight w:val="20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interests</w:t>
            </w:r>
          </w:p>
        </w:tc>
        <w:tc>
          <w:tcPr>
            <w:tcW w:w="118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w w:val="97"/>
              </w:rPr>
              <w:t>Balance at September 30, 2023</w:t>
            </w:r>
          </w:p>
        </w:tc>
        <w:tc>
          <w:tcPr>
            <w:tcW w:w="1180" w:type="dxa"/>
            <w:vAlign w:val="bottom"/>
          </w:tcPr>
          <w:p>
            <w:pPr>
              <w:jc w:val="right"/>
              <w:spacing w:after="0"/>
              <w:rPr>
                <w:sz w:val="20"/>
                <w:szCs w:val="20"/>
                <w:color w:val="auto"/>
              </w:rPr>
            </w:pPr>
            <w:r>
              <w:rPr>
                <w:rFonts w:ascii="Arial" w:cs="Arial" w:eastAsia="Arial" w:hAnsi="Arial"/>
                <w:sz w:val="16"/>
                <w:szCs w:val="16"/>
                <w:color w:val="auto"/>
              </w:rPr>
              <w:t>116,281,962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39,781,946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1,077,332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4"/>
              </w:rPr>
              <w:t>(217,217 ) $</w:t>
            </w:r>
          </w:p>
        </w:tc>
        <w:tc>
          <w:tcPr>
            <w:tcW w:w="620" w:type="dxa"/>
            <w:vAlign w:val="bottom"/>
          </w:tcPr>
          <w:p>
            <w:pPr>
              <w:jc w:val="right"/>
              <w:spacing w:after="0"/>
              <w:rPr>
                <w:sz w:val="20"/>
                <w:szCs w:val="20"/>
                <w:color w:val="auto"/>
              </w:rPr>
            </w:pPr>
            <w:r>
              <w:rPr>
                <w:rFonts w:ascii="Arial" w:cs="Arial" w:eastAsia="Arial" w:hAnsi="Arial"/>
                <w:sz w:val="16"/>
                <w:szCs w:val="16"/>
                <w:color w:val="auto"/>
              </w:rPr>
              <w:t>3,051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340,168</w:t>
            </w:r>
          </w:p>
        </w:tc>
        <w:tc>
          <w:tcPr>
            <w:tcW w:w="1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1,203,450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-2019935</wp:posOffset>
            </wp:positionV>
            <wp:extent cx="7683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-2019935</wp:posOffset>
            </wp:positionV>
            <wp:extent cx="7683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-2019935</wp:posOffset>
            </wp:positionV>
            <wp:extent cx="7683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-2019935</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-2019935</wp:posOffset>
            </wp:positionV>
            <wp:extent cx="685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-2019935</wp:posOffset>
            </wp:positionV>
            <wp:extent cx="685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-2019935</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-2019935</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-179070</wp:posOffset>
            </wp:positionV>
            <wp:extent cx="7683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-179070</wp:posOffset>
            </wp:positionV>
            <wp:extent cx="7683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-179070</wp:posOffset>
            </wp:positionV>
            <wp:extent cx="76835"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-179070</wp:posOffset>
            </wp:positionV>
            <wp:extent cx="685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-179070</wp:posOffset>
            </wp:positionV>
            <wp:extent cx="685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-179070</wp:posOffset>
            </wp:positionV>
            <wp:extent cx="685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-179070</wp:posOffset>
            </wp:positionV>
            <wp:extent cx="6858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-179070</wp:posOffset>
            </wp:positionV>
            <wp:extent cx="685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DEFINITIVE HEALTHCARE CORP.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TOTAL EQUITY (CONTINUED)</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(amounts in thousands, except share amounts)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left="621"/>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center"/>
              <w:ind w:right="101"/>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left="641"/>
              <w:spacing w:after="0" w:line="135" w:lineRule="exact"/>
              <w:rPr>
                <w:sz w:val="20"/>
                <w:szCs w:val="20"/>
                <w:color w:val="auto"/>
              </w:rPr>
            </w:pPr>
            <w:r>
              <w:rPr>
                <w:rFonts w:ascii="Arial" w:cs="Arial" w:eastAsia="Arial" w:hAnsi="Arial"/>
                <w:sz w:val="13"/>
                <w:szCs w:val="13"/>
                <w:b w:val="1"/>
                <w:bCs w:val="1"/>
                <w:color w:val="auto"/>
                <w:w w:val="86"/>
              </w:rPr>
              <w:t>Comprehensi</w:t>
            </w: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w w:val="99"/>
              </w:rPr>
              <w:t>Noncontrollin</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280" w:type="dxa"/>
            <w:vAlign w:val="bottom"/>
          </w:tcPr>
          <w:p>
            <w:pPr>
              <w:jc w:val="right"/>
              <w:ind w:right="400"/>
              <w:spacing w:after="0"/>
              <w:rPr>
                <w:sz w:val="20"/>
                <w:szCs w:val="20"/>
                <w:color w:val="auto"/>
              </w:rPr>
            </w:pPr>
            <w:r>
              <w:rPr>
                <w:rFonts w:ascii="Arial" w:cs="Arial" w:eastAsia="Arial" w:hAnsi="Arial"/>
                <w:sz w:val="13"/>
                <w:szCs w:val="13"/>
                <w:b w:val="1"/>
                <w:bCs w:val="1"/>
                <w:color w:val="auto"/>
              </w:rPr>
              <w:t>Class A</w:t>
            </w:r>
          </w:p>
        </w:tc>
        <w:tc>
          <w:tcPr>
            <w:tcW w:w="180" w:type="dxa"/>
            <w:vAlign w:val="bottom"/>
          </w:tcPr>
          <w:p>
            <w:pPr>
              <w:spacing w:after="0"/>
              <w:rPr>
                <w:sz w:val="14"/>
                <w:szCs w:val="14"/>
                <w:color w:val="auto"/>
              </w:rPr>
            </w:pPr>
          </w:p>
        </w:tc>
        <w:tc>
          <w:tcPr>
            <w:tcW w:w="820" w:type="dxa"/>
            <w:vAlign w:val="bottom"/>
          </w:tcPr>
          <w:p>
            <w:pPr>
              <w:jc w:val="right"/>
              <w:ind w:right="260"/>
              <w:spacing w:after="0"/>
              <w:rPr>
                <w:sz w:val="20"/>
                <w:szCs w:val="20"/>
                <w:color w:val="auto"/>
              </w:rPr>
            </w:pPr>
            <w:r>
              <w:rPr>
                <w:rFonts w:ascii="Arial" w:cs="Arial" w:eastAsia="Arial" w:hAnsi="Arial"/>
                <w:sz w:val="13"/>
                <w:szCs w:val="13"/>
                <w:b w:val="1"/>
                <w:bCs w:val="1"/>
                <w:color w:val="auto"/>
                <w:w w:val="96"/>
              </w:rPr>
              <w:t>Class A</w:t>
            </w:r>
          </w:p>
        </w:tc>
        <w:tc>
          <w:tcPr>
            <w:tcW w:w="980" w:type="dxa"/>
            <w:vAlign w:val="bottom"/>
          </w:tcPr>
          <w:p>
            <w:pPr>
              <w:jc w:val="right"/>
              <w:ind w:right="260"/>
              <w:spacing w:after="0"/>
              <w:rPr>
                <w:sz w:val="20"/>
                <w:szCs w:val="20"/>
                <w:color w:val="auto"/>
              </w:rPr>
            </w:pPr>
            <w:r>
              <w:rPr>
                <w:rFonts w:ascii="Arial" w:cs="Arial" w:eastAsia="Arial" w:hAnsi="Arial"/>
                <w:sz w:val="13"/>
                <w:szCs w:val="13"/>
                <w:b w:val="1"/>
                <w:bCs w:val="1"/>
                <w:color w:val="auto"/>
              </w:rPr>
              <w:t>Class B</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3"/>
                <w:szCs w:val="13"/>
                <w:b w:val="1"/>
                <w:bCs w:val="1"/>
                <w:color w:val="auto"/>
              </w:rPr>
              <w:t>Class B</w:t>
            </w:r>
          </w:p>
        </w:tc>
        <w:tc>
          <w:tcPr>
            <w:tcW w:w="16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3"/>
                <w:szCs w:val="13"/>
                <w:b w:val="1"/>
                <w:bCs w:val="1"/>
                <w:color w:val="auto"/>
              </w:rPr>
              <w:t>Paid-In</w:t>
            </w:r>
          </w:p>
        </w:tc>
        <w:tc>
          <w:tcPr>
            <w:tcW w:w="1060" w:type="dxa"/>
            <w:vAlign w:val="bottom"/>
            <w:gridSpan w:val="2"/>
          </w:tcPr>
          <w:p>
            <w:pPr>
              <w:jc w:val="right"/>
              <w:ind w:right="221"/>
              <w:spacing w:after="0"/>
              <w:rPr>
                <w:sz w:val="20"/>
                <w:szCs w:val="20"/>
                <w:color w:val="auto"/>
              </w:rPr>
            </w:pPr>
            <w:r>
              <w:rPr>
                <w:rFonts w:ascii="Arial" w:cs="Arial" w:eastAsia="Arial" w:hAnsi="Arial"/>
                <w:sz w:val="13"/>
                <w:szCs w:val="13"/>
                <w:b w:val="1"/>
                <w:bCs w:val="1"/>
                <w:color w:val="auto"/>
                <w:w w:val="90"/>
              </w:rPr>
              <w:t>Accumulated</w:t>
            </w:r>
          </w:p>
        </w:tc>
        <w:tc>
          <w:tcPr>
            <w:tcW w:w="660" w:type="dxa"/>
            <w:vAlign w:val="bottom"/>
          </w:tcPr>
          <w:p>
            <w:pPr>
              <w:jc w:val="center"/>
              <w:ind w:right="101"/>
              <w:spacing w:after="0"/>
              <w:rPr>
                <w:sz w:val="20"/>
                <w:szCs w:val="20"/>
                <w:color w:val="auto"/>
              </w:rPr>
            </w:pPr>
            <w:r>
              <w:rPr>
                <w:rFonts w:ascii="Arial" w:cs="Arial" w:eastAsia="Arial" w:hAnsi="Arial"/>
                <w:sz w:val="13"/>
                <w:szCs w:val="13"/>
                <w:b w:val="1"/>
                <w:bCs w:val="1"/>
                <w:color w:val="auto"/>
                <w:w w:val="82"/>
              </w:rPr>
              <w:t>ve</w:t>
            </w:r>
          </w:p>
        </w:tc>
        <w:tc>
          <w:tcPr>
            <w:tcW w:w="200" w:type="dxa"/>
            <w:vAlign w:val="bottom"/>
          </w:tcPr>
          <w:p>
            <w:pPr>
              <w:spacing w:after="0"/>
              <w:rPr>
                <w:sz w:val="14"/>
                <w:szCs w:val="14"/>
                <w:color w:val="auto"/>
              </w:rPr>
            </w:pPr>
          </w:p>
        </w:tc>
        <w:tc>
          <w:tcPr>
            <w:tcW w:w="760" w:type="dxa"/>
            <w:vAlign w:val="bottom"/>
          </w:tcPr>
          <w:p>
            <w:pPr>
              <w:jc w:val="right"/>
              <w:ind w:right="380"/>
              <w:spacing w:after="0"/>
              <w:rPr>
                <w:sz w:val="20"/>
                <w:szCs w:val="20"/>
                <w:color w:val="auto"/>
              </w:rPr>
            </w:pPr>
            <w:r>
              <w:rPr>
                <w:rFonts w:ascii="Arial" w:cs="Arial" w:eastAsia="Arial" w:hAnsi="Arial"/>
                <w:sz w:val="13"/>
                <w:szCs w:val="13"/>
                <w:b w:val="1"/>
                <w:bCs w:val="1"/>
                <w:color w:val="auto"/>
              </w:rPr>
              <w:t>g</w:t>
            </w:r>
          </w:p>
        </w:tc>
        <w:tc>
          <w:tcPr>
            <w:tcW w:w="200" w:type="dxa"/>
            <w:vAlign w:val="bottom"/>
          </w:tcPr>
          <w:p>
            <w:pPr>
              <w:spacing w:after="0"/>
              <w:rPr>
                <w:sz w:val="14"/>
                <w:szCs w:val="14"/>
                <w:color w:val="auto"/>
              </w:rPr>
            </w:pPr>
          </w:p>
        </w:tc>
        <w:tc>
          <w:tcPr>
            <w:tcW w:w="840" w:type="dxa"/>
            <w:vAlign w:val="bottom"/>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320" w:type="dxa"/>
            <w:vAlign w:val="bottom"/>
          </w:tcPr>
          <w:p>
            <w:pPr>
              <w:spacing w:after="0"/>
              <w:rPr>
                <w:sz w:val="14"/>
                <w:szCs w:val="14"/>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Stock</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w w:val="93"/>
              </w:rPr>
              <w:t>Amount</w:t>
            </w: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Stock</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Capital</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Deficit</w:t>
            </w: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87"/>
              </w:rPr>
              <w:t>Income</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w w:val="88"/>
              </w:rPr>
              <w:t>Interests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8"/>
              </w:rPr>
              <w:t>Balance at January 1, 2022, as</w:t>
            </w: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restated</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97,030,095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97</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58,244,627</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888,992</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(17,840 )</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628,525</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8"/>
              </w:rPr>
              <w:t>1,499,836</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Net loss, as restated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(8,581 )</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(4,458 )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(13,039 )</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487</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Vested incentive units</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(696 )</w:t>
            </w:r>
          </w:p>
        </w:tc>
        <w:tc>
          <w:tcPr>
            <w:tcW w:w="160" w:type="dxa"/>
            <w:vAlign w:val="bottom"/>
          </w:tcPr>
          <w:p>
            <w:pPr>
              <w:spacing w:after="0"/>
              <w:rPr>
                <w:sz w:val="19"/>
                <w:szCs w:val="19"/>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696</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Effect of LLC unit exchanges, as</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restated</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544,302</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(544,302 )</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5,071</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(5,965 )</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(893 )</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(33,549 )</w:t>
            </w:r>
          </w:p>
        </w:tc>
        <w:tc>
          <w:tcPr>
            <w:tcW w:w="18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4,377</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2,495</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6,872</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Distributions to noncontrolling</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(258 )</w:t>
            </w: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(258 )</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March 31, 2022, as</w:t>
            </w: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restated</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97,574,397</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98</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57,666,776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897,744</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(26,421 ) $</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20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621,522</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8"/>
              </w:rPr>
              <w:t>1,493,861</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Net loss, as restated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(5,486 )</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(4,656 )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(10,142 )</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Other comprehensive income, as</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restated</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580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Vested incentive units</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(358 )</w:t>
            </w:r>
          </w:p>
        </w:tc>
        <w:tc>
          <w:tcPr>
            <w:tcW w:w="160" w:type="dxa"/>
            <w:vAlign w:val="bottom"/>
          </w:tcPr>
          <w:p>
            <w:pPr>
              <w:spacing w:after="0"/>
              <w:rPr>
                <w:sz w:val="19"/>
                <w:szCs w:val="19"/>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Class A Common</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upon vesting of RSUs</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11,729</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w w:val="98"/>
              </w:rPr>
              <w:t>Effect of LLC unit exchanges, as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color w:val="auto"/>
              </w:rPr>
              <w:t>restated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2,898,589</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(2,898,589 )</w:t>
            </w:r>
          </w:p>
        </w:tc>
        <w:tc>
          <w:tcPr>
            <w:tcW w:w="1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24,764</w:t>
            </w:r>
          </w:p>
        </w:tc>
        <w:tc>
          <w:tcPr>
            <w:tcW w:w="160" w:type="dxa"/>
            <w:vAlign w:val="bottom"/>
          </w:tcPr>
          <w:p>
            <w:pPr>
              <w:spacing w:after="0"/>
              <w:rPr>
                <w:sz w:val="18"/>
                <w:szCs w:val="18"/>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(29,358 )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(4,592 )</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(22,807 )</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5,852</w:t>
            </w:r>
          </w:p>
        </w:tc>
        <w:tc>
          <w:tcPr>
            <w:tcW w:w="160" w:type="dxa"/>
            <w:vAlign w:val="bottom"/>
          </w:tcPr>
          <w:p>
            <w:pPr>
              <w:spacing w:after="0"/>
              <w:rPr>
                <w:sz w:val="19"/>
                <w:szCs w:val="19"/>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3,153</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9,005</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Distributions to noncontrolling</w:t>
            </w:r>
          </w:p>
        </w:tc>
        <w:tc>
          <w:tcPr>
            <w:tcW w:w="128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(5,029 )</w:t>
            </w:r>
          </w:p>
        </w:tc>
        <w:tc>
          <w:tcPr>
            <w:tcW w:w="20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(5,029 )</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interests</w:t>
            </w:r>
          </w:p>
        </w:tc>
        <w:tc>
          <w:tcPr>
            <w:tcW w:w="12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 as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restated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100,484,715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54,745,380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928,047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(31,907 ) $</w:t>
            </w:r>
          </w:p>
        </w:tc>
        <w:tc>
          <w:tcPr>
            <w:tcW w:w="660" w:type="dxa"/>
            <w:vAlign w:val="bottom"/>
          </w:tcPr>
          <w:p>
            <w:pPr>
              <w:jc w:val="right"/>
              <w:spacing w:after="0"/>
              <w:rPr>
                <w:sz w:val="20"/>
                <w:szCs w:val="20"/>
                <w:color w:val="auto"/>
              </w:rPr>
            </w:pPr>
            <w:r>
              <w:rPr>
                <w:rFonts w:ascii="Arial" w:cs="Arial" w:eastAsia="Arial" w:hAnsi="Arial"/>
                <w:sz w:val="16"/>
                <w:szCs w:val="16"/>
                <w:color w:val="auto"/>
              </w:rPr>
              <w:t>1,673</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586,525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1,484,438</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as restated</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(3,020 )</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(3,865 )</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(6,885 )</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w w:val="97"/>
              </w:rPr>
              <w:t>Other comprehensive income, as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color w:val="auto"/>
              </w:rPr>
              <w:t>restated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2,238</w:t>
            </w:r>
          </w:p>
        </w:tc>
        <w:tc>
          <w:tcPr>
            <w:tcW w:w="20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934</w:t>
            </w:r>
          </w:p>
        </w:tc>
        <w:tc>
          <w:tcPr>
            <w:tcW w:w="20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3,172</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 incentive units</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(5,728 )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5,728</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Issuance of Class A Common</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color w:val="auto"/>
              </w:rPr>
              <w:t>Stock upon vesting of RSUs</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440,317</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1,079</w:t>
            </w:r>
          </w:p>
        </w:tc>
        <w:tc>
          <w:tcPr>
            <w:tcW w:w="160" w:type="dxa"/>
            <w:vAlign w:val="bottom"/>
          </w:tcPr>
          <w:p>
            <w:pPr>
              <w:spacing w:after="0"/>
              <w:rPr>
                <w:sz w:val="18"/>
                <w:szCs w:val="18"/>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(1,079 )</w:t>
            </w:r>
          </w:p>
        </w:tc>
        <w:tc>
          <w:tcPr>
            <w:tcW w:w="20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related to net</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settlement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(136,000 )</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(2,745 )</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(2,745 )</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w w:val="98"/>
              </w:rPr>
              <w:t>Effect of LLC unit exchanges, as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color w:val="auto"/>
              </w:rPr>
              <w:t>restated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4,172,933</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(4,172,933 )</w:t>
            </w:r>
          </w:p>
        </w:tc>
        <w:tc>
          <w:tcPr>
            <w:tcW w:w="1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34,207</w:t>
            </w:r>
          </w:p>
        </w:tc>
        <w:tc>
          <w:tcPr>
            <w:tcW w:w="160" w:type="dxa"/>
            <w:vAlign w:val="bottom"/>
          </w:tcPr>
          <w:p>
            <w:pPr>
              <w:spacing w:after="0"/>
              <w:rPr>
                <w:sz w:val="18"/>
                <w:szCs w:val="18"/>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(46,580 )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(12,368 )</w:t>
            </w: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(5,549 )</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6,141</w:t>
            </w:r>
          </w:p>
        </w:tc>
        <w:tc>
          <w:tcPr>
            <w:tcW w:w="160" w:type="dxa"/>
            <w:vAlign w:val="bottom"/>
          </w:tcPr>
          <w:p>
            <w:pPr>
              <w:spacing w:after="0"/>
              <w:rPr>
                <w:sz w:val="19"/>
                <w:szCs w:val="19"/>
                <w:color w:val="auto"/>
              </w:rPr>
            </w:pPr>
          </w:p>
        </w:tc>
        <w:tc>
          <w:tcPr>
            <w:tcW w:w="9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2,992</w:t>
            </w: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9,133</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Distributions to noncontrolling</w:t>
            </w:r>
          </w:p>
        </w:tc>
        <w:tc>
          <w:tcPr>
            <w:tcW w:w="128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ind w:right="181"/>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(1,652 )</w:t>
            </w:r>
          </w:p>
        </w:tc>
        <w:tc>
          <w:tcPr>
            <w:tcW w:w="20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(1,652 )</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interests</w:t>
            </w:r>
          </w:p>
        </w:tc>
        <w:tc>
          <w:tcPr>
            <w:tcW w:w="12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w w:val="95"/>
              </w:rPr>
              <w:t>Balance at September 30, 2022,</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color w:val="auto"/>
              </w:rPr>
              <w:t>104,961,965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105</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color w:val="auto"/>
              </w:rPr>
              <w:t>50,566,898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961,001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(34,927 ) $</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3,911</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0"/>
              <w:spacing w:after="0"/>
              <w:rPr>
                <w:sz w:val="20"/>
                <w:szCs w:val="20"/>
                <w:color w:val="auto"/>
              </w:rPr>
            </w:pPr>
            <w:r>
              <w:rPr>
                <w:rFonts w:ascii="Arial" w:cs="Arial" w:eastAsia="Arial" w:hAnsi="Arial"/>
                <w:sz w:val="16"/>
                <w:szCs w:val="16"/>
                <w:color w:val="auto"/>
              </w:rPr>
              <w:t>543,003</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w w:val="98"/>
              </w:rPr>
              <w:t>1,473,093</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as restated</w:t>
            </w: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1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60"/>
        </w:trPr>
        <w:tc>
          <w:tcPr>
            <w:tcW w:w="69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04"/>
              <w:spacing w:after="0" w:line="159" w:lineRule="exact"/>
              <w:rPr>
                <w:sz w:val="20"/>
                <w:szCs w:val="20"/>
                <w:color w:val="auto"/>
              </w:rPr>
            </w:pPr>
            <w:r>
              <w:rPr>
                <w:rFonts w:ascii="Arial" w:cs="Arial" w:eastAsia="Arial" w:hAnsi="Arial"/>
                <w:sz w:val="14"/>
                <w:szCs w:val="14"/>
                <w:b w:val="1"/>
                <w:bCs w:val="1"/>
                <w:color w:val="auto"/>
              </w:rPr>
              <w:t>(As Restated)</w:t>
            </w:r>
          </w:p>
        </w:tc>
        <w:tc>
          <w:tcPr>
            <w:tcW w:w="100" w:type="dxa"/>
            <w:vAlign w:val="bottom"/>
          </w:tcPr>
          <w:p>
            <w:pPr>
              <w:spacing w:after="0"/>
              <w:rPr>
                <w:sz w:val="13"/>
                <w:szCs w:val="13"/>
                <w:color w:val="auto"/>
              </w:rPr>
            </w:pPr>
          </w:p>
        </w:tc>
      </w:tr>
      <w:tr>
        <w:trPr>
          <w:trHeight w:val="185"/>
        </w:trPr>
        <w:tc>
          <w:tcPr>
            <w:tcW w:w="69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82"/>
        </w:trPr>
        <w:tc>
          <w:tcPr>
            <w:tcW w:w="69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provided by (used in) operating activities:</w:t>
            </w: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20" w:type="dxa"/>
            <w:vAlign w:val="bottom"/>
          </w:tcPr>
          <w:p>
            <w:pPr>
              <w:ind w:left="360"/>
              <w:spacing w:after="0"/>
              <w:rPr>
                <w:sz w:val="20"/>
                <w:szCs w:val="20"/>
                <w:color w:val="auto"/>
              </w:rPr>
            </w:pPr>
            <w:r>
              <w:rPr>
                <w:rFonts w:ascii="Arial" w:cs="Arial" w:eastAsia="Arial" w:hAnsi="Arial"/>
                <w:sz w:val="15"/>
                <w:szCs w:val="15"/>
                <w:color w:val="auto"/>
              </w:rPr>
              <w:t>Net loss</w:t>
            </w:r>
          </w:p>
        </w:tc>
        <w:tc>
          <w:tcPr>
            <w:tcW w:w="860" w:type="dxa"/>
            <w:vAlign w:val="bottom"/>
          </w:tcPr>
          <w:p>
            <w:pPr>
              <w:jc w:val="right"/>
              <w:ind w:right="685"/>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(276,265 )</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(30,066 )</w:t>
            </w:r>
          </w:p>
        </w:tc>
      </w:tr>
      <w:tr>
        <w:trPr>
          <w:trHeight w:val="189"/>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Arial" w:cs="Arial" w:eastAsia="Arial" w:hAnsi="Arial"/>
                <w:sz w:val="15"/>
                <w:szCs w:val="15"/>
                <w:color w:val="auto"/>
              </w:rPr>
              <w:t>Depreciation and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1,391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1,721</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Amortization of intangible assets</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37,358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42,497</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Arial" w:cs="Arial" w:eastAsia="Arial" w:hAnsi="Arial"/>
                <w:sz w:val="15"/>
                <w:szCs w:val="15"/>
                <w:color w:val="auto"/>
              </w:rPr>
              <w:t>Amortization of deferred contract costs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9,475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6,274</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Equity-based compensation</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35,485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25,010</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Arial" w:cs="Arial" w:eastAsia="Arial" w:hAnsi="Arial"/>
                <w:sz w:val="15"/>
                <w:szCs w:val="15"/>
                <w:color w:val="auto"/>
              </w:rPr>
              <w:t>Amortization of debt issuance costs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527</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Provision for doubtful accounts receivable</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769</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Arial" w:cs="Arial" w:eastAsia="Arial" w:hAnsi="Arial"/>
                <w:sz w:val="15"/>
                <w:szCs w:val="15"/>
                <w:color w:val="auto"/>
              </w:rPr>
              <w:t>Non-cash restructuring charges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1,023</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Goodwill impairment charge</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287,400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20" w:type="dxa"/>
            <w:vAlign w:val="bottom"/>
          </w:tcPr>
          <w:p>
            <w:pPr>
              <w:ind w:left="640"/>
              <w:spacing w:after="0"/>
              <w:rPr>
                <w:sz w:val="20"/>
                <w:szCs w:val="20"/>
                <w:color w:val="auto"/>
              </w:rPr>
            </w:pPr>
            <w:r>
              <w:rPr>
                <w:rFonts w:ascii="Arial" w:cs="Arial" w:eastAsia="Arial" w:hAnsi="Arial"/>
                <w:sz w:val="15"/>
                <w:szCs w:val="15"/>
                <w:color w:val="auto"/>
              </w:rPr>
              <w:t>Tax receivable agreement remeasurement</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(24,977 )</w:t>
            </w: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(8,583 )</w:t>
            </w:r>
          </w:p>
        </w:tc>
      </w:tr>
      <w:tr>
        <w:trPr>
          <w:trHeight w:val="189"/>
        </w:trPr>
        <w:tc>
          <w:tcPr>
            <w:tcW w:w="69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Deferred income taxes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(19,728 )</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(719 )</w:t>
            </w:r>
          </w:p>
        </w:tc>
      </w:tr>
      <w:tr>
        <w:trPr>
          <w:trHeight w:val="189"/>
        </w:trPr>
        <w:tc>
          <w:tcPr>
            <w:tcW w:w="692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Accounts receivable</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19,370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12,454</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Arial" w:cs="Arial" w:eastAsia="Arial" w:hAnsi="Arial"/>
                <w:sz w:val="15"/>
                <w:szCs w:val="15"/>
                <w:color w:val="auto"/>
              </w:rPr>
              <w:t>Prepaid expenses and other current assets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(5,808 )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2,554</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Deferred contract costs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(13,020 )</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(10,070 )</w:t>
            </w:r>
          </w:p>
        </w:tc>
      </w:tr>
      <w:tr>
        <w:trPr>
          <w:trHeight w:val="189"/>
        </w:trPr>
        <w:tc>
          <w:tcPr>
            <w:tcW w:w="6920" w:type="dxa"/>
            <w:vAlign w:val="bottom"/>
          </w:tcPr>
          <w:p>
            <w:pPr>
              <w:ind w:left="640"/>
              <w:spacing w:after="0"/>
              <w:rPr>
                <w:sz w:val="20"/>
                <w:szCs w:val="20"/>
                <w:color w:val="auto"/>
              </w:rPr>
            </w:pPr>
            <w:r>
              <w:rPr>
                <w:rFonts w:ascii="Arial" w:cs="Arial" w:eastAsia="Arial" w:hAnsi="Arial"/>
                <w:sz w:val="15"/>
                <w:szCs w:val="15"/>
                <w:color w:val="auto"/>
              </w:rPr>
              <w:t>Contingent consideration</w:t>
            </w:r>
          </w:p>
        </w:tc>
        <w:tc>
          <w:tcPr>
            <w:tcW w:w="86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(6,400 )</w:t>
            </w:r>
          </w:p>
        </w:tc>
      </w:tr>
      <w:tr>
        <w:trPr>
          <w:trHeight w:val="189"/>
        </w:trPr>
        <w:tc>
          <w:tcPr>
            <w:tcW w:w="69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Accounts payable, accrued expenses, and other liabilities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(1,589 )</w:t>
            </w: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5,832</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640"/>
              <w:spacing w:after="0"/>
              <w:rPr>
                <w:sz w:val="20"/>
                <w:szCs w:val="20"/>
                <w:color w:val="auto"/>
              </w:rPr>
            </w:pPr>
            <w:r>
              <w:rPr>
                <w:rFonts w:ascii="Arial" w:cs="Arial" w:eastAsia="Arial" w:hAnsi="Arial"/>
                <w:sz w:val="15"/>
                <w:szCs w:val="15"/>
                <w:color w:val="auto"/>
              </w:rPr>
              <w:t>Deferred revenue</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(14,113 )</w:t>
            </w: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(3,024 )</w:t>
            </w:r>
          </w:p>
        </w:tc>
      </w:tr>
      <w:tr>
        <w:trPr>
          <w:trHeight w:val="182"/>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Net cash provided by operating activities</w:t>
            </w:r>
          </w:p>
        </w:tc>
        <w:tc>
          <w:tcPr>
            <w:tcW w:w="86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36,481</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39,799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6920" w:type="dxa"/>
            <w:vAlign w:val="bottom"/>
          </w:tcPr>
          <w:p>
            <w:pPr>
              <w:spacing w:after="0"/>
              <w:rPr>
                <w:sz w:val="20"/>
                <w:szCs w:val="20"/>
                <w:color w:val="auto"/>
              </w:rPr>
            </w:pPr>
            <w:r>
              <w:rPr>
                <w:rFonts w:ascii="Arial" w:cs="Arial" w:eastAsia="Arial" w:hAnsi="Arial"/>
                <w:sz w:val="15"/>
                <w:szCs w:val="15"/>
                <w:b w:val="1"/>
                <w:bCs w:val="1"/>
                <w:color w:val="auto"/>
              </w:rPr>
              <w:t>Cash flows (used in) provided by investing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Purchases of property, equipment, and other assets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(2,383 )</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(3,455 )</w:t>
            </w:r>
          </w:p>
        </w:tc>
      </w:tr>
      <w:tr>
        <w:trPr>
          <w:trHeight w:val="189"/>
        </w:trPr>
        <w:tc>
          <w:tcPr>
            <w:tcW w:w="6920" w:type="dxa"/>
            <w:vAlign w:val="bottom"/>
          </w:tcPr>
          <w:p>
            <w:pPr>
              <w:ind w:left="360"/>
              <w:spacing w:after="0"/>
              <w:rPr>
                <w:sz w:val="20"/>
                <w:szCs w:val="20"/>
                <w:color w:val="auto"/>
              </w:rPr>
            </w:pPr>
            <w:r>
              <w:rPr>
                <w:rFonts w:ascii="Arial" w:cs="Arial" w:eastAsia="Arial" w:hAnsi="Arial"/>
                <w:sz w:val="15"/>
                <w:szCs w:val="15"/>
                <w:color w:val="auto"/>
              </w:rPr>
              <w:t>Purchases of short-term investments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(213,613 )</w:t>
            </w: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(217,266 )</w:t>
            </w: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Maturities of short-term investments</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174,830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96,000</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360"/>
              <w:spacing w:after="0"/>
              <w:rPr>
                <w:sz w:val="20"/>
                <w:szCs w:val="20"/>
                <w:color w:val="auto"/>
              </w:rPr>
            </w:pPr>
            <w:r>
              <w:rPr>
                <w:rFonts w:ascii="Arial" w:cs="Arial" w:eastAsia="Arial" w:hAnsi="Arial"/>
                <w:sz w:val="15"/>
                <w:szCs w:val="15"/>
                <w:color w:val="auto"/>
              </w:rPr>
              <w:t>Cash paid for acquisitions, net of cash acquired</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(45,023 )</w:t>
            </w: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(56,296 )</w:t>
            </w:r>
          </w:p>
        </w:tc>
      </w:tr>
      <w:tr>
        <w:trPr>
          <w:trHeight w:val="20"/>
        </w:trPr>
        <w:tc>
          <w:tcPr>
            <w:tcW w:w="6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Net cash used in investing activities</w:t>
            </w:r>
          </w:p>
        </w:tc>
        <w:tc>
          <w:tcPr>
            <w:tcW w:w="8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(86,189 )</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(181,017 )</w:t>
            </w:r>
          </w:p>
        </w:tc>
      </w:tr>
      <w:tr>
        <w:trPr>
          <w:trHeight w:val="182"/>
        </w:trPr>
        <w:tc>
          <w:tcPr>
            <w:tcW w:w="6920" w:type="dxa"/>
            <w:vAlign w:val="bottom"/>
            <w:tcBorders>
              <w:top w:val="single" w:sz="8" w:color="CFF0FC"/>
            </w:tcBorders>
          </w:tcPr>
          <w:p>
            <w:pPr>
              <w:spacing w:after="0"/>
              <w:rPr>
                <w:sz w:val="20"/>
                <w:szCs w:val="20"/>
                <w:color w:val="auto"/>
              </w:rPr>
            </w:pPr>
            <w:r>
              <w:rPr>
                <w:rFonts w:ascii="Arial" w:cs="Arial" w:eastAsia="Arial" w:hAnsi="Arial"/>
                <w:sz w:val="15"/>
                <w:szCs w:val="15"/>
                <w:b w:val="1"/>
                <w:bCs w:val="1"/>
                <w:color w:val="auto"/>
              </w:rPr>
              <w:t>Cash flows used in financing activities:</w:t>
            </w:r>
          </w:p>
        </w:tc>
        <w:tc>
          <w:tcPr>
            <w:tcW w:w="8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Repayments of term loans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(5,156 )</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(5,156 )</w:t>
            </w:r>
          </w:p>
        </w:tc>
      </w:tr>
      <w:tr>
        <w:trPr>
          <w:trHeight w:val="189"/>
        </w:trPr>
        <w:tc>
          <w:tcPr>
            <w:tcW w:w="6920" w:type="dxa"/>
            <w:vAlign w:val="bottom"/>
          </w:tcPr>
          <w:p>
            <w:pPr>
              <w:ind w:left="360"/>
              <w:spacing w:after="0"/>
              <w:rPr>
                <w:sz w:val="20"/>
                <w:szCs w:val="20"/>
                <w:color w:val="auto"/>
              </w:rPr>
            </w:pPr>
            <w:r>
              <w:rPr>
                <w:rFonts w:ascii="Arial" w:cs="Arial" w:eastAsia="Arial" w:hAnsi="Arial"/>
                <w:sz w:val="15"/>
                <w:szCs w:val="15"/>
                <w:color w:val="auto"/>
              </w:rPr>
              <w:t>Taxes paid related to net share settlement of equity awards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(3,397 )</w:t>
            </w: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(2,745 )</w:t>
            </w: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Payment of contingent consideration</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(1,100 )</w:t>
            </w:r>
          </w:p>
        </w:tc>
      </w:tr>
      <w:tr>
        <w:trPr>
          <w:trHeight w:val="189"/>
        </w:trPr>
        <w:tc>
          <w:tcPr>
            <w:tcW w:w="6920" w:type="dxa"/>
            <w:vAlign w:val="bottom"/>
          </w:tcPr>
          <w:p>
            <w:pPr>
              <w:ind w:left="360"/>
              <w:spacing w:after="0"/>
              <w:rPr>
                <w:sz w:val="20"/>
                <w:szCs w:val="20"/>
                <w:color w:val="auto"/>
              </w:rPr>
            </w:pPr>
            <w:r>
              <w:rPr>
                <w:rFonts w:ascii="Arial" w:cs="Arial" w:eastAsia="Arial" w:hAnsi="Arial"/>
                <w:sz w:val="15"/>
                <w:szCs w:val="15"/>
                <w:color w:val="auto"/>
              </w:rPr>
              <w:t>Payments under tax receivable agreement</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(246 )</w:t>
            </w:r>
          </w:p>
        </w:tc>
        <w:tc>
          <w:tcPr>
            <w:tcW w:w="18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Payments of equity offering issuance costs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(30 )</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(1,299 )</w:t>
            </w:r>
          </w:p>
        </w:tc>
      </w:tr>
      <w:tr>
        <w:trPr>
          <w:trHeight w:val="189"/>
        </w:trPr>
        <w:tc>
          <w:tcPr>
            <w:tcW w:w="6920" w:type="dxa"/>
            <w:vAlign w:val="bottom"/>
          </w:tcPr>
          <w:p>
            <w:pPr>
              <w:ind w:left="360"/>
              <w:spacing w:after="0"/>
              <w:rPr>
                <w:sz w:val="20"/>
                <w:szCs w:val="20"/>
                <w:color w:val="auto"/>
              </w:rPr>
            </w:pPr>
            <w:r>
              <w:rPr>
                <w:rFonts w:ascii="Arial" w:cs="Arial" w:eastAsia="Arial" w:hAnsi="Arial"/>
                <w:sz w:val="15"/>
                <w:szCs w:val="15"/>
                <w:color w:val="auto"/>
              </w:rPr>
              <w:t>Member distributions</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(10,693 )</w:t>
            </w: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(6,939 )</w:t>
            </w:r>
          </w:p>
        </w:tc>
      </w:tr>
      <w:tr>
        <w:trPr>
          <w:trHeight w:val="20"/>
        </w:trPr>
        <w:tc>
          <w:tcPr>
            <w:tcW w:w="6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Net cash used in financing activities</w:t>
            </w:r>
          </w:p>
        </w:tc>
        <w:tc>
          <w:tcPr>
            <w:tcW w:w="8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(19,522 )</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(17,239 )</w:t>
            </w:r>
          </w:p>
        </w:tc>
      </w:tr>
      <w:tr>
        <w:trPr>
          <w:trHeight w:val="20"/>
        </w:trPr>
        <w:tc>
          <w:tcPr>
            <w:tcW w:w="69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6920" w:type="dxa"/>
            <w:vAlign w:val="bottom"/>
          </w:tcPr>
          <w:p>
            <w:pPr>
              <w:spacing w:after="0"/>
              <w:rPr>
                <w:sz w:val="20"/>
                <w:szCs w:val="20"/>
                <w:color w:val="auto"/>
              </w:rPr>
            </w:pPr>
            <w:r>
              <w:rPr>
                <w:rFonts w:ascii="Arial" w:cs="Arial" w:eastAsia="Arial" w:hAnsi="Arial"/>
                <w:sz w:val="15"/>
                <w:szCs w:val="15"/>
                <w:color w:val="auto"/>
              </w:rPr>
              <w:t>Net decrease in cash and cash equivalents</w:t>
            </w:r>
          </w:p>
        </w:tc>
        <w:tc>
          <w:tcPr>
            <w:tcW w:w="8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(69,230 )</w:t>
            </w:r>
          </w:p>
        </w:tc>
        <w:tc>
          <w:tcPr>
            <w:tcW w:w="18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(158,457 )</w:t>
            </w: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Effect of exchange rate changes on cash and cash equivalents</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(244 )</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(213 )</w:t>
            </w:r>
          </w:p>
        </w:tc>
      </w:tr>
      <w:tr>
        <w:trPr>
          <w:trHeight w:val="189"/>
        </w:trPr>
        <w:tc>
          <w:tcPr>
            <w:tcW w:w="6920" w:type="dxa"/>
            <w:vAlign w:val="bottom"/>
          </w:tcPr>
          <w:p>
            <w:pPr>
              <w:ind w:left="360"/>
              <w:spacing w:after="0"/>
              <w:rPr>
                <w:sz w:val="20"/>
                <w:szCs w:val="20"/>
                <w:color w:val="auto"/>
              </w:rPr>
            </w:pPr>
            <w:r>
              <w:rPr>
                <w:rFonts w:ascii="Arial" w:cs="Arial" w:eastAsia="Arial" w:hAnsi="Arial"/>
                <w:sz w:val="15"/>
                <w:szCs w:val="15"/>
                <w:color w:val="auto"/>
              </w:rPr>
              <w:t>Cash and cash equivalents, beginning of period</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146,934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387,498</w:t>
            </w:r>
          </w:p>
        </w:tc>
        <w:tc>
          <w:tcPr>
            <w:tcW w:w="100" w:type="dxa"/>
            <w:vAlign w:val="bottom"/>
          </w:tcPr>
          <w:p>
            <w:pPr>
              <w:spacing w:after="0"/>
              <w:rPr>
                <w:sz w:val="16"/>
                <w:szCs w:val="16"/>
                <w:color w:val="auto"/>
              </w:rPr>
            </w:pPr>
          </w:p>
        </w:tc>
      </w:tr>
      <w:tr>
        <w:trPr>
          <w:trHeight w:val="222"/>
        </w:trPr>
        <w:tc>
          <w:tcPr>
            <w:tcW w:w="69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5"/>
                <w:szCs w:val="15"/>
                <w:color w:val="auto"/>
              </w:rPr>
              <w:t>Cash and cash equivalents, end of period</w:t>
            </w:r>
          </w:p>
        </w:tc>
        <w:tc>
          <w:tcPr>
            <w:tcW w:w="86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77,460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228,828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6920" w:type="dxa"/>
            <w:vAlign w:val="bottom"/>
          </w:tcPr>
          <w:p>
            <w:pPr>
              <w:spacing w:after="0" w:line="169" w:lineRule="exact"/>
              <w:rPr>
                <w:sz w:val="20"/>
                <w:szCs w:val="20"/>
                <w:color w:val="auto"/>
              </w:rPr>
            </w:pPr>
            <w:r>
              <w:rPr>
                <w:rFonts w:ascii="Arial" w:cs="Arial" w:eastAsia="Arial" w:hAnsi="Arial"/>
                <w:sz w:val="15"/>
                <w:szCs w:val="15"/>
                <w:b w:val="1"/>
                <w:bCs w:val="1"/>
                <w:color w:val="auto"/>
              </w:rPr>
              <w:t>Supplemental cash flow disclosures: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Cash paid during the period for:</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540"/>
              <w:spacing w:after="0"/>
              <w:rPr>
                <w:sz w:val="20"/>
                <w:szCs w:val="20"/>
                <w:color w:val="auto"/>
              </w:rPr>
            </w:pPr>
            <w:r>
              <w:rPr>
                <w:rFonts w:ascii="Arial" w:cs="Arial" w:eastAsia="Arial" w:hAnsi="Arial"/>
                <w:sz w:val="15"/>
                <w:szCs w:val="15"/>
                <w:color w:val="auto"/>
              </w:rPr>
              <w:t>Interest</w:t>
            </w:r>
          </w:p>
        </w:tc>
        <w:tc>
          <w:tcPr>
            <w:tcW w:w="860" w:type="dxa"/>
            <w:vAlign w:val="bottom"/>
          </w:tcPr>
          <w:p>
            <w:pPr>
              <w:jc w:val="right"/>
              <w:ind w:right="685"/>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10,772</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7,248</w:t>
            </w: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540"/>
              <w:spacing w:after="0"/>
              <w:rPr>
                <w:sz w:val="20"/>
                <w:szCs w:val="20"/>
                <w:color w:val="auto"/>
              </w:rPr>
            </w:pPr>
            <w:r>
              <w:rPr>
                <w:rFonts w:ascii="Arial" w:cs="Arial" w:eastAsia="Arial" w:hAnsi="Arial"/>
                <w:sz w:val="15"/>
                <w:szCs w:val="15"/>
                <w:color w:val="auto"/>
              </w:rPr>
              <w:t>Income taxes</w:t>
            </w:r>
          </w:p>
        </w:tc>
        <w:tc>
          <w:tcPr>
            <w:tcW w:w="86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20" w:type="dxa"/>
            <w:vAlign w:val="bottom"/>
          </w:tcPr>
          <w:p>
            <w:pPr>
              <w:ind w:left="540"/>
              <w:spacing w:after="0"/>
              <w:rPr>
                <w:sz w:val="20"/>
                <w:szCs w:val="20"/>
                <w:color w:val="auto"/>
              </w:rPr>
            </w:pPr>
            <w:r>
              <w:rPr>
                <w:rFonts w:ascii="Arial" w:cs="Arial" w:eastAsia="Arial" w:hAnsi="Arial"/>
                <w:sz w:val="15"/>
                <w:szCs w:val="15"/>
                <w:color w:val="auto"/>
              </w:rPr>
              <w:t>Acquisitions: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720"/>
              <w:spacing w:after="0"/>
              <w:rPr>
                <w:sz w:val="20"/>
                <w:szCs w:val="20"/>
                <w:color w:val="auto"/>
              </w:rPr>
            </w:pPr>
            <w:r>
              <w:rPr>
                <w:rFonts w:ascii="Arial" w:cs="Arial" w:eastAsia="Arial" w:hAnsi="Arial"/>
                <w:sz w:val="15"/>
                <w:szCs w:val="15"/>
                <w:color w:val="auto"/>
              </w:rPr>
              <w:t>Net assets acquired, net of cash acquired</w:t>
            </w:r>
          </w:p>
        </w:tc>
        <w:tc>
          <w:tcPr>
            <w:tcW w:w="86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52,659</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97,296</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ind w:left="720"/>
              <w:spacing w:after="0"/>
              <w:rPr>
                <w:sz w:val="20"/>
                <w:szCs w:val="20"/>
                <w:color w:val="auto"/>
              </w:rPr>
            </w:pPr>
            <w:r>
              <w:rPr>
                <w:rFonts w:ascii="Arial" w:cs="Arial" w:eastAsia="Arial" w:hAnsi="Arial"/>
                <w:sz w:val="15"/>
                <w:szCs w:val="15"/>
                <w:color w:val="auto"/>
              </w:rPr>
              <w:t>Working capital adjustment receivable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20" w:type="dxa"/>
            <w:vAlign w:val="bottom"/>
            <w:shd w:val="clear" w:color="auto" w:fill="CFF0FC"/>
          </w:tcPr>
          <w:p>
            <w:pPr>
              <w:ind w:left="720"/>
              <w:spacing w:after="0"/>
              <w:rPr>
                <w:sz w:val="20"/>
                <w:szCs w:val="20"/>
                <w:color w:val="auto"/>
              </w:rPr>
            </w:pPr>
            <w:r>
              <w:rPr>
                <w:rFonts w:ascii="Arial" w:cs="Arial" w:eastAsia="Arial" w:hAnsi="Arial"/>
                <w:sz w:val="15"/>
                <w:szCs w:val="15"/>
                <w:color w:val="auto"/>
              </w:rPr>
              <w:t>Initial cash investment in prior year</w:t>
            </w:r>
          </w:p>
        </w:tc>
        <w:tc>
          <w:tcPr>
            <w:tcW w:w="8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(40,000 )</w:t>
            </w:r>
          </w:p>
        </w:tc>
      </w:tr>
      <w:tr>
        <w:trPr>
          <w:trHeight w:val="189"/>
        </w:trPr>
        <w:tc>
          <w:tcPr>
            <w:tcW w:w="6920" w:type="dxa"/>
            <w:vAlign w:val="bottom"/>
          </w:tcPr>
          <w:p>
            <w:pPr>
              <w:ind w:left="720"/>
              <w:spacing w:after="0"/>
              <w:rPr>
                <w:sz w:val="20"/>
                <w:szCs w:val="20"/>
                <w:color w:val="auto"/>
              </w:rPr>
            </w:pPr>
            <w:r>
              <w:rPr>
                <w:rFonts w:ascii="Arial" w:cs="Arial" w:eastAsia="Arial" w:hAnsi="Arial"/>
                <w:sz w:val="15"/>
                <w:szCs w:val="15"/>
                <w:color w:val="auto"/>
              </w:rPr>
              <w:t>Contingent consideration</w:t>
            </w:r>
          </w:p>
        </w:tc>
        <w:tc>
          <w:tcPr>
            <w:tcW w:w="8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(7,800 )</w:t>
            </w:r>
          </w:p>
        </w:tc>
        <w:tc>
          <w:tcPr>
            <w:tcW w:w="1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(1,000 )</w:t>
            </w:r>
          </w:p>
        </w:tc>
      </w:tr>
      <w:tr>
        <w:trPr>
          <w:trHeight w:val="222"/>
        </w:trPr>
        <w:tc>
          <w:tcPr>
            <w:tcW w:w="692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5"/>
                <w:szCs w:val="15"/>
                <w:color w:val="auto"/>
              </w:rPr>
              <w:t>Net cash paid for acquisitions</w:t>
            </w:r>
          </w:p>
        </w:tc>
        <w:tc>
          <w:tcPr>
            <w:tcW w:w="860" w:type="dxa"/>
            <w:vAlign w:val="bottom"/>
            <w:tcBorders>
              <w:top w:val="single" w:sz="8" w:color="auto"/>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45,023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56,296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6920" w:type="dxa"/>
            <w:vAlign w:val="bottom"/>
          </w:tcPr>
          <w:p>
            <w:pPr>
              <w:spacing w:after="0" w:line="169" w:lineRule="exact"/>
              <w:rPr>
                <w:sz w:val="20"/>
                <w:szCs w:val="20"/>
                <w:color w:val="auto"/>
              </w:rPr>
            </w:pPr>
            <w:r>
              <w:rPr>
                <w:rFonts w:ascii="Arial" w:cs="Arial" w:eastAsia="Arial" w:hAnsi="Arial"/>
                <w:sz w:val="15"/>
                <w:szCs w:val="15"/>
                <w:b w:val="1"/>
                <w:bCs w:val="1"/>
                <w:color w:val="auto"/>
              </w:rPr>
              <w:t>Supplemental disclosure of non-cash investing activities: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Capital expenditures included in accounts payable and accrued expenses</w:t>
            </w:r>
          </w:p>
        </w:tc>
        <w:tc>
          <w:tcPr>
            <w:tcW w:w="86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283</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4,504</w:t>
            </w:r>
          </w:p>
        </w:tc>
        <w:tc>
          <w:tcPr>
            <w:tcW w:w="100" w:type="dxa"/>
            <w:vAlign w:val="bottom"/>
            <w:shd w:val="clear" w:color="auto" w:fill="CFF0FC"/>
          </w:tcPr>
          <w:p>
            <w:pPr>
              <w:spacing w:after="0"/>
              <w:rPr>
                <w:sz w:val="16"/>
                <w:szCs w:val="16"/>
                <w:color w:val="auto"/>
              </w:rPr>
            </w:pPr>
          </w:p>
        </w:tc>
      </w:tr>
      <w:tr>
        <w:trPr>
          <w:trHeight w:val="189"/>
        </w:trPr>
        <w:tc>
          <w:tcPr>
            <w:tcW w:w="692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financing activities: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9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Unpaid equity offering costs included in accrued expenses</w:t>
            </w:r>
          </w:p>
        </w:tc>
        <w:tc>
          <w:tcPr>
            <w:tcW w:w="86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-3946525</wp:posOffset>
            </wp:positionV>
            <wp:extent cx="59690"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-3946525</wp:posOffset>
            </wp:positionV>
            <wp:extent cx="59690" cy="128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-3210560</wp:posOffset>
            </wp:positionV>
            <wp:extent cx="59690"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-3210560</wp:posOffset>
            </wp:positionV>
            <wp:extent cx="5969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-2233930</wp:posOffset>
            </wp:positionV>
            <wp:extent cx="59690"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-2233930</wp:posOffset>
            </wp:positionV>
            <wp:extent cx="5969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-1737360</wp:posOffset>
            </wp:positionV>
            <wp:extent cx="110426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04265" cy="1454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-504825</wp:posOffset>
            </wp:positionV>
            <wp:extent cx="110426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04265" cy="145415"/>
                    </a:xfrm>
                    <a:prstGeom prst="rect">
                      <a:avLst/>
                    </a:prstGeom>
                    <a:noFill/>
                  </pic:spPr>
                </pic:pic>
              </a:graphicData>
            </a:graphic>
          </wp:anchor>
        </w:drawing>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11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Definitive Healthcare Corp. (the “Company”) was formed on May 5, 2021 as a Delaware corporation to facilitate an initial public offering (“IPO”) and other related transactions to carry on the business of AIDH TopCo, LLC (“Definitive OpCo”). Following consummation of the Reorganization Transactions as described in the Company’s 2022 Form 10-K/A,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spacing w:after="0" w:line="83"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6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condensed consolidated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Reorganization Transactions and the IPO, Definitive Healthcare Corp entered into a tax receivable agreement. See Note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condensed consolidated financial statements as of September 30, 2023 and for the three and nine months ended September 30, 2023 and 2022 are unaudited and should be read in conjunction with the Company’s audited financial statements for the year ended December 31, 2022. All adjustments, consisting of normal recurring adjustments, except as otherwise noted, considered, in the opinion of management, necessary for a fair presentation of the unaudited interim condensed consolidated financial statements for these interim periods have been included.</w:t>
      </w:r>
    </w:p>
    <w:p>
      <w:pPr>
        <w:spacing w:after="0" w:line="88"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consolidated financial statements in the 2022 Form 10-K/A for the Company’s significant accounting policies and estimates.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 – Credit Losses (Topic 326) –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standard is intended to improve financial reporting by requiring earlier recognition of credit losses on financing receivables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in scope, such as trade receivables. The amendment is effective for fiscal years beginning after December 15, 2022. The Company adopted the update effective January 1, 2023 and the adoption of the standard did not have a material impact on the Company's condensed consolidated financial statements for the quarter ended September 30, 2023.</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accounting standard setting bodies that the Company adopts as of the specified effective date. Unless otherwise discussed, we do not believe that the adoption of recently issued standards have had or may have a material impact on our condensed consolidated statements or disclosures.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Restatement of Previously Issued Financial Statements</w:t>
      </w:r>
    </w:p>
    <w:p>
      <w:pPr>
        <w:spacing w:after="0" w:line="117" w:lineRule="exact"/>
        <w:rPr>
          <w:sz w:val="20"/>
          <w:szCs w:val="20"/>
          <w:color w:val="auto"/>
        </w:rPr>
      </w:pPr>
    </w:p>
    <w:p>
      <w:pPr>
        <w:jc w:val="both"/>
        <w:ind w:right="420" w:firstLine="509"/>
        <w:spacing w:after="0" w:line="259" w:lineRule="auto"/>
        <w:rPr>
          <w:sz w:val="20"/>
          <w:szCs w:val="20"/>
          <w:color w:val="auto"/>
        </w:rPr>
      </w:pPr>
      <w:r>
        <w:rPr>
          <w:rFonts w:ascii="Arial" w:cs="Arial" w:eastAsia="Arial" w:hAnsi="Arial"/>
          <w:sz w:val="18"/>
          <w:szCs w:val="18"/>
          <w:color w:val="auto"/>
        </w:rPr>
        <w:t>The financial statements for the three and nine months ended September 30, 2022, have been restated to reflect the correction of misstatements related to the collection of sales taxes from sales of services to customers further described below (the “Misstatements”), along with other immaterial adjustments. The Company also restated all amounts within the notes to the financial statements. A description of adjustments and their impact on the previously issued financial statements are included below.</w:t>
      </w:r>
    </w:p>
    <w:p>
      <w:pPr>
        <w:spacing w:after="0" w:line="7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The Company determined that it did not accrue sales taxes and corrected these Misstatements by recording sales tax accruals through general and administrative expense as of the end of each affected period.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voluntarily disclosures. The Company expects to make adjustments to the sales tax liability in future periods based on the results of the voluntary disclosure agreements, including, but not limited to, classification of exempt sales based on customer exemption certificates, waivers of interest and penalties, or other benefits. The Misstatements that appeared in the previously issued financial statements were material, and the Company has also corrected other immaterial errors, which are further described below.</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 w:name="page13"/>
    <w:bookmarkEnd w:id="12"/>
    <w:p>
      <w:pPr>
        <w:ind w:right="80" w:firstLine="509"/>
        <w:spacing w:after="0" w:line="273" w:lineRule="auto"/>
        <w:rPr>
          <w:sz w:val="20"/>
          <w:szCs w:val="20"/>
          <w:color w:val="auto"/>
        </w:rPr>
      </w:pPr>
      <w:r>
        <w:rPr>
          <w:rFonts w:ascii="Arial" w:cs="Arial" w:eastAsia="Arial" w:hAnsi="Arial"/>
          <w:sz w:val="17"/>
          <w:szCs w:val="17"/>
          <w:color w:val="auto"/>
        </w:rPr>
        <w:t>As described in additional detail in the Explanatory Note in our 2022 Form 10-K/A, the Company restated its audited consolidated financial statements as of and for the years ended December 31, 2022, 2021 and 2020, as well as the unaudited condensed consolidated quarterly financial information for the quarterly periods in the fiscal years ended December 31, 2022, 2021, and 2020, to reflect the correction of the Misstatements and other immaterial adjustments, and to make corresponding disclosures. The Company also filed an Amendment No. 1 on Form 10-Q/A to amend the Quarterly Report on Form 10-Q for the three months ended March 31, 2023 with the SEC on August 14, 2023, to restate its unaudited condensed consolidated financial statements for the three months ended March 31, 2023 and 2022.</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impacts of the Misstatements and other immaterial adjustments is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8"/>
          </w:tcPr>
          <w:p>
            <w:pPr>
              <w:ind w:left="20"/>
              <w:spacing w:after="0"/>
              <w:rPr>
                <w:sz w:val="20"/>
                <w:szCs w:val="20"/>
                <w:color w:val="auto"/>
              </w:rPr>
            </w:pPr>
            <w:r>
              <w:rPr>
                <w:rFonts w:ascii="Arial" w:cs="Arial" w:eastAsia="Arial" w:hAnsi="Arial"/>
                <w:sz w:val="14"/>
                <w:szCs w:val="14"/>
                <w:b w:val="1"/>
                <w:bCs w:val="1"/>
                <w:color w:val="auto"/>
                <w:w w:val="98"/>
              </w:rPr>
              <w:t>Three Months Ended 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5"/>
        </w:trPr>
        <w:tc>
          <w:tcPr>
            <w:tcW w:w="4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3"/>
          </w:tcPr>
          <w:p>
            <w:pPr>
              <w:jc w:val="right"/>
              <w:ind w:right="190"/>
              <w:spacing w:after="0" w:line="133" w:lineRule="exact"/>
              <w:rPr>
                <w:sz w:val="20"/>
                <w:szCs w:val="20"/>
                <w:color w:val="auto"/>
              </w:rPr>
            </w:pPr>
            <w:r>
              <w:rPr>
                <w:rFonts w:ascii="Arial" w:cs="Arial" w:eastAsia="Arial" w:hAnsi="Arial"/>
                <w:sz w:val="14"/>
                <w:szCs w:val="14"/>
                <w:b w:val="1"/>
                <w:bCs w:val="1"/>
                <w:color w:val="auto"/>
                <w:w w:val="97"/>
              </w:rPr>
              <w:t>As previously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jc w:val="center"/>
              <w:ind w:right="290"/>
              <w:spacing w:after="0" w:line="133" w:lineRule="exact"/>
              <w:rPr>
                <w:sz w:val="20"/>
                <w:szCs w:val="20"/>
                <w:color w:val="auto"/>
              </w:rPr>
            </w:pPr>
            <w:r>
              <w:rPr>
                <w:rFonts w:ascii="Arial" w:cs="Arial" w:eastAsia="Arial" w:hAnsi="Arial"/>
                <w:sz w:val="14"/>
                <w:szCs w:val="14"/>
                <w:b w:val="1"/>
                <w:bCs w:val="1"/>
                <w:color w:val="auto"/>
                <w:w w:val="89"/>
              </w:rPr>
              <w:t>As previously</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95"/>
              </w:rPr>
              <w:t>reported</w:t>
            </w:r>
          </w:p>
        </w:tc>
        <w:tc>
          <w:tcPr>
            <w:tcW w:w="9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88"/>
              </w:rPr>
              <w:t>As Restated</w:t>
            </w:r>
          </w:p>
        </w:tc>
      </w:tr>
      <w:tr>
        <w:trPr>
          <w:trHeight w:val="23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48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(3,665 )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(3,865 )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(12,527 )</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(12,979 )</w:t>
            </w:r>
          </w:p>
        </w:tc>
      </w:tr>
      <w:tr>
        <w:trPr>
          <w:trHeight w:val="24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Definitive Healthcare Corp.</w:t>
            </w: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(2,689 )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(3,020 )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(16,463 )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(17,087 )</w:t>
            </w:r>
          </w:p>
        </w:tc>
      </w:tr>
      <w:tr>
        <w:trPr>
          <w:trHeight w:val="472"/>
        </w:trPr>
        <w:tc>
          <w:tcPr>
            <w:tcW w:w="48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jc w:val="right"/>
              <w:ind w:right="1010"/>
              <w:spacing w:after="0"/>
              <w:rPr>
                <w:sz w:val="20"/>
                <w:szCs w:val="20"/>
                <w:color w:val="auto"/>
              </w:rPr>
            </w:pPr>
            <w:r>
              <w:rPr>
                <w:rFonts w:ascii="Arial" w:cs="Arial" w:eastAsia="Arial" w:hAnsi="Arial"/>
                <w:sz w:val="14"/>
                <w:szCs w:val="14"/>
                <w:b w:val="1"/>
                <w:bCs w:val="1"/>
                <w:color w:val="auto"/>
              </w:rPr>
              <w:t>September 30, 2022</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790"/>
              <w:spacing w:after="0"/>
              <w:rPr>
                <w:sz w:val="20"/>
                <w:szCs w:val="20"/>
                <w:color w:val="auto"/>
              </w:rPr>
            </w:pPr>
            <w:r>
              <w:rPr>
                <w:rFonts w:ascii="Arial" w:cs="Arial" w:eastAsia="Arial" w:hAnsi="Arial"/>
                <w:sz w:val="14"/>
                <w:szCs w:val="14"/>
                <w:b w:val="1"/>
                <w:bCs w:val="1"/>
                <w:color w:val="auto"/>
                <w:w w:val="90"/>
              </w:rPr>
              <w:t>As previously reported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Pr>
          <w:p>
            <w:pPr>
              <w:spacing w:after="0"/>
              <w:rPr>
                <w:sz w:val="14"/>
                <w:szCs w:val="14"/>
                <w:color w:val="auto"/>
              </w:rPr>
            </w:pPr>
          </w:p>
        </w:tc>
      </w:tr>
      <w:tr>
        <w:trPr>
          <w:trHeight w:val="23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7"/>
              </w:rPr>
              <w:t>2,119,773</w:t>
            </w: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2,121,404</w:t>
            </w:r>
          </w:p>
        </w:tc>
        <w:tc>
          <w:tcPr>
            <w:tcW w:w="100" w:type="dxa"/>
            <w:vAlign w:val="bottom"/>
            <w:shd w:val="clear" w:color="auto" w:fill="CFF0FC"/>
          </w:tcPr>
          <w:p>
            <w:pPr>
              <w:spacing w:after="0"/>
              <w:rPr>
                <w:sz w:val="20"/>
                <w:szCs w:val="20"/>
                <w:color w:val="auto"/>
              </w:rPr>
            </w:pPr>
          </w:p>
        </w:tc>
      </w:tr>
      <w:tr>
        <w:trPr>
          <w:trHeight w:val="236"/>
        </w:trPr>
        <w:tc>
          <w:tcPr>
            <w:tcW w:w="4840" w:type="dxa"/>
            <w:vAlign w:val="bottom"/>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642,251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648,311</w:t>
            </w:r>
          </w:p>
        </w:tc>
        <w:tc>
          <w:tcPr>
            <w:tcW w:w="100" w:type="dxa"/>
            <w:vAlign w:val="bottom"/>
          </w:tcPr>
          <w:p>
            <w:pPr>
              <w:spacing w:after="0"/>
              <w:rPr>
                <w:sz w:val="20"/>
                <w:szCs w:val="20"/>
                <w:color w:val="auto"/>
              </w:rPr>
            </w:pPr>
          </w:p>
        </w:tc>
      </w:tr>
      <w:tr>
        <w:trPr>
          <w:trHeight w:val="24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7"/>
              </w:rPr>
              <w:t>1,477,522</w:t>
            </w: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1,473,093</w:t>
            </w:r>
          </w:p>
        </w:tc>
        <w:tc>
          <w:tcPr>
            <w:tcW w:w="10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categories of restatement adjustments and their impacts on previously reported financial statements are described below:</w:t>
      </w:r>
    </w:p>
    <w:p>
      <w:pPr>
        <w:spacing w:after="0" w:line="117" w:lineRule="exact"/>
        <w:rPr>
          <w:sz w:val="20"/>
          <w:szCs w:val="20"/>
          <w:color w:val="auto"/>
        </w:rPr>
      </w:pPr>
    </w:p>
    <w:p>
      <w:pPr>
        <w:ind w:left="1020" w:right="360" w:hanging="504"/>
        <w:spacing w:after="0" w:line="259" w:lineRule="auto"/>
        <w:tabs>
          <w:tab w:leader="none" w:pos="10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Tax and Related Misstatements </w:t>
      </w:r>
      <w:r>
        <w:rPr>
          <w:rFonts w:ascii="Arial" w:cs="Arial" w:eastAsia="Arial" w:hAnsi="Arial"/>
          <w:sz w:val="18"/>
          <w:szCs w:val="18"/>
          <w:color w:val="auto"/>
        </w:rPr>
        <w:t>– Sales tax on sales of services to customers who were subject to sales tax, inclusive of maximum</w:t>
      </w:r>
      <w:r>
        <w:rPr>
          <w:rFonts w:ascii="Arial" w:cs="Arial" w:eastAsia="Arial" w:hAnsi="Arial"/>
          <w:sz w:val="18"/>
          <w:szCs w:val="18"/>
          <w:i w:val="1"/>
          <w:iCs w:val="1"/>
          <w:color w:val="auto"/>
        </w:rPr>
        <w:t xml:space="preserve"> </w:t>
      </w:r>
      <w:r>
        <w:rPr>
          <w:rFonts w:ascii="Arial" w:cs="Arial" w:eastAsia="Arial" w:hAnsi="Arial"/>
          <w:sz w:val="18"/>
          <w:szCs w:val="18"/>
          <w:color w:val="auto"/>
        </w:rPr>
        <w:t>penalties and interest, that was not previously accrued by the Company is corrected by an increase to accrued expenses and other current liabilities on the condensed consolidated balance sheets and an increase to general and administrative expenses on the condensed consolidated statements of operations.</w:t>
      </w:r>
    </w:p>
    <w:p>
      <w:pPr>
        <w:spacing w:after="0" w:line="77" w:lineRule="exact"/>
        <w:rPr>
          <w:rFonts w:ascii="Arial" w:cs="Arial" w:eastAsia="Arial" w:hAnsi="Arial"/>
          <w:sz w:val="18"/>
          <w:szCs w:val="18"/>
          <w:i w:val="1"/>
          <w:iCs w:val="1"/>
          <w:color w:val="auto"/>
        </w:rPr>
      </w:pPr>
    </w:p>
    <w:p>
      <w:pPr>
        <w:ind w:left="1020" w:right="360" w:hanging="504"/>
        <w:spacing w:after="0" w:line="267" w:lineRule="auto"/>
        <w:tabs>
          <w:tab w:leader="none" w:pos="10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Related Impact on Tax Receivable Agreement (</w:t>
      </w:r>
      <w:r>
        <w:rPr>
          <w:rFonts w:ascii="Arial" w:cs="Arial" w:eastAsia="Arial" w:hAnsi="Arial"/>
          <w:sz w:val="17"/>
          <w:szCs w:val="17"/>
          <w:color w:val="auto"/>
        </w:rPr>
        <w:t>“</w:t>
      </w:r>
      <w:r>
        <w:rPr>
          <w:rFonts w:ascii="Arial" w:cs="Arial" w:eastAsia="Arial" w:hAnsi="Arial"/>
          <w:sz w:val="17"/>
          <w:szCs w:val="17"/>
          <w:i w:val="1"/>
          <w:iCs w:val="1"/>
          <w:color w:val="auto"/>
        </w:rPr>
        <w:t>TRA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Any impact on tax receivable gains and losses due to the corrections in (a) above is</w:t>
      </w:r>
      <w:r>
        <w:rPr>
          <w:rFonts w:ascii="Arial" w:cs="Arial" w:eastAsia="Arial" w:hAnsi="Arial"/>
          <w:sz w:val="17"/>
          <w:szCs w:val="17"/>
          <w:i w:val="1"/>
          <w:iCs w:val="1"/>
          <w:color w:val="auto"/>
        </w:rPr>
        <w:t xml:space="preserve"> </w:t>
      </w:r>
      <w:r>
        <w:rPr>
          <w:rFonts w:ascii="Arial" w:cs="Arial" w:eastAsia="Arial" w:hAnsi="Arial"/>
          <w:sz w:val="17"/>
          <w:szCs w:val="17"/>
          <w:color w:val="auto"/>
        </w:rPr>
        <w:t>reflected as a change in the tax receivable agreement liability on the balance sheet and a change in other expense on the condensed consolidated statements of operations.</w:t>
      </w:r>
    </w:p>
    <w:p>
      <w:pPr>
        <w:spacing w:after="0" w:line="72" w:lineRule="exact"/>
        <w:rPr>
          <w:rFonts w:ascii="Arial" w:cs="Arial" w:eastAsia="Arial" w:hAnsi="Arial"/>
          <w:sz w:val="17"/>
          <w:szCs w:val="17"/>
          <w:i w:val="1"/>
          <w:iCs w:val="1"/>
          <w:color w:val="auto"/>
        </w:rPr>
      </w:pPr>
    </w:p>
    <w:p>
      <w:pPr>
        <w:ind w:left="1020" w:hanging="504"/>
        <w:spacing w:after="0" w:line="254" w:lineRule="auto"/>
        <w:tabs>
          <w:tab w:leader="none" w:pos="10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Purchase Price Allocation Misstatement – </w:t>
      </w:r>
      <w:r>
        <w:rPr>
          <w:rFonts w:ascii="Arial" w:cs="Arial" w:eastAsia="Arial" w:hAnsi="Arial"/>
          <w:sz w:val="17"/>
          <w:szCs w:val="17"/>
          <w:color w:val="auto"/>
        </w:rPr>
        <w:t>In connection with the Company’s acquisition of Monocl Holding Company, the Company had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failed to record a deferred tax liability related to identified intangible assets of Monocl Holding Company. Therefore, the Company corrected the opening purchase price of Monocl Holding Company to record an opening deferred tax liability with an offset to goodwill on the condensed consolidated balance sheets. The opening deferred tax liability subsequently resulted in an increase in benefit from income taxes on the consolidated statements of operations through the period ending March 31, 2022.</w:t>
      </w:r>
    </w:p>
    <w:p>
      <w:pPr>
        <w:spacing w:after="0" w:line="88" w:lineRule="exact"/>
        <w:rPr>
          <w:rFonts w:ascii="Arial" w:cs="Arial" w:eastAsia="Arial" w:hAnsi="Arial"/>
          <w:sz w:val="17"/>
          <w:szCs w:val="17"/>
          <w:i w:val="1"/>
          <w:iCs w:val="1"/>
          <w:color w:val="auto"/>
        </w:rPr>
      </w:pPr>
    </w:p>
    <w:p>
      <w:pPr>
        <w:ind w:left="1020" w:right="140" w:hanging="504"/>
        <w:spacing w:after="0" w:line="267" w:lineRule="auto"/>
        <w:tabs>
          <w:tab w:leader="none" w:pos="10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Related Impact on Noncontrolling Interests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Any impact on noncontrolling interests resulting from the allocation of net loss due to the corrections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(a) and (c) above is reflected as (i) a change in the net loss attributable to noncontrolling interests on the condensed consolidated statements of operations, and (ii) a change in noncontrolling interests on the condensed consolidated balance sheets.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3" w:name="page14"/>
    <w:bookmarkEnd w:id="13"/>
    <w:p>
      <w:pPr>
        <w:ind w:right="500" w:firstLine="509"/>
        <w:spacing w:after="0" w:line="277" w:lineRule="auto"/>
        <w:rPr>
          <w:sz w:val="20"/>
          <w:szCs w:val="20"/>
          <w:color w:val="auto"/>
        </w:rPr>
      </w:pPr>
      <w:r>
        <w:rPr>
          <w:rFonts w:ascii="Arial" w:cs="Arial" w:eastAsia="Arial" w:hAnsi="Arial"/>
          <w:sz w:val="18"/>
          <w:szCs w:val="18"/>
          <w:color w:val="auto"/>
        </w:rPr>
        <w:t>The following table sets forth the corrections in each of the line items affected in the consolidated statements of operations for each respective period:</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5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6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September 30, 2022</w:t>
            </w:r>
          </w:p>
        </w:tc>
        <w:tc>
          <w:tcPr>
            <w:tcW w:w="8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r>
      <w:tr>
        <w:trPr>
          <w:trHeight w:val="236"/>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 in general and administrative expense (a)</w:t>
            </w:r>
          </w:p>
        </w:tc>
        <w:tc>
          <w:tcPr>
            <w:tcW w:w="6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FF0FC"/>
          </w:tcPr>
          <w:p>
            <w:pPr>
              <w:spacing w:after="0"/>
              <w:rPr>
                <w:sz w:val="20"/>
                <w:szCs w:val="20"/>
                <w:color w:val="auto"/>
              </w:rPr>
            </w:pPr>
          </w:p>
        </w:tc>
      </w:tr>
      <w:tr>
        <w:trPr>
          <w:trHeight w:val="236"/>
        </w:trPr>
        <w:tc>
          <w:tcPr>
            <w:tcW w:w="6960" w:type="dxa"/>
            <w:vAlign w:val="bottom"/>
            <w:gridSpan w:val="2"/>
          </w:tcPr>
          <w:p>
            <w:pPr>
              <w:spacing w:after="0"/>
              <w:rPr>
                <w:sz w:val="20"/>
                <w:szCs w:val="20"/>
                <w:color w:val="auto"/>
              </w:rPr>
            </w:pPr>
            <w:r>
              <w:rPr>
                <w:rFonts w:ascii="Arial" w:cs="Arial" w:eastAsia="Arial" w:hAnsi="Arial"/>
                <w:sz w:val="18"/>
                <w:szCs w:val="18"/>
                <w:color w:val="auto"/>
              </w:rPr>
              <w:t>Increase in gain on remeasurement of TRA liability (other income) (b)</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r>
      <w:tr>
        <w:trPr>
          <w:trHeight w:val="249"/>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 in benefit from income taxes (c)</w:t>
            </w:r>
          </w:p>
        </w:tc>
        <w:tc>
          <w:tcPr>
            <w:tcW w:w="6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gridSpan w:val="2"/>
          </w:tcPr>
          <w:p>
            <w:pPr>
              <w:spacing w:after="0"/>
              <w:rPr>
                <w:sz w:val="20"/>
                <w:szCs w:val="20"/>
                <w:color w:val="auto"/>
              </w:rPr>
            </w:pPr>
            <w:r>
              <w:rPr>
                <w:rFonts w:ascii="Arial" w:cs="Arial" w:eastAsia="Arial" w:hAnsi="Arial"/>
                <w:sz w:val="18"/>
                <w:szCs w:val="18"/>
                <w:color w:val="auto"/>
              </w:rPr>
              <w:t>Increase in net loss due to restatement items</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r>
      <w:tr>
        <w:trPr>
          <w:trHeight w:val="249"/>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 in net loss attributable to noncontrolling interests due to restatement items (d)</w:t>
            </w:r>
          </w:p>
        </w:tc>
        <w:tc>
          <w:tcPr>
            <w:tcW w:w="6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FF0FC"/>
          </w:tcPr>
          <w:p>
            <w:pPr>
              <w:spacing w:after="0"/>
              <w:rPr>
                <w:sz w:val="21"/>
                <w:szCs w:val="2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Increase in net loss attributable to Definitive Healthcare Corp. due to restatement items</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r>
      <w:tr>
        <w:trPr>
          <w:trHeight w:val="196"/>
        </w:trPr>
        <w:tc>
          <w:tcPr>
            <w:tcW w:w="6960" w:type="dxa"/>
            <w:vAlign w:val="bottom"/>
            <w:gridSpan w:val="2"/>
          </w:tcPr>
          <w:p>
            <w:pPr>
              <w:spacing w:after="0"/>
              <w:rPr>
                <w:sz w:val="20"/>
                <w:szCs w:val="20"/>
                <w:color w:val="auto"/>
              </w:rPr>
            </w:pPr>
            <w:r>
              <w:rPr>
                <w:rFonts w:ascii="Arial" w:cs="Arial" w:eastAsia="Arial" w:hAnsi="Arial"/>
                <w:sz w:val="14"/>
                <w:szCs w:val="14"/>
                <w:color w:val="auto"/>
              </w:rPr>
              <w:t>See footnote descriptions above</w:t>
            </w: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(a)</w:t>
            </w:r>
          </w:p>
        </w:tc>
        <w:tc>
          <w:tcPr>
            <w:tcW w:w="6460" w:type="dxa"/>
            <w:vAlign w:val="bottom"/>
          </w:tcPr>
          <w:p>
            <w:pPr>
              <w:ind w:left="20"/>
              <w:spacing w:after="0" w:line="149" w:lineRule="exact"/>
              <w:rPr>
                <w:sz w:val="20"/>
                <w:szCs w:val="20"/>
                <w:color w:val="auto"/>
              </w:rPr>
            </w:pPr>
            <w:r>
              <w:rPr>
                <w:rFonts w:ascii="Arial" w:cs="Arial" w:eastAsia="Arial" w:hAnsi="Arial"/>
                <w:sz w:val="14"/>
                <w:szCs w:val="14"/>
                <w:color w:val="auto"/>
              </w:rPr>
              <w:t>Sales Tax</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(b) Related Impact on TRA</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(c)</w:t>
            </w:r>
          </w:p>
        </w:tc>
        <w:tc>
          <w:tcPr>
            <w:tcW w:w="6460" w:type="dxa"/>
            <w:vAlign w:val="bottom"/>
          </w:tcPr>
          <w:p>
            <w:pPr>
              <w:ind w:left="20"/>
              <w:spacing w:after="0" w:line="149" w:lineRule="exact"/>
              <w:rPr>
                <w:sz w:val="20"/>
                <w:szCs w:val="20"/>
                <w:color w:val="auto"/>
              </w:rPr>
            </w:pPr>
            <w:r>
              <w:rPr>
                <w:rFonts w:ascii="Arial" w:cs="Arial" w:eastAsia="Arial" w:hAnsi="Arial"/>
                <w:sz w:val="14"/>
                <w:szCs w:val="14"/>
                <w:color w:val="auto"/>
              </w:rPr>
              <w:t>Purchase Price Allocation Misstatement</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500" w:type="dxa"/>
            <w:vAlign w:val="bottom"/>
          </w:tcPr>
          <w:p>
            <w:pPr>
              <w:ind w:left="300"/>
              <w:spacing w:after="0"/>
              <w:rPr>
                <w:sz w:val="20"/>
                <w:szCs w:val="20"/>
                <w:color w:val="auto"/>
              </w:rPr>
            </w:pPr>
            <w:r>
              <w:rPr>
                <w:rFonts w:ascii="Arial" w:cs="Arial" w:eastAsia="Arial" w:hAnsi="Arial"/>
                <w:sz w:val="14"/>
                <w:szCs w:val="14"/>
                <w:color w:val="auto"/>
              </w:rPr>
              <w:t>(d)</w:t>
            </w:r>
          </w:p>
        </w:tc>
        <w:tc>
          <w:tcPr>
            <w:tcW w:w="6460" w:type="dxa"/>
            <w:vAlign w:val="bottom"/>
          </w:tcPr>
          <w:p>
            <w:pPr>
              <w:ind w:left="40"/>
              <w:spacing w:after="0"/>
              <w:rPr>
                <w:sz w:val="20"/>
                <w:szCs w:val="20"/>
                <w:color w:val="auto"/>
              </w:rPr>
            </w:pPr>
            <w:r>
              <w:rPr>
                <w:rFonts w:ascii="Arial" w:cs="Arial" w:eastAsia="Arial" w:hAnsi="Arial"/>
                <w:sz w:val="14"/>
                <w:szCs w:val="14"/>
                <w:color w:val="auto"/>
              </w:rPr>
              <w:t>Related Impact on Noncontrolling Interests</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380" w:type="dxa"/>
            <w:vAlign w:val="bottom"/>
            <w:gridSpan w:val="5"/>
          </w:tcPr>
          <w:p>
            <w:pPr>
              <w:jc w:val="right"/>
              <w:ind w:right="61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Pr>
          <w:p>
            <w:pPr>
              <w:spacing w:after="0"/>
              <w:rPr>
                <w:sz w:val="16"/>
                <w:szCs w:val="16"/>
                <w:color w:val="auto"/>
              </w:rPr>
            </w:pPr>
          </w:p>
        </w:tc>
        <w:tc>
          <w:tcPr>
            <w:tcW w:w="2380" w:type="dxa"/>
            <w:vAlign w:val="bottom"/>
            <w:gridSpan w:val="5"/>
          </w:tcPr>
          <w:p>
            <w:pPr>
              <w:jc w:val="right"/>
              <w:ind w:right="610"/>
              <w:spacing w:after="0"/>
              <w:rPr>
                <w:sz w:val="20"/>
                <w:szCs w:val="20"/>
                <w:color w:val="auto"/>
              </w:rPr>
            </w:pPr>
            <w:r>
              <w:rPr>
                <w:rFonts w:ascii="Arial" w:cs="Arial" w:eastAsia="Arial" w:hAnsi="Arial"/>
                <w:sz w:val="14"/>
                <w:szCs w:val="14"/>
                <w:b w:val="1"/>
                <w:bCs w:val="1"/>
                <w:color w:val="auto"/>
              </w:rPr>
              <w:t>September 30, 2022</w:t>
            </w:r>
          </w:p>
        </w:tc>
        <w:tc>
          <w:tcPr>
            <w:tcW w:w="560" w:type="dxa"/>
            <w:vAlign w:val="bottom"/>
          </w:tcPr>
          <w:p>
            <w:pPr>
              <w:spacing w:after="0"/>
              <w:rPr>
                <w:sz w:val="16"/>
                <w:szCs w:val="16"/>
                <w:color w:val="auto"/>
              </w:rPr>
            </w:pPr>
          </w:p>
        </w:tc>
      </w:tr>
      <w:tr>
        <w:trPr>
          <w:trHeight w:val="133"/>
        </w:trPr>
        <w:tc>
          <w:tcPr>
            <w:tcW w:w="5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350"/>
              <w:spacing w:after="0" w:line="133" w:lineRule="exact"/>
              <w:rPr>
                <w:sz w:val="20"/>
                <w:szCs w:val="20"/>
                <w:color w:val="auto"/>
              </w:rPr>
            </w:pPr>
            <w:r>
              <w:rPr>
                <w:rFonts w:ascii="Arial" w:cs="Arial" w:eastAsia="Arial" w:hAnsi="Arial"/>
                <w:sz w:val="14"/>
                <w:szCs w:val="14"/>
                <w:b w:val="1"/>
                <w:bCs w:val="1"/>
                <w:color w:val="auto"/>
                <w:w w:val="93"/>
              </w:rPr>
              <w:t>As previously</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250"/>
              <w:spacing w:after="0" w:line="133" w:lineRule="exact"/>
              <w:rPr>
                <w:sz w:val="20"/>
                <w:szCs w:val="20"/>
                <w:color w:val="auto"/>
              </w:rPr>
            </w:pPr>
            <w:r>
              <w:rPr>
                <w:rFonts w:ascii="Arial" w:cs="Arial" w:eastAsia="Arial" w:hAnsi="Arial"/>
                <w:sz w:val="14"/>
                <w:szCs w:val="14"/>
                <w:b w:val="1"/>
                <w:bCs w:val="1"/>
                <w:color w:val="auto"/>
                <w:w w:val="89"/>
              </w:rPr>
              <w:t>As previously</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share amounts and per share data)</w:t>
            </w:r>
          </w:p>
        </w:tc>
        <w:tc>
          <w:tcPr>
            <w:tcW w:w="140" w:type="dxa"/>
            <w:vAlign w:val="bottom"/>
          </w:tcPr>
          <w:p>
            <w:pPr>
              <w:spacing w:after="0"/>
              <w:rPr>
                <w:sz w:val="16"/>
                <w:szCs w:val="16"/>
                <w:color w:val="auto"/>
              </w:rPr>
            </w:pPr>
          </w:p>
        </w:tc>
        <w:tc>
          <w:tcPr>
            <w:tcW w:w="13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6"/>
                <w:szCs w:val="16"/>
                <w:color w:val="auto"/>
              </w:rPr>
            </w:pPr>
          </w:p>
        </w:tc>
        <w:tc>
          <w:tcPr>
            <w:tcW w:w="12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6"/>
                <w:szCs w:val="16"/>
                <w:color w:val="auto"/>
              </w:rPr>
            </w:pPr>
          </w:p>
        </w:tc>
        <w:tc>
          <w:tcPr>
            <w:tcW w:w="11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6"/>
                <w:szCs w:val="16"/>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3"/>
              </w:rPr>
              <w:t>As Restated</w:t>
            </w: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revenue exclusive of amortization</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18,717</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80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47,658</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24,761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Transaction, integration, and restructuring expenses</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4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w:t>
            </w:r>
          </w:p>
        </w:tc>
        <w:tc>
          <w:tcPr>
            <w:tcW w:w="22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(31,630</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(3,074 )</w:t>
            </w:r>
          </w:p>
        </w:tc>
        <w:tc>
          <w:tcPr>
            <w:tcW w:w="16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(3,074 )</w:t>
            </w:r>
          </w:p>
        </w:tc>
        <w:tc>
          <w:tcPr>
            <w:tcW w:w="10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(7,788 )</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(7,788 )</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5,628</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4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w:t>
            </w:r>
          </w:p>
        </w:tc>
        <w:tc>
          <w:tcPr>
            <w:tcW w:w="22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(29,131</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80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Borders>
              <w:bottom w:val="single" w:sz="8" w:color="CFF0FC"/>
            </w:tcBorders>
            <w:shd w:val="clear" w:color="auto" w:fill="CFF0FC"/>
          </w:tcPr>
          <w:p>
            <w:pPr>
              <w:jc w:val="center"/>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14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(3,665 )</w:t>
            </w:r>
          </w:p>
        </w:tc>
        <w:tc>
          <w:tcPr>
            <w:tcW w:w="16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(3,865 )</w:t>
            </w:r>
          </w:p>
        </w:tc>
        <w:tc>
          <w:tcPr>
            <w:tcW w:w="10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(12,527 )</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(12,979 )</w:t>
            </w:r>
          </w:p>
        </w:tc>
        <w:tc>
          <w:tcPr>
            <w:tcW w:w="560" w:type="dxa"/>
            <w:vAlign w:val="bottom"/>
          </w:tcPr>
          <w:p>
            <w:pPr>
              <w:spacing w:after="0"/>
              <w:rPr>
                <w:sz w:val="20"/>
                <w:szCs w:val="20"/>
                <w:color w:val="auto"/>
              </w:rPr>
            </w:pPr>
          </w:p>
        </w:tc>
      </w:tr>
      <w:tr>
        <w:trPr>
          <w:trHeight w:val="282"/>
        </w:trPr>
        <w:tc>
          <w:tcPr>
            <w:tcW w:w="580" w:type="dxa"/>
            <w:vAlign w:val="bottom"/>
          </w:tcPr>
          <w:p>
            <w:pPr>
              <w:spacing w:after="0"/>
              <w:rPr>
                <w:sz w:val="24"/>
                <w:szCs w:val="24"/>
                <w:color w:val="auto"/>
              </w:rPr>
            </w:pPr>
          </w:p>
        </w:tc>
        <w:tc>
          <w:tcPr>
            <w:tcW w:w="48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loss attributable to Definitive Healthcare Corp.</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w:t>
            </w:r>
          </w:p>
        </w:tc>
        <w:tc>
          <w:tcPr>
            <w:tcW w:w="220" w:type="dxa"/>
            <w:vAlign w:val="bottom"/>
            <w:tcBorders>
              <w:bottom w:val="single" w:sz="8" w:color="CFF0FC"/>
            </w:tcBorders>
            <w:shd w:val="clear" w:color="auto" w:fill="CFF0FC"/>
          </w:tcPr>
          <w:p>
            <w:pPr>
              <w:jc w:val="center"/>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(16,463</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Net loss per share of Class A Common Stock:</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9"/>
        </w:trPr>
        <w:tc>
          <w:tcPr>
            <w:tcW w:w="580" w:type="dxa"/>
            <w:vAlign w:val="bottom"/>
          </w:tcPr>
          <w:p>
            <w:pPr>
              <w:spacing w:after="0"/>
              <w:rPr>
                <w:sz w:val="24"/>
                <w:szCs w:val="24"/>
                <w:color w:val="auto"/>
              </w:rPr>
            </w:pPr>
          </w:p>
        </w:tc>
        <w:tc>
          <w:tcPr>
            <w:tcW w:w="4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(0.03 )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(0.03 )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(0.16 )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(0.17 )</w:t>
            </w:r>
          </w:p>
        </w:tc>
        <w:tc>
          <w:tcPr>
            <w:tcW w:w="5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480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Weighted average Common Stock outstanding:</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89"/>
        </w:trPr>
        <w:tc>
          <w:tcPr>
            <w:tcW w:w="580" w:type="dxa"/>
            <w:vAlign w:val="bottom"/>
          </w:tcPr>
          <w:p>
            <w:pPr>
              <w:spacing w:after="0"/>
              <w:rPr>
                <w:sz w:val="24"/>
                <w:szCs w:val="24"/>
                <w:color w:val="auto"/>
              </w:rPr>
            </w:pPr>
          </w:p>
        </w:tc>
        <w:tc>
          <w:tcPr>
            <w:tcW w:w="4800" w:type="dxa"/>
            <w:vAlign w:val="bottom"/>
            <w:tcBorders>
              <w:bottom w:val="single" w:sz="8" w:color="CFF0FC"/>
            </w:tcBorders>
            <w:shd w:val="clear" w:color="auto" w:fill="CFF0FC"/>
          </w:tcPr>
          <w:p>
            <w:pPr>
              <w:ind w:left="360"/>
              <w:spacing w:after="0" w:line="249"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4"/>
                <w:szCs w:val="24"/>
                <w:color w:val="auto"/>
                <w:vertAlign w:val="superscript"/>
              </w:rPr>
              <w:t>(1)</w:t>
            </w:r>
          </w:p>
        </w:tc>
        <w:tc>
          <w:tcPr>
            <w:tcW w:w="1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102,904,565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102,904,565</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99,776,742</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99,776,742</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736"/>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813"/>
              <w:spacing w:after="0"/>
              <w:rPr>
                <w:sz w:val="20"/>
                <w:szCs w:val="20"/>
                <w:color w:val="auto"/>
              </w:rPr>
            </w:pPr>
            <w:r>
              <w:rPr>
                <w:rFonts w:ascii="Arial" w:cs="Arial" w:eastAsia="Arial" w:hAnsi="Arial"/>
                <w:sz w:val="18"/>
                <w:szCs w:val="18"/>
                <w:color w:val="auto"/>
                <w:w w:val="89"/>
              </w:rPr>
              <w:t>14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-4100830</wp:posOffset>
            </wp:positionV>
            <wp:extent cx="6858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-4100830</wp:posOffset>
            </wp:positionV>
            <wp:extent cx="6858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-4100830</wp:posOffset>
            </wp:positionV>
            <wp:extent cx="5969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-4100830</wp:posOffset>
            </wp:positionV>
            <wp:extent cx="5969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-3167380</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-3167380</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-3167380</wp:posOffset>
            </wp:positionV>
            <wp:extent cx="5969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-3167380</wp:posOffset>
            </wp:positionV>
            <wp:extent cx="5969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-2225675</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-2225675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-2225675</wp:posOffset>
            </wp:positionV>
            <wp:extent cx="5969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-2225675</wp:posOffset>
            </wp:positionV>
            <wp:extent cx="5969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-1583690</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-1583690</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-1583690</wp:posOffset>
            </wp:positionV>
            <wp:extent cx="5969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-1583690</wp:posOffset>
            </wp:positionV>
            <wp:extent cx="5969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-1257935</wp:posOffset>
            </wp:positionV>
            <wp:extent cx="2577465"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7465" cy="17970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-923925</wp:posOffset>
            </wp:positionV>
            <wp:extent cx="2577465"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7465" cy="17970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-589915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-572770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-589915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-572770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-589915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-572770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-589915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-572770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The following table sets forth the corrections in each of the line items affected in the condensed consolidated balance sheets for September 30, 2022:</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As previously reported</w:t>
            </w: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Restatement</w:t>
            </w:r>
          </w:p>
        </w:tc>
        <w:tc>
          <w:tcPr>
            <w:tcW w:w="17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Adjustments</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1,322,959</w:t>
            </w:r>
          </w:p>
        </w:tc>
        <w:tc>
          <w:tcPr>
            <w:tcW w:w="100" w:type="dxa"/>
            <w:vAlign w:val="bottom"/>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1,324,590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2,119,773</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2,121,404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18,885</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121,552</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7,203</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128,755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Tax receivable agreements liability, net of current portion</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157,175</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(1,143 )</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Total liabilities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642,251</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648,311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962,874</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(1,873 )</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Accumulated deficit</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(34,140 )</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(787 )</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(34,927 )</w:t>
            </w: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544,772</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(1,769 )</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543,003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Total equity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1,477,522</w:t>
            </w:r>
          </w:p>
        </w:tc>
        <w:tc>
          <w:tcPr>
            <w:tcW w:w="10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(4,429 )</w:t>
            </w:r>
          </w:p>
        </w:tc>
        <w:tc>
          <w:tcPr>
            <w:tcW w:w="1660" w:type="dxa"/>
            <w:vAlign w:val="bottom"/>
          </w:tcPr>
          <w:p>
            <w:pPr>
              <w:jc w:val="right"/>
              <w:spacing w:after="0"/>
              <w:rPr>
                <w:sz w:val="20"/>
                <w:szCs w:val="20"/>
                <w:color w:val="auto"/>
              </w:rPr>
            </w:pPr>
            <w:r>
              <w:rPr>
                <w:rFonts w:ascii="Arial" w:cs="Arial" w:eastAsia="Arial" w:hAnsi="Arial"/>
                <w:sz w:val="18"/>
                <w:szCs w:val="18"/>
                <w:color w:val="auto"/>
              </w:rPr>
              <w:t>1,473,093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2,119,773</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2,121,404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table sets forth the corrections in each of the line items affected in the condensed consolidated statements of changes in total equity for September 30, 2022:</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Additional Paid-In</w:t>
            </w:r>
          </w:p>
        </w:tc>
        <w:tc>
          <w:tcPr>
            <w:tcW w:w="180" w:type="dxa"/>
            <w:vAlign w:val="bottom"/>
          </w:tcPr>
          <w:p>
            <w:pPr>
              <w:spacing w:after="0"/>
              <w:rPr>
                <w:sz w:val="15"/>
                <w:szCs w:val="15"/>
                <w:color w:val="auto"/>
              </w:rPr>
            </w:pPr>
          </w:p>
        </w:tc>
        <w:tc>
          <w:tcPr>
            <w:tcW w:w="13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5"/>
                <w:szCs w:val="15"/>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Noncontrolling</w:t>
            </w:r>
          </w:p>
        </w:tc>
        <w:tc>
          <w:tcPr>
            <w:tcW w:w="24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185"/>
        </w:trPr>
        <w:tc>
          <w:tcPr>
            <w:tcW w:w="3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36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Equity</w:t>
            </w:r>
          </w:p>
        </w:tc>
      </w:tr>
      <w:tr>
        <w:trPr>
          <w:trHeight w:val="236"/>
        </w:trPr>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 reported</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962,874</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544,772</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1,477,522</w:t>
            </w:r>
          </w:p>
        </w:tc>
        <w:tc>
          <w:tcPr>
            <w:tcW w:w="100" w:type="dxa"/>
            <w:vAlign w:val="bottom"/>
            <w:shd w:val="clear" w:color="auto" w:fill="CFF0FC"/>
          </w:tcPr>
          <w:p>
            <w:pPr>
              <w:spacing w:after="0"/>
              <w:rPr>
                <w:sz w:val="20"/>
                <w:szCs w:val="20"/>
                <w:color w:val="auto"/>
              </w:rPr>
            </w:pPr>
          </w:p>
        </w:tc>
      </w:tr>
      <w:tr>
        <w:trPr>
          <w:trHeight w:val="236"/>
        </w:trPr>
        <w:tc>
          <w:tcPr>
            <w:tcW w:w="3620" w:type="dxa"/>
            <w:vAlign w:val="bottom"/>
          </w:tcPr>
          <w:p>
            <w:pPr>
              <w:spacing w:after="0"/>
              <w:rPr>
                <w:sz w:val="20"/>
                <w:szCs w:val="20"/>
                <w:color w:val="auto"/>
              </w:rPr>
            </w:pPr>
            <w:r>
              <w:rPr>
                <w:rFonts w:ascii="Arial" w:cs="Arial" w:eastAsia="Arial" w:hAnsi="Arial"/>
                <w:sz w:val="18"/>
                <w:szCs w:val="18"/>
                <w:color w:val="auto"/>
                <w:w w:val="99"/>
              </w:rPr>
              <w:t>Adjustment due to cumulative error correction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(1,873 )</w:t>
            </w:r>
          </w:p>
        </w:tc>
        <w:tc>
          <w:tcPr>
            <w:tcW w:w="18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(787 )</w:t>
            </w: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(1,769 )</w:t>
            </w:r>
          </w:p>
        </w:tc>
        <w:tc>
          <w:tcPr>
            <w:tcW w:w="2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(4,429 )</w:t>
            </w:r>
          </w:p>
        </w:tc>
      </w:tr>
      <w:tr>
        <w:trPr>
          <w:trHeight w:val="282"/>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 restated</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961,001</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543,003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1,473,093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Company did not present tables for quarterly adjustments within the consolidated statements of cash flows since all of the foregoing adjustments only affected financial statement line items within cash flows from operating activities. The adjustments did not affect total cash flows from operating activities, financing activities, or investing activities for any period presented.</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Populi,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July 21, 2023, the Company completed the acquisition of Populi, Inc. (“Populi”), a provider-focused data and analytics company that works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healthcare organizations to optimize physician relationships, reduce network leakage, and expand market share, for total estimated consideration of $54.1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consisting of approximately $46.4 million of cash paid at closing, $0.2 reimbursement from sellers for working capital adjustments, and up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$28.0 million of contingent consideration, with an initial estimated fair value of $7.8 million. The contingent consideration relates to earn-out payments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paid subject to meeting certain revenue metrics during calendar years 2024 and 2025. In addition to the purchase consideration and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holdback agreements with certain key Populi employees, the Company agreed to pay $4.8 million to certain key Populi employees in quarterly installments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beginning on December 31, 2023, and continuing through September 30, 2025. The payout of the holdback is subject to continued employment,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therefore recognized as compensation expense over the requisite service period as a component of transaction, integration and restructuring expenses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accompanying condensed consolidated statements of operations. The assets acquired and liabilities assumed were recorded at their estimated fair values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were included in the Company’s consolidated results as of the acquisition date.</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consideration transferred for the transaction is summarized as follows:</w:t>
      </w:r>
    </w:p>
    <w:p>
      <w:pPr>
        <w:spacing w:after="0" w:line="200" w:lineRule="exact"/>
        <w:rPr>
          <w:sz w:val="20"/>
          <w:szCs w:val="20"/>
          <w:color w:val="auto"/>
        </w:rPr>
      </w:pP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81"/>
        </w:trPr>
        <w:tc>
          <w:tcPr>
            <w:tcW w:w="8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paid at closing</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46,446</w:t>
            </w:r>
          </w:p>
        </w:tc>
        <w:tc>
          <w:tcPr>
            <w:tcW w:w="100" w:type="dxa"/>
            <w:vAlign w:val="bottom"/>
            <w:shd w:val="clear" w:color="auto" w:fill="CFF0FC"/>
          </w:tcPr>
          <w:p>
            <w:pPr>
              <w:spacing w:after="0"/>
              <w:rPr>
                <w:sz w:val="21"/>
                <w:szCs w:val="21"/>
                <w:color w:val="auto"/>
              </w:rPr>
            </w:pPr>
          </w:p>
        </w:tc>
      </w:tr>
      <w:tr>
        <w:trPr>
          <w:trHeight w:val="236"/>
        </w:trPr>
        <w:tc>
          <w:tcPr>
            <w:tcW w:w="878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7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(164 )</w:t>
            </w:r>
          </w:p>
        </w:tc>
      </w:tr>
      <w:tr>
        <w:trPr>
          <w:trHeight w:val="243"/>
        </w:trPr>
        <w:tc>
          <w:tcPr>
            <w:tcW w:w="8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7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2"/>
        </w:trPr>
        <w:tc>
          <w:tcPr>
            <w:tcW w:w="878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54,082</w:t>
            </w:r>
          </w:p>
        </w:tc>
        <w:tc>
          <w:tcPr>
            <w:tcW w:w="100" w:type="dxa"/>
            <w:vAlign w:val="bottom"/>
          </w:tcPr>
          <w:p>
            <w:pPr>
              <w:spacing w:after="0"/>
              <w:rPr>
                <w:sz w:val="21"/>
                <w:szCs w:val="21"/>
                <w:color w:val="auto"/>
              </w:rPr>
            </w:pPr>
          </w:p>
        </w:tc>
      </w:tr>
      <w:tr>
        <w:trPr>
          <w:trHeight w:val="20"/>
        </w:trPr>
        <w:tc>
          <w:tcPr>
            <w:tcW w:w="8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6898005</wp:posOffset>
            </wp:positionH>
            <wp:positionV relativeFrom="paragraph">
              <wp:posOffset>-187960</wp:posOffset>
            </wp:positionV>
            <wp:extent cx="5969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4"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recorded in Other liabilities in the accompanying condensed consolidated balance sheet as of September 30, 2023. Refer to Note 11.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15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purchase price allocations for the Populi acquisition are provisional and are based on the information that was available as of the acquisition date to estimate the fair values of assets acquired and liabilities assumed.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September 30, 2023 are subject to change. The Company is expected to finalize the purchase price allocations as soon as practicable, but no later than one year from the acquisition date. Acquisition-date fair values of assets and liabilities pertaining to this business combination have been allocated as follows: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8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5"/>
                <w:szCs w:val="15"/>
                <w:color w:val="auto"/>
              </w:rPr>
            </w:pPr>
          </w:p>
        </w:tc>
        <w:tc>
          <w:tcPr>
            <w:tcW w:w="202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Preliminary</w:t>
            </w:r>
          </w:p>
        </w:tc>
        <w:tc>
          <w:tcPr>
            <w:tcW w:w="0" w:type="dxa"/>
            <w:vAlign w:val="bottom"/>
          </w:tcPr>
          <w:p>
            <w:pPr>
              <w:spacing w:after="0"/>
              <w:rPr>
                <w:sz w:val="1"/>
                <w:szCs w:val="1"/>
                <w:color w:val="auto"/>
              </w:rPr>
            </w:pPr>
          </w:p>
        </w:tc>
      </w:tr>
      <w:tr>
        <w:trPr>
          <w:trHeight w:val="174"/>
        </w:trPr>
        <w:tc>
          <w:tcPr>
            <w:tcW w:w="8180" w:type="dxa"/>
            <w:vAlign w:val="bottom"/>
          </w:tcPr>
          <w:p>
            <w:pPr>
              <w:spacing w:after="0"/>
              <w:rPr>
                <w:sz w:val="20"/>
                <w:szCs w:val="20"/>
                <w:color w:val="auto"/>
              </w:rPr>
            </w:pPr>
            <w:r>
              <w:rPr>
                <w:rFonts w:ascii="Arial" w:cs="Arial" w:eastAsia="Arial" w:hAnsi="Arial"/>
                <w:sz w:val="14"/>
                <w:szCs w:val="14"/>
                <w:b w:val="1"/>
                <w:bCs w:val="1"/>
                <w:color w:val="auto"/>
              </w:rPr>
              <w:t>Purchase price allocation:</w:t>
            </w:r>
          </w:p>
        </w:tc>
        <w:tc>
          <w:tcPr>
            <w:tcW w:w="46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6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20"/>
                <w:szCs w:val="20"/>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(3,316 )</w:t>
            </w:r>
          </w:p>
        </w:tc>
        <w:tc>
          <w:tcPr>
            <w:tcW w:w="0" w:type="dxa"/>
            <w:vAlign w:val="bottom"/>
          </w:tcPr>
          <w:p>
            <w:pPr>
              <w:spacing w:after="0"/>
              <w:rPr>
                <w:sz w:val="1"/>
                <w:szCs w:val="1"/>
                <w:color w:val="auto"/>
              </w:rPr>
            </w:pPr>
          </w:p>
        </w:tc>
      </w:tr>
      <w:tr>
        <w:trPr>
          <w:trHeight w:val="24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(4,010 )</w:t>
            </w: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20"/>
                <w:szCs w:val="20"/>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(2,354 )</w:t>
            </w:r>
          </w:p>
        </w:tc>
        <w:tc>
          <w:tcPr>
            <w:tcW w:w="0" w:type="dxa"/>
            <w:vAlign w:val="bottom"/>
          </w:tcPr>
          <w:p>
            <w:pPr>
              <w:spacing w:after="0"/>
              <w:rPr>
                <w:sz w:val="1"/>
                <w:szCs w:val="1"/>
                <w:color w:val="auto"/>
              </w:rPr>
            </w:pPr>
          </w:p>
        </w:tc>
      </w:tr>
      <w:tr>
        <w:trPr>
          <w:trHeight w:val="242"/>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 and liabilities assumed</w:t>
            </w:r>
          </w:p>
        </w:tc>
        <w:tc>
          <w:tcPr>
            <w:tcW w:w="460" w:type="dxa"/>
            <w:vAlign w:val="bottom"/>
            <w:tcBorders>
              <w:top w:val="single" w:sz="8" w:color="auto"/>
            </w:tcBorders>
            <w:shd w:val="clear" w:color="auto" w:fill="CFF0FC"/>
          </w:tcPr>
          <w:p>
            <w:pPr>
              <w:spacing w:after="0"/>
              <w:rPr>
                <w:sz w:val="21"/>
                <w:szCs w:val="21"/>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8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Purchase price</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6898005</wp:posOffset>
            </wp:positionH>
            <wp:positionV relativeFrom="paragraph">
              <wp:posOffset>-24765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-7620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As a result of the Populi acquisition, the Company recorded goodwill, developed software, customer relationships, and tradename of $36.7 million, $21.4 million, $1.3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right="40" w:firstLine="509"/>
        <w:spacing w:after="0" w:line="256" w:lineRule="auto"/>
        <w:rPr>
          <w:sz w:val="20"/>
          <w:szCs w:val="20"/>
          <w:color w:val="auto"/>
        </w:rPr>
      </w:pPr>
      <w:r>
        <w:rPr>
          <w:rFonts w:ascii="Arial" w:cs="Arial" w:eastAsia="Arial" w:hAnsi="Arial"/>
          <w:sz w:val="18"/>
          <w:szCs w:val="18"/>
          <w:color w:val="auto"/>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spacing w:after="0" w:line="191"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$1.3 million and is amortized using the straight-line method over the estimated remaining useful life of 20 years.</w:t>
      </w:r>
    </w:p>
    <w:p>
      <w:pPr>
        <w:spacing w:after="0" w:line="15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spacing w:after="0" w:line="185"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amortization periods for the developed software, customer relationships, and tradenames are 7 years, 20 years, and 1 year, respectively. See Note 7 for the estimated total intangible amortization expense during the next five years.</w:t>
      </w:r>
    </w:p>
    <w:p>
      <w:pPr>
        <w:spacing w:after="0" w:line="169"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In connection with the acquisition, the Company recognized acquisition related costs of $4.4 million which were recorded within transaction, integration, and restructuring expenses in the accompanying condensed consolidated statements of operations for the nine months ended September 30, 2023.</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Supplementary Data as if the transaction had occurred on January 1, 2022:</w:t>
      </w:r>
    </w:p>
    <w:p>
      <w:pPr>
        <w:spacing w:after="0" w:line="311"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65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5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189,697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166,204</w:t>
            </w:r>
          </w:p>
        </w:tc>
        <w:tc>
          <w:tcPr>
            <w:tcW w:w="100" w:type="dxa"/>
            <w:vAlign w:val="bottom"/>
            <w:shd w:val="clear" w:color="auto" w:fill="CFF0FC"/>
          </w:tcPr>
          <w:p>
            <w:pPr>
              <w:spacing w:after="0"/>
              <w:rPr>
                <w:sz w:val="21"/>
                <w:szCs w:val="2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(280,870 )</w:t>
            </w: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(36,423 )</w:t>
            </w:r>
          </w:p>
        </w:tc>
      </w:tr>
    </w:tbl>
    <w:p>
      <w:pPr>
        <w:spacing w:after="0" w:line="21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Analytical Wizards</w:t>
      </w:r>
    </w:p>
    <w:p>
      <w:pPr>
        <w:spacing w:after="0" w:line="22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On December 22, 2021, Definitive Healthcare, LLC (“DH, LLC”), an indirect wholly owned subsidiary of Definitive Healthcare Corp. made a $40.0 million investment in Analytical Wizards Inc. (“AW” or “Analytical Wizards”), a privately held company. Analytical Wizards automates complex analytic models using tools that expedite efficient big data mining through artificial intelligence and machine learning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 The Series B Preferred Stock was recorded in Investments in equity securities and the Purchase Option was recorded in Other assets in the accompanying condensed consolidated balance sheet as of December 31, 2021.</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right="20" w:firstLine="509"/>
        <w:spacing w:after="0" w:line="275" w:lineRule="auto"/>
        <w:rPr>
          <w:sz w:val="20"/>
          <w:szCs w:val="20"/>
          <w:color w:val="auto"/>
        </w:rPr>
      </w:pPr>
      <w:r>
        <w:rPr>
          <w:rFonts w:ascii="Arial" w:cs="Arial" w:eastAsia="Arial" w:hAnsi="Arial"/>
          <w:sz w:val="17"/>
          <w:szCs w:val="17"/>
          <w:color w:val="auto"/>
        </w:rPr>
        <w:t>In February 2022, the Company completed the purchase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condensed consolidated statements of operations for the three months ended March 31, 2022. The Company has included the financial results of Analytical Wizards in the condensed consolidated financial statements from February 18, 2022, the date of acquisition.</w:t>
      </w:r>
    </w:p>
    <w:p>
      <w:pPr>
        <w:spacing w:after="0" w:line="6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 acquisition, has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condensed consolidated results as of the acquisition date.</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consideration transferred for the transaction is summarized as follows:</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Initial cash investment in December 2021</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21"/>
                <w:szCs w:val="21"/>
                <w:color w:val="auto"/>
              </w:rPr>
            </w:pPr>
          </w:p>
        </w:tc>
      </w:tr>
      <w:tr>
        <w:trPr>
          <w:trHeight w:val="236"/>
        </w:trPr>
        <w:tc>
          <w:tcPr>
            <w:tcW w:w="8320" w:type="dxa"/>
            <w:vAlign w:val="bottom"/>
          </w:tcPr>
          <w:p>
            <w:pPr>
              <w:spacing w:after="0"/>
              <w:rPr>
                <w:sz w:val="20"/>
                <w:szCs w:val="20"/>
                <w:color w:val="auto"/>
              </w:rPr>
            </w:pPr>
            <w:r>
              <w:rPr>
                <w:rFonts w:ascii="Arial" w:cs="Arial" w:eastAsia="Arial" w:hAnsi="Arial"/>
                <w:sz w:val="18"/>
                <w:szCs w:val="18"/>
                <w:color w:val="auto"/>
              </w:rPr>
              <w:t>Cash consideration paid at closing</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58,645</w:t>
            </w:r>
          </w:p>
        </w:tc>
        <w:tc>
          <w:tcPr>
            <w:tcW w:w="100" w:type="dxa"/>
            <w:vAlign w:val="bottom"/>
          </w:tcPr>
          <w:p>
            <w:pPr>
              <w:spacing w:after="0"/>
              <w:rPr>
                <w:sz w:val="20"/>
                <w:szCs w:val="20"/>
                <w:color w:val="auto"/>
              </w:rPr>
            </w:pPr>
          </w:p>
        </w:tc>
      </w:tr>
      <w:tr>
        <w:trPr>
          <w:trHeight w:val="249"/>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adjustment</w:t>
            </w:r>
          </w:p>
        </w:tc>
        <w:tc>
          <w:tcPr>
            <w:tcW w:w="6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(202 )</w:t>
            </w:r>
          </w:p>
        </w:tc>
      </w:tr>
      <w:tr>
        <w:trPr>
          <w:trHeight w:val="236"/>
        </w:trPr>
        <w:tc>
          <w:tcPr>
            <w:tcW w:w="83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r>
      <w:tr>
        <w:trPr>
          <w:trHeight w:val="282"/>
        </w:trPr>
        <w:tc>
          <w:tcPr>
            <w:tcW w:w="83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Purchase price</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 xml:space="preserve">The contingent consideration was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 metrics and time to payment. The Company estimated the fair value of the contingent consideration to be $2.3 million at September 30, 2023. The contingent consideration was recorded in accrued expenses and other current liabilities in the accompanying condensed consolidated balance sheet as of September 30, 2023. Refer to Note 11.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52"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Company finalized the purchase price allocations of the AW acquisition during the first quarter of 2023. Acquisition-date fair values of assets and liabilities pertaining to this business combination have been allocated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51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5"/>
                <w:szCs w:val="15"/>
                <w:color w:val="auto"/>
              </w:rPr>
            </w:pPr>
          </w:p>
        </w:tc>
        <w:tc>
          <w:tcPr>
            <w:tcW w:w="16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Preliminary, as</w:t>
            </w:r>
          </w:p>
        </w:tc>
        <w:tc>
          <w:tcPr>
            <w:tcW w:w="170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w w:val="96"/>
              </w:rPr>
              <w:t>Measurement period</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Arial" w:cs="Arial" w:eastAsia="Arial" w:hAnsi="Arial"/>
                <w:sz w:val="14"/>
                <w:szCs w:val="14"/>
                <w:b w:val="1"/>
                <w:bCs w:val="1"/>
                <w:color w:val="auto"/>
              </w:rPr>
              <w:t>Purchase price allocation:</w:t>
            </w:r>
          </w:p>
        </w:tc>
        <w:tc>
          <w:tcPr>
            <w:tcW w:w="120" w:type="dxa"/>
            <w:vAlign w:val="bottom"/>
          </w:tcPr>
          <w:p>
            <w:pPr>
              <w:spacing w:after="0"/>
              <w:rPr>
                <w:sz w:val="16"/>
                <w:szCs w:val="16"/>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originally reported</w:t>
            </w:r>
          </w:p>
        </w:tc>
        <w:tc>
          <w:tcPr>
            <w:tcW w:w="220" w:type="dxa"/>
            <w:vAlign w:val="bottom"/>
          </w:tcPr>
          <w:p>
            <w:pPr>
              <w:spacing w:after="0"/>
              <w:rPr>
                <w:sz w:val="16"/>
                <w:szCs w:val="16"/>
                <w:color w:val="auto"/>
              </w:rPr>
            </w:pPr>
          </w:p>
        </w:tc>
        <w:tc>
          <w:tcPr>
            <w:tcW w:w="148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6"/>
                <w:szCs w:val="16"/>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(50 )</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Right-of-use asset, operating leases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(485 )</w:t>
            </w:r>
          </w:p>
        </w:tc>
        <w:tc>
          <w:tcPr>
            <w:tcW w:w="220" w:type="dxa"/>
            <w:vAlign w:val="bottom"/>
          </w:tcPr>
          <w:p>
            <w:pPr>
              <w:spacing w:after="0"/>
              <w:rPr>
                <w:sz w:val="20"/>
                <w:szCs w:val="20"/>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(543 )</w:t>
            </w: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(1,028 )</w:t>
            </w: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(3,691 )</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(3,365 )</w:t>
            </w: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Right-of-use liability, operating leases</w:t>
            </w:r>
          </w:p>
        </w:tc>
        <w:tc>
          <w:tcPr>
            <w:tcW w:w="1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(832 )</w:t>
            </w:r>
          </w:p>
        </w:tc>
        <w:tc>
          <w:tcPr>
            <w:tcW w:w="220" w:type="dxa"/>
            <w:vAlign w:val="bottom"/>
          </w:tcPr>
          <w:p>
            <w:pPr>
              <w:spacing w:after="0"/>
              <w:rPr>
                <w:sz w:val="20"/>
                <w:szCs w:val="20"/>
                <w:color w:val="auto"/>
              </w:rPr>
            </w:pPr>
          </w:p>
        </w:tc>
        <w:tc>
          <w:tcPr>
            <w:tcW w:w="14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(832 )</w:t>
            </w: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(10,345 )</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(10,278 )</w:t>
            </w: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(267 )</w:t>
            </w:r>
          </w:p>
        </w:tc>
        <w:tc>
          <w:tcPr>
            <w:tcW w:w="220" w:type="dxa"/>
            <w:vAlign w:val="bottom"/>
          </w:tcPr>
          <w:p>
            <w:pPr>
              <w:spacing w:after="0"/>
              <w:rPr>
                <w:sz w:val="20"/>
                <w:szCs w:val="20"/>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(633 )</w:t>
            </w: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242"/>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 and liabilities assumed</w:t>
            </w:r>
          </w:p>
        </w:tc>
        <w:tc>
          <w:tcPr>
            <w:tcW w:w="12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37,573</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62,072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(413 )</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5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Purchase price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99,645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As a result of the AW acquisition, the Company recorded goodwill, customer relationships, developed software, and tradename of $61.5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8" w:name="page19"/>
    <w:bookmarkEnd w:id="18"/>
    <w:p>
      <w:pPr>
        <w:ind w:right="80" w:firstLine="509"/>
        <w:spacing w:after="0" w:line="256"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pacing w:after="0" w:line="83" w:lineRule="exact"/>
        <w:rPr>
          <w:sz w:val="20"/>
          <w:szCs w:val="20"/>
          <w:color w:val="auto"/>
        </w:rPr>
      </w:pPr>
    </w:p>
    <w:p>
      <w:pPr>
        <w:ind w:right="300" w:firstLine="509"/>
        <w:spacing w:after="0" w:line="255" w:lineRule="auto"/>
        <w:rPr>
          <w:sz w:val="20"/>
          <w:szCs w:val="20"/>
          <w:color w:val="auto"/>
        </w:rPr>
      </w:pPr>
      <w:r>
        <w:rPr>
          <w:rFonts w:ascii="Arial" w:cs="Arial" w:eastAsia="Arial" w:hAnsi="Arial"/>
          <w:sz w:val="18"/>
          <w:szCs w:val="18"/>
          <w:color w:val="auto"/>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83"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4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amortization periods for the customer relationships, developed software, and tradenames are 20 years, 6 years, and 5 years, respectively. See Note 7 for the estimated total intangible amortization expense during the next five years.</w:t>
      </w:r>
    </w:p>
    <w:p>
      <w:pPr>
        <w:spacing w:after="0" w:line="62"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In connection with the acquisition, the Company recognized acquisition related costs of $1.3 million which were recorded within transaction expenses in the accompanying condensed consolidated statements of operations for the year ended December 31,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nine months ended September 30, 2022, AW’s post-acquisition revenue and net loss on a standalone basis were not material.</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139065</wp:posOffset>
            </wp:positionV>
            <wp:extent cx="1271270" cy="3467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1270" cy="346710"/>
                    </a:xfrm>
                    <a:prstGeom prst="rect">
                      <a:avLst/>
                    </a:prstGeom>
                    <a:noFill/>
                  </pic:spPr>
                </pic:pic>
              </a:graphicData>
            </a:graphic>
          </wp:anchor>
        </w:drawing>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8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121"/>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3"/>
                <w:szCs w:val="13"/>
                <w:color w:val="auto"/>
              </w:rPr>
            </w:pPr>
          </w:p>
        </w:tc>
      </w:tr>
      <w:tr>
        <w:trPr>
          <w:trHeight w:val="185"/>
        </w:trPr>
        <w:tc>
          <w:tcPr>
            <w:tcW w:w="8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2022</w:t>
            </w:r>
          </w:p>
        </w:tc>
      </w:tr>
      <w:tr>
        <w:trPr>
          <w:trHeight w:val="169"/>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Pr>
          <w:p>
            <w:pPr>
              <w:spacing w:after="0"/>
              <w:rPr>
                <w:sz w:val="14"/>
                <w:szCs w:val="14"/>
                <w:color w:val="auto"/>
              </w:rPr>
            </w:pPr>
          </w:p>
        </w:tc>
      </w:tr>
      <w:tr>
        <w:trPr>
          <w:trHeight w:val="24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163,531</w:t>
            </w:r>
          </w:p>
        </w:tc>
        <w:tc>
          <w:tcPr>
            <w:tcW w:w="100" w:type="dxa"/>
            <w:vAlign w:val="bottom"/>
            <w:shd w:val="clear" w:color="auto" w:fill="CFF0FC"/>
          </w:tcPr>
          <w:p>
            <w:pPr>
              <w:spacing w:after="0"/>
              <w:rPr>
                <w:sz w:val="21"/>
                <w:szCs w:val="2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(29,566 )</w:t>
            </w:r>
          </w:p>
        </w:tc>
      </w:tr>
    </w:tbl>
    <w:p>
      <w:pPr>
        <w:spacing w:after="0" w:line="21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unaudited pro forma supplementary data presented in the table above shows the effect of the AW acquisitions as if the transaction had occurred on January 1, 2022.</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62" w:lineRule="exact"/>
        <w:rPr>
          <w:sz w:val="20"/>
          <w:szCs w:val="20"/>
          <w:color w:val="auto"/>
        </w:rPr>
      </w:pPr>
    </w:p>
    <w:p>
      <w:pPr>
        <w:ind w:right="240" w:firstLine="509"/>
        <w:spacing w:after="0" w:line="308" w:lineRule="auto"/>
        <w:rPr>
          <w:sz w:val="20"/>
          <w:szCs w:val="20"/>
          <w:color w:val="auto"/>
        </w:rPr>
      </w:pPr>
      <w:r>
        <w:rPr>
          <w:rFonts w:ascii="Arial" w:cs="Arial" w:eastAsia="Arial" w:hAnsi="Arial"/>
          <w:sz w:val="18"/>
          <w:szCs w:val="18"/>
          <w:color w:val="auto"/>
        </w:rPr>
        <w:t>The following table represents a disaggregation of revenue from arrangements with customers for the three and nine months ended September 30, 2023 and 2022, respectively:</w:t>
      </w:r>
    </w:p>
    <w:p>
      <w:pPr>
        <w:spacing w:after="0" w:line="4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62,568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180,358</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159,136</w:t>
            </w:r>
          </w:p>
        </w:tc>
        <w:tc>
          <w:tcPr>
            <w:tcW w:w="100" w:type="dxa"/>
            <w:vAlign w:val="bottom"/>
            <w:shd w:val="clear" w:color="auto" w:fill="CFF0FC"/>
          </w:tcPr>
          <w:p>
            <w:pPr>
              <w:spacing w:after="0"/>
              <w:rPr>
                <w:sz w:val="20"/>
                <w:szCs w:val="20"/>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0"/>
                <w:szCs w:val="20"/>
                <w:color w:val="auto"/>
              </w:rPr>
            </w:pPr>
          </w:p>
        </w:tc>
      </w:tr>
      <w:tr>
        <w:trPr>
          <w:trHeight w:val="282"/>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65,325</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185,483</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308"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58,799</w:t>
            </w:r>
          </w:p>
        </w:tc>
        <w:tc>
          <w:tcPr>
            <w:tcW w:w="100" w:type="dxa"/>
            <w:vAlign w:val="bottom"/>
            <w:shd w:val="clear" w:color="auto" w:fill="CFF0FC"/>
          </w:tcPr>
          <w:p>
            <w:pPr>
              <w:spacing w:after="0"/>
              <w:rPr>
                <w:sz w:val="20"/>
                <w:szCs w:val="20"/>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Deferred contract costs, current portion</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12,396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Deferred contract costs, long-term</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FF0FC"/>
          </w:tcPr>
          <w:p>
            <w:pPr>
              <w:spacing w:after="0"/>
              <w:rPr>
                <w:sz w:val="21"/>
                <w:szCs w:val="2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Deferred revenues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89,781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99,928</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activity impacting the deferred contract costs for the nine months ended September 30, 2023 and the year ended December 31,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2022 is presented below:</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6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Nine Months Ended</w:t>
            </w:r>
          </w:p>
        </w:tc>
        <w:tc>
          <w:tcPr>
            <w:tcW w:w="1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85"/>
        </w:trPr>
        <w:tc>
          <w:tcPr>
            <w:tcW w:w="6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September 30, 2023</w:t>
            </w:r>
          </w:p>
        </w:tc>
        <w:tc>
          <w:tcPr>
            <w:tcW w:w="140" w:type="dxa"/>
            <w:vAlign w:val="bottom"/>
          </w:tcPr>
          <w:p>
            <w:pPr>
              <w:spacing w:after="0"/>
              <w:rPr>
                <w:sz w:val="16"/>
                <w:szCs w:val="16"/>
                <w:color w:val="auto"/>
              </w:rPr>
            </w:pPr>
          </w:p>
        </w:tc>
        <w:tc>
          <w:tcPr>
            <w:tcW w:w="12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500" w:type="dxa"/>
            <w:vAlign w:val="bottom"/>
            <w:tcBorders>
              <w:top w:val="single" w:sz="8" w:color="auto"/>
            </w:tcBorders>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24,983</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360"/>
              <w:spacing w:after="0"/>
              <w:rPr>
                <w:sz w:val="20"/>
                <w:szCs w:val="20"/>
                <w:color w:val="auto"/>
              </w:rPr>
            </w:pPr>
            <w:r>
              <w:rPr>
                <w:rFonts w:ascii="Arial" w:cs="Arial" w:eastAsia="Arial" w:hAnsi="Arial"/>
                <w:sz w:val="18"/>
                <w:szCs w:val="18"/>
                <w:color w:val="auto"/>
              </w:rPr>
              <w:t>Costs amortized</w:t>
            </w:r>
          </w:p>
        </w:tc>
        <w:tc>
          <w:tcPr>
            <w:tcW w:w="5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(9,475 )</w:t>
            </w: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(8,816 )</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Additional amounts deferred</w:t>
            </w: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28,528</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360"/>
              <w:spacing w:after="0"/>
              <w:rPr>
                <w:sz w:val="20"/>
                <w:szCs w:val="20"/>
                <w:color w:val="auto"/>
              </w:rPr>
            </w:pPr>
            <w:r>
              <w:rPr>
                <w:rFonts w:ascii="Arial" w:cs="Arial" w:eastAsia="Arial" w:hAnsi="Arial"/>
                <w:sz w:val="18"/>
                <w:szCs w:val="18"/>
                <w:color w:val="auto"/>
              </w:rPr>
              <w:t>Current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12,396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Non-current</w:t>
            </w: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96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28,528</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-821055</wp:posOffset>
            </wp:positionV>
            <wp:extent cx="5969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-821055</wp:posOffset>
            </wp:positionV>
            <wp:extent cx="5969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5969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40" w:firstLine="509"/>
        <w:spacing w:after="0" w:line="308" w:lineRule="auto"/>
        <w:rPr>
          <w:sz w:val="20"/>
          <w:szCs w:val="20"/>
          <w:color w:val="auto"/>
        </w:rPr>
      </w:pPr>
      <w:r>
        <w:rPr>
          <w:rFonts w:ascii="Arial" w:cs="Arial" w:eastAsia="Arial" w:hAnsi="Arial"/>
          <w:sz w:val="18"/>
          <w:szCs w:val="18"/>
          <w:color w:val="auto"/>
        </w:rPr>
        <w:t>A summary of the activity impacting deferred revenue balances during the nine months ended September 30, 2023 and for the year ended December 31, 2022 is presented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Nine Months Ended</w:t>
            </w:r>
          </w:p>
        </w:tc>
        <w:tc>
          <w:tcPr>
            <w:tcW w:w="1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Twelve Months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Ended December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380" w:type="dxa"/>
            <w:vAlign w:val="bottom"/>
          </w:tcPr>
          <w:p>
            <w:pPr>
              <w:spacing w:after="0"/>
              <w:rPr>
                <w:sz w:val="16"/>
                <w:szCs w:val="16"/>
                <w:color w:val="auto"/>
              </w:rPr>
            </w:pPr>
          </w:p>
        </w:tc>
        <w:tc>
          <w:tcPr>
            <w:tcW w:w="1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September 30, 2023</w:t>
            </w:r>
          </w:p>
        </w:tc>
        <w:tc>
          <w:tcPr>
            <w:tcW w:w="14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33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4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99,928</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84,023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Revenue recognized</w:t>
            </w:r>
          </w:p>
        </w:tc>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(185,483 )</w:t>
            </w: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(222,653 )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Additional amounts deferred</w:t>
            </w:r>
          </w:p>
        </w:tc>
        <w:tc>
          <w:tcPr>
            <w:tcW w:w="33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175,336</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238,558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80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89,781</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99,928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80" w:type="dxa"/>
            <w:vAlign w:val="bottom"/>
            <w:vMerge w:val="restart"/>
          </w:tcPr>
          <w:p>
            <w:pPr>
              <w:jc w:val="right"/>
              <w:ind w:right="1730"/>
              <w:spacing w:after="0"/>
              <w:rPr>
                <w:sz w:val="20"/>
                <w:szCs w:val="20"/>
                <w:color w:val="auto"/>
              </w:rPr>
            </w:pPr>
            <w:r>
              <w:rPr>
                <w:rFonts w:ascii="Arial" w:cs="Arial" w:eastAsia="Arial" w:hAnsi="Arial"/>
                <w:sz w:val="18"/>
                <w:szCs w:val="18"/>
                <w:color w:val="auto"/>
              </w:rPr>
              <w:t>20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-615950</wp:posOffset>
            </wp:positionV>
            <wp:extent cx="5969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-615950</wp:posOffset>
            </wp:positionV>
            <wp:extent cx="5969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320" w:firstLine="509"/>
        <w:spacing w:after="0" w:line="256"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170,782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183,527</w:t>
            </w:r>
          </w:p>
        </w:tc>
        <w:tc>
          <w:tcPr>
            <w:tcW w:w="100" w:type="dxa"/>
            <w:vAlign w:val="bottom"/>
            <w:shd w:val="clear" w:color="auto" w:fill="CFF0FC"/>
          </w:tcPr>
          <w:p>
            <w:pPr>
              <w:spacing w:after="0"/>
              <w:rPr>
                <w:sz w:val="20"/>
                <w:szCs w:val="20"/>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93,464</w:t>
            </w:r>
          </w:p>
        </w:tc>
        <w:tc>
          <w:tcPr>
            <w:tcW w:w="100" w:type="dxa"/>
            <w:vAlign w:val="bottom"/>
          </w:tcPr>
          <w:p>
            <w:pPr>
              <w:spacing w:after="0"/>
              <w:rPr>
                <w:sz w:val="20"/>
                <w:szCs w:val="20"/>
                <w:color w:val="auto"/>
              </w:rPr>
            </w:pPr>
          </w:p>
        </w:tc>
      </w:tr>
      <w:tr>
        <w:trPr>
          <w:trHeight w:val="282"/>
        </w:trPr>
        <w:tc>
          <w:tcPr>
            <w:tcW w:w="6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253,244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Short-term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Short-term investments classified as available-for-sale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September 30, 2023</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30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Amortized Cost</w:t>
            </w:r>
          </w:p>
        </w:tc>
        <w:tc>
          <w:tcPr>
            <w:tcW w:w="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Gross Unrealized Gains</w:t>
            </w:r>
          </w:p>
        </w:tc>
        <w:tc>
          <w:tcPr>
            <w:tcW w:w="34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w w:val="98"/>
              </w:rPr>
              <w:t>Gross Unrealized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6"/>
        </w:trPr>
        <w:tc>
          <w:tcPr>
            <w:tcW w:w="300" w:type="dxa"/>
            <w:vAlign w:val="bottom"/>
          </w:tcPr>
          <w:p>
            <w:pPr>
              <w:spacing w:after="0"/>
              <w:rPr>
                <w:sz w:val="20"/>
                <w:szCs w:val="20"/>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US Treasuries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96,668</w:t>
            </w:r>
          </w:p>
        </w:tc>
        <w:tc>
          <w:tcPr>
            <w:tcW w:w="9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
              <w:spacing w:after="0"/>
              <w:rPr>
                <w:sz w:val="20"/>
                <w:szCs w:val="20"/>
                <w:color w:val="auto"/>
              </w:rPr>
            </w:pPr>
            <w:r>
              <w:rPr>
                <w:rFonts w:ascii="Arial" w:cs="Arial" w:eastAsia="Arial" w:hAnsi="Arial"/>
                <w:sz w:val="18"/>
                <w:szCs w:val="18"/>
                <w:color w:val="auto"/>
              </w:rPr>
              <w:t>(197 )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96,471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34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Agency bonds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2,280</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34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104,719</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104,646</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25,072</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25,061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82"/>
        </w:trPr>
        <w:tc>
          <w:tcPr>
            <w:tcW w:w="300" w:type="dxa"/>
            <w:vAlign w:val="bottom"/>
          </w:tcPr>
          <w:p>
            <w:pPr>
              <w:spacing w:after="0"/>
              <w:rPr>
                <w:sz w:val="24"/>
                <w:szCs w:val="24"/>
                <w:color w:val="auto"/>
              </w:rPr>
            </w:pPr>
          </w:p>
        </w:tc>
        <w:tc>
          <w:tcPr>
            <w:tcW w:w="3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229,846</w:t>
            </w:r>
          </w:p>
        </w:tc>
        <w:tc>
          <w:tcPr>
            <w:tcW w:w="3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FF0FC"/>
              <w:right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229,565</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Pr>
          <w:p>
            <w:pPr>
              <w:spacing w:after="0"/>
              <w:rPr>
                <w:sz w:val="24"/>
                <w:szCs w:val="24"/>
                <w:color w:val="auto"/>
              </w:rPr>
            </w:pPr>
          </w:p>
        </w:tc>
      </w:tr>
      <w:tr>
        <w:trPr>
          <w:trHeight w:val="371"/>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8"/>
              </w:rPr>
              <w:t>December 31, 2022</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9"/>
        </w:trPr>
        <w:tc>
          <w:tcPr>
            <w:tcW w:w="30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Amortized Cost</w:t>
            </w:r>
          </w:p>
        </w:tc>
        <w:tc>
          <w:tcPr>
            <w:tcW w:w="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Gross Unrealized Gains</w:t>
            </w:r>
          </w:p>
        </w:tc>
        <w:tc>
          <w:tcPr>
            <w:tcW w:w="34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w w:val="98"/>
              </w:rPr>
              <w:t>Gross Unrealized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6"/>
        </w:trPr>
        <w:tc>
          <w:tcPr>
            <w:tcW w:w="300" w:type="dxa"/>
            <w:vAlign w:val="bottom"/>
          </w:tcPr>
          <w:p>
            <w:pPr>
              <w:spacing w:after="0"/>
              <w:rPr>
                <w:sz w:val="20"/>
                <w:szCs w:val="20"/>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US Treasuries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59,849</w:t>
            </w:r>
          </w:p>
        </w:tc>
        <w:tc>
          <w:tcPr>
            <w:tcW w:w="9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
              <w:spacing w:after="0"/>
              <w:rPr>
                <w:sz w:val="20"/>
                <w:szCs w:val="20"/>
                <w:color w:val="auto"/>
              </w:rPr>
            </w:pPr>
            <w:r>
              <w:rPr>
                <w:rFonts w:ascii="Arial" w:cs="Arial" w:eastAsia="Arial" w:hAnsi="Arial"/>
                <w:sz w:val="18"/>
                <w:szCs w:val="18"/>
                <w:color w:val="auto"/>
              </w:rPr>
              <w:t>(129 )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59,723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34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Agency bonds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6,450</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95,831</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color w:val="auto"/>
              </w:rPr>
              <w:t>(123 )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95,737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34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23,034</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23,027</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2"/>
        </w:trPr>
        <w:tc>
          <w:tcPr>
            <w:tcW w:w="30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Total short-term 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185,164</w:t>
            </w:r>
          </w:p>
        </w:tc>
        <w:tc>
          <w:tcPr>
            <w:tcW w:w="300" w:type="dxa"/>
            <w:vAlign w:val="bottom"/>
          </w:tcPr>
          <w:p>
            <w:pPr>
              <w:spacing w:after="0"/>
              <w:rPr>
                <w:sz w:val="21"/>
                <w:szCs w:val="21"/>
                <w:color w:val="auto"/>
              </w:rPr>
            </w:pPr>
          </w:p>
        </w:tc>
        <w:tc>
          <w:tcPr>
            <w:tcW w:w="640" w:type="dxa"/>
            <w:vAlign w:val="bottom"/>
          </w:tcPr>
          <w:p>
            <w:pPr>
              <w:jc w:val="right"/>
              <w:ind w:right="459"/>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
              <w:spacing w:after="0"/>
              <w:rPr>
                <w:sz w:val="20"/>
                <w:szCs w:val="20"/>
                <w:color w:val="auto"/>
              </w:rPr>
            </w:pPr>
            <w:r>
              <w:rPr>
                <w:rFonts w:ascii="Arial" w:cs="Arial" w:eastAsia="Arial" w:hAnsi="Arial"/>
                <w:sz w:val="18"/>
                <w:szCs w:val="18"/>
                <w:color w:val="auto"/>
              </w:rPr>
              <w:t>(278 )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184,939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5980" w:type="dxa"/>
            <w:vAlign w:val="bottom"/>
            <w:gridSpan w:val="6"/>
          </w:tcPr>
          <w:p>
            <w:pPr>
              <w:ind w:left="220"/>
              <w:spacing w:after="0"/>
              <w:rPr>
                <w:sz w:val="20"/>
                <w:szCs w:val="20"/>
                <w:color w:val="auto"/>
              </w:rPr>
            </w:pPr>
            <w:r>
              <w:rPr>
                <w:rFonts w:ascii="Arial" w:cs="Arial" w:eastAsia="Arial" w:hAnsi="Arial"/>
                <w:sz w:val="18"/>
                <w:szCs w:val="18"/>
                <w:color w:val="auto"/>
                <w:w w:val="96"/>
              </w:rPr>
              <w:t>All short-term investments had stated maturity dates of less than one year.</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5. Accounts Receivable</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300" w:type="dxa"/>
            <w:vAlign w:val="bottom"/>
          </w:tcPr>
          <w:p>
            <w:pPr>
              <w:spacing w:after="0"/>
              <w:rPr>
                <w:sz w:val="24"/>
                <w:szCs w:val="24"/>
                <w:color w:val="auto"/>
              </w:rPr>
            </w:pPr>
          </w:p>
        </w:tc>
        <w:tc>
          <w:tcPr>
            <w:tcW w:w="3720" w:type="dxa"/>
            <w:vAlign w:val="bottom"/>
            <w:gridSpan w:val="3"/>
          </w:tcPr>
          <w:p>
            <w:pPr>
              <w:ind w:left="220"/>
              <w:spacing w:after="0"/>
              <w:rPr>
                <w:sz w:val="20"/>
                <w:szCs w:val="20"/>
                <w:color w:val="auto"/>
              </w:rPr>
            </w:pPr>
            <w:r>
              <w:rPr>
                <w:rFonts w:ascii="Arial" w:cs="Arial" w:eastAsia="Arial" w:hAnsi="Arial"/>
                <w:sz w:val="18"/>
                <w:szCs w:val="18"/>
                <w:color w:val="auto"/>
                <w:w w:val="93"/>
              </w:rPr>
              <w:t>Accounts receivable consisted of the following:</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47"/>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185"/>
        </w:trPr>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6"/>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59,780</w:t>
            </w:r>
          </w:p>
        </w:tc>
        <w:tc>
          <w:tcPr>
            <w:tcW w:w="10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Unbilled receivable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2"/>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60,661</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tcPr>
          <w:p>
            <w:pPr>
              <w:ind w:left="360"/>
              <w:spacing w:after="0"/>
              <w:rPr>
                <w:sz w:val="20"/>
                <w:szCs w:val="20"/>
                <w:color w:val="auto"/>
              </w:rPr>
            </w:pPr>
            <w:r>
              <w:rPr>
                <w:rFonts w:ascii="Arial" w:cs="Arial" w:eastAsia="Arial" w:hAnsi="Arial"/>
                <w:sz w:val="18"/>
                <w:szCs w:val="18"/>
                <w:color w:val="auto"/>
                <w:w w:val="93"/>
              </w:rPr>
              <w:t>Less: allowance for doubtful accounts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(1,688 )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(1,862 )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8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right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20"/>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gridSpan w:val="2"/>
          </w:tcPr>
          <w:p>
            <w:pPr>
              <w:jc w:val="right"/>
              <w:ind w:right="479"/>
              <w:spacing w:after="0"/>
              <w:rPr>
                <w:sz w:val="20"/>
                <w:szCs w:val="20"/>
                <w:color w:val="auto"/>
              </w:rPr>
            </w:pPr>
            <w:r>
              <w:rPr>
                <w:rFonts w:ascii="Arial" w:cs="Arial" w:eastAsia="Arial" w:hAnsi="Arial"/>
                <w:sz w:val="18"/>
                <w:szCs w:val="18"/>
                <w:color w:val="auto"/>
              </w:rPr>
              <w:t>21</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-3501390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-3484245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-3501390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-3484245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-3501390</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-3484245</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-3501390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-3484245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-2328545</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-2328545</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-2328545</wp:posOffset>
            </wp:positionV>
            <wp:extent cx="5969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-2328545</wp:posOffset>
            </wp:positionV>
            <wp:extent cx="5969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-453390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-436245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-453390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-436245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6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software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FF0FC"/>
          </w:tcPr>
          <w:p>
            <w:pPr>
              <w:spacing w:after="0"/>
              <w:rPr>
                <w:sz w:val="20"/>
                <w:szCs w:val="20"/>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0"/>
                <w:szCs w:val="20"/>
                <w:color w:val="auto"/>
              </w:rPr>
            </w:pPr>
          </w:p>
        </w:tc>
      </w:tr>
      <w:tr>
        <w:trPr>
          <w:trHeight w:val="24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0"/>
                <w:szCs w:val="20"/>
                <w:color w:val="auto"/>
              </w:rPr>
            </w:pPr>
          </w:p>
        </w:tc>
      </w:tr>
      <w:tr>
        <w:trPr>
          <w:trHeight w:val="243"/>
        </w:trPr>
        <w:tc>
          <w:tcPr>
            <w:tcW w:w="6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(6,078 )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(4,798 )</w:t>
            </w:r>
          </w:p>
        </w:tc>
      </w:tr>
      <w:tr>
        <w:trPr>
          <w:trHeight w:val="242"/>
        </w:trPr>
        <w:tc>
          <w:tcPr>
            <w:tcW w:w="6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2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Borders>
              <w:top w:val="single" w:sz="8" w:color="CFF0FC"/>
            </w:tcBorders>
          </w:tcPr>
          <w:p>
            <w:pPr>
              <w:spacing w:after="0"/>
              <w:rPr>
                <w:sz w:val="21"/>
                <w:szCs w:val="2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5969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Depreciation and amortization expense associated with property and equipment was $0.4 million and $0.5 million for the three months ended September 30, 2023 and 2022, respectively, and $1.3 million and $1.7 million for the nine months ended September 30, 2023 and 2022, respectively.</w:t>
      </w:r>
    </w:p>
    <w:p>
      <w:pPr>
        <w:spacing w:after="0" w:line="23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472" w:right="8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carrying amounts of goodwill and intangible assets, as of September 30, 2023 and December 31, 2022, consisted of the following:</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0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98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410,710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(154,789 )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Developed technologies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(31,627 )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(8,775 )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Database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(44,041 )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575,259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(239,232 )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1,073,986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1,073,986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6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1,649,245</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(239,232 )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1,410,013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0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(As Restated)</w:t>
            </w:r>
          </w:p>
        </w:tc>
        <w:tc>
          <w:tcPr>
            <w:tcW w:w="2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409,430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(128,745 )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Developed technologies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56,965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(25,514 )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(7,150 )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Database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(40,393 )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552,524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(201,802 )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6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1,877,257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(201,802 )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1,675,455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-2482215</wp:posOffset>
            </wp:positionV>
            <wp:extent cx="6858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-2482215</wp:posOffset>
            </wp:positionV>
            <wp:extent cx="5969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-2482215</wp:posOffset>
            </wp:positionV>
            <wp:extent cx="5969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-2165350</wp:posOffset>
            </wp:positionV>
            <wp:extent cx="685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-2165350</wp:posOffset>
            </wp:positionV>
            <wp:extent cx="5969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-2165350</wp:posOffset>
            </wp:positionV>
            <wp:extent cx="5969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-504825</wp:posOffset>
            </wp:positionV>
            <wp:extent cx="6858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-504825</wp:posOffset>
            </wp:positionV>
            <wp:extent cx="5969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-504825</wp:posOffset>
            </wp:positionV>
            <wp:extent cx="5969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-187960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5969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Amortization expense associated with finite-lived intangible assets was $12.6 million and $12.7 million for the three months ended September 30, 2023 and 2022, respectively, of which $3.2 million was included in cost of revenue for each period. Amortization expense associated with finite-lived intangible assets was $37.4 million and $42.5 million for the nine months ended September 30, 2023 and 2022, respectively, of which $9.7 million and $14.1 million was included in cost of revenue for the respective periods.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2023, excluding the nine months ended September 30, 2023</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shd w:val="clear" w:color="auto" w:fill="CFF0FC"/>
          </w:tcPr>
          <w:p>
            <w:pPr>
              <w:spacing w:after="0"/>
              <w:rPr>
                <w:sz w:val="21"/>
                <w:szCs w:val="21"/>
                <w:color w:val="auto"/>
              </w:rPr>
            </w:pPr>
          </w:p>
        </w:tc>
      </w:tr>
      <w:tr>
        <w:trPr>
          <w:trHeight w:val="236"/>
        </w:trPr>
        <w:tc>
          <w:tcPr>
            <w:tcW w:w="8320" w:type="dxa"/>
            <w:vAlign w:val="bottom"/>
          </w:tcPr>
          <w:p>
            <w:pPr>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48,455</w:t>
            </w:r>
          </w:p>
        </w:tc>
        <w:tc>
          <w:tcPr>
            <w:tcW w:w="100" w:type="dxa"/>
            <w:vAlign w:val="bottom"/>
          </w:tcPr>
          <w:p>
            <w:pPr>
              <w:spacing w:after="0"/>
              <w:rPr>
                <w:sz w:val="20"/>
                <w:szCs w:val="20"/>
                <w:color w:val="auto"/>
              </w:rPr>
            </w:pPr>
          </w:p>
        </w:tc>
      </w:tr>
      <w:tr>
        <w:trPr>
          <w:trHeight w:val="249"/>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45,945</w:t>
            </w:r>
          </w:p>
        </w:tc>
        <w:tc>
          <w:tcPr>
            <w:tcW w:w="100" w:type="dxa"/>
            <w:vAlign w:val="bottom"/>
            <w:shd w:val="clear" w:color="auto" w:fill="CFF0FC"/>
          </w:tcPr>
          <w:p>
            <w:pPr>
              <w:spacing w:after="0"/>
              <w:rPr>
                <w:sz w:val="21"/>
                <w:szCs w:val="21"/>
                <w:color w:val="auto"/>
              </w:rPr>
            </w:pPr>
          </w:p>
        </w:tc>
      </w:tr>
      <w:tr>
        <w:trPr>
          <w:trHeight w:val="236"/>
        </w:trPr>
        <w:tc>
          <w:tcPr>
            <w:tcW w:w="8320" w:type="dxa"/>
            <w:vAlign w:val="bottom"/>
          </w:tcPr>
          <w:p>
            <w:pPr>
              <w:spacing w:after="0"/>
              <w:rPr>
                <w:sz w:val="20"/>
                <w:szCs w:val="20"/>
                <w:color w:val="auto"/>
              </w:rPr>
            </w:pPr>
            <w:r>
              <w:rPr>
                <w:rFonts w:ascii="Arial" w:cs="Arial" w:eastAsia="Arial" w:hAnsi="Arial"/>
                <w:sz w:val="18"/>
                <w:szCs w:val="18"/>
                <w:color w:val="auto"/>
              </w:rPr>
              <w:t>2026</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39,305</w:t>
            </w:r>
          </w:p>
        </w:tc>
        <w:tc>
          <w:tcPr>
            <w:tcW w:w="100" w:type="dxa"/>
            <w:vAlign w:val="bottom"/>
          </w:tcPr>
          <w:p>
            <w:pPr>
              <w:spacing w:after="0"/>
              <w:rPr>
                <w:sz w:val="20"/>
                <w:szCs w:val="20"/>
                <w:color w:val="auto"/>
              </w:rPr>
            </w:pPr>
          </w:p>
        </w:tc>
      </w:tr>
      <w:tr>
        <w:trPr>
          <w:trHeight w:val="249"/>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33,357</w:t>
            </w:r>
          </w:p>
        </w:tc>
        <w:tc>
          <w:tcPr>
            <w:tcW w:w="100" w:type="dxa"/>
            <w:vAlign w:val="bottom"/>
            <w:shd w:val="clear" w:color="auto" w:fill="CFF0FC"/>
          </w:tcPr>
          <w:p>
            <w:pPr>
              <w:spacing w:after="0"/>
              <w:rPr>
                <w:sz w:val="21"/>
                <w:szCs w:val="21"/>
                <w:color w:val="auto"/>
              </w:rPr>
            </w:pPr>
          </w:p>
        </w:tc>
      </w:tr>
      <w:tr>
        <w:trPr>
          <w:trHeight w:val="236"/>
        </w:trPr>
        <w:tc>
          <w:tcPr>
            <w:tcW w:w="8320" w:type="dxa"/>
            <w:vAlign w:val="bottom"/>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156,486</w:t>
            </w:r>
          </w:p>
        </w:tc>
        <w:tc>
          <w:tcPr>
            <w:tcW w:w="100" w:type="dxa"/>
            <w:vAlign w:val="bottom"/>
          </w:tcPr>
          <w:p>
            <w:pPr>
              <w:spacing w:after="0"/>
              <w:rPr>
                <w:sz w:val="20"/>
                <w:szCs w:val="20"/>
                <w:color w:val="auto"/>
              </w:rPr>
            </w:pPr>
          </w:p>
        </w:tc>
      </w:tr>
      <w:tr>
        <w:trPr>
          <w:trHeight w:val="276"/>
        </w:trPr>
        <w:tc>
          <w:tcPr>
            <w:tcW w:w="8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determined it had one reporting unit.</w:t>
      </w: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87" w:right="5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117" w:lineRule="exact"/>
        <w:rPr>
          <w:sz w:val="20"/>
          <w:szCs w:val="20"/>
          <w:color w:val="auto"/>
        </w:rPr>
      </w:pPr>
    </w:p>
    <w:p>
      <w:pPr>
        <w:ind w:right="560" w:firstLine="509"/>
        <w:spacing w:after="0" w:line="341" w:lineRule="auto"/>
        <w:rPr>
          <w:sz w:val="20"/>
          <w:szCs w:val="20"/>
          <w:color w:val="auto"/>
        </w:rPr>
      </w:pPr>
      <w:r>
        <w:rPr>
          <w:rFonts w:ascii="Arial" w:cs="Arial" w:eastAsia="Arial" w:hAnsi="Arial"/>
          <w:sz w:val="16"/>
          <w:szCs w:val="16"/>
          <w:color w:val="auto"/>
        </w:rPr>
        <w:t>Goodwill and acquired intangible assets are initially recorded at fair value and tested periodically for impairment. The Company performs an impairment test of goodwill during the fourth quarter of each fiscal year and more frequently if indicators of potential impairment arise.</w:t>
      </w:r>
    </w:p>
    <w:p>
      <w:pPr>
        <w:spacing w:after="0" w:line="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During the three months ended September 30, 2023, the Company experienced a decline in its market capitalization as a result of a sustained decrease in the Company’s stock price, which represented a triggering event requiring management to perform a quantitative goodwill impairment test as of September 30, 2023. As a result of the impairment test, the Company determined that the fair value of its single reporting unit was lower than its carrying value and, accordingly, recorded a non-cash, pretax, goodwill impairment charge of $287.4 million. The goodwill impairment charge did not affect the Company’s liquidity or the financial covenants in any of its outstanding debt agreements.</w:t>
      </w:r>
    </w:p>
    <w:p>
      <w:pPr>
        <w:spacing w:after="0" w:line="6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calculating the goodwill impairment charge, the Company estimated the fair value of its single reporting unit using a combination of an income and market approach. The income approach utilizes a discounted cash flow model associated with the business, including the amount and timing of future expected cash flows, tax attributes, technology and customer attrition rates, a terminal value growth rate, and an appropriate market-participant, risk-adjusted, weight average cost of capital in each case using estimates that the Company considered to be reasonable and appropriate. The market approach utilizes the Company's market capitalization, plus an appropriate control premium. Market capitalization is determined by multiplying the number of shares of Class A Common Stock outstanding by the market price of its Class A Common Stock. The control premium is determined by utilizing data from publicly available premium studies for similarly situated public company transactions. A goodwill impairment loss is recognized for the difference between the carrying value of the reporting unit and the fair value.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and December 31, 2022, goodwill consisted of the following:</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Nine Months Ended</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Twelve Months Ended</w:t>
            </w:r>
          </w:p>
        </w:tc>
        <w:tc>
          <w:tcPr>
            <w:tcW w:w="100" w:type="dxa"/>
            <w:vAlign w:val="bottom"/>
          </w:tcPr>
          <w:p>
            <w:pPr>
              <w:spacing w:after="0"/>
              <w:rPr>
                <w:sz w:val="14"/>
                <w:szCs w:val="14"/>
                <w:color w:val="auto"/>
              </w:rPr>
            </w:pPr>
          </w:p>
        </w:tc>
      </w:tr>
      <w:tr>
        <w:trPr>
          <w:trHeight w:val="185"/>
        </w:trPr>
        <w:tc>
          <w:tcPr>
            <w:tcW w:w="72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2023</w:t>
            </w:r>
          </w:p>
        </w:tc>
        <w:tc>
          <w:tcPr>
            <w:tcW w:w="12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r>
      <w:tr>
        <w:trPr>
          <w:trHeight w:val="236"/>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Goodwill - beginning of period</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1,263,075</w:t>
            </w:r>
          </w:p>
        </w:tc>
        <w:tc>
          <w:tcPr>
            <w:tcW w:w="100" w:type="dxa"/>
            <w:vAlign w:val="bottom"/>
            <w:shd w:val="clear" w:color="auto" w:fill="CFF0FC"/>
          </w:tcPr>
          <w:p>
            <w:pPr>
              <w:spacing w:after="0"/>
              <w:rPr>
                <w:sz w:val="20"/>
                <w:szCs w:val="20"/>
                <w:color w:val="auto"/>
              </w:rPr>
            </w:pPr>
          </w:p>
        </w:tc>
      </w:tr>
      <w:tr>
        <w:trPr>
          <w:trHeight w:val="236"/>
        </w:trPr>
        <w:tc>
          <w:tcPr>
            <w:tcW w:w="7240" w:type="dxa"/>
            <w:vAlign w:val="bottom"/>
          </w:tcPr>
          <w:p>
            <w:pPr>
              <w:ind w:left="180"/>
              <w:spacing w:after="0"/>
              <w:rPr>
                <w:sz w:val="20"/>
                <w:szCs w:val="20"/>
                <w:color w:val="auto"/>
              </w:rPr>
            </w:pPr>
            <w:r>
              <w:rPr>
                <w:rFonts w:ascii="Arial" w:cs="Arial" w:eastAsia="Arial" w:hAnsi="Arial"/>
                <w:sz w:val="18"/>
                <w:szCs w:val="18"/>
                <w:color w:val="auto"/>
              </w:rPr>
              <w:t>Goodwill acquired during period</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36,653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61,658</w:t>
            </w:r>
          </w:p>
        </w:tc>
        <w:tc>
          <w:tcPr>
            <w:tcW w:w="100" w:type="dxa"/>
            <w:vAlign w:val="bottom"/>
          </w:tcPr>
          <w:p>
            <w:pPr>
              <w:spacing w:after="0"/>
              <w:rPr>
                <w:sz w:val="20"/>
                <w:szCs w:val="20"/>
                <w:color w:val="auto"/>
              </w:rPr>
            </w:pPr>
          </w:p>
        </w:tc>
      </w:tr>
      <w:tr>
        <w:trPr>
          <w:trHeight w:val="249"/>
        </w:trPr>
        <w:tc>
          <w:tcPr>
            <w:tcW w:w="7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 impairment loss</w:t>
            </w: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(287,400 )</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Goodwill -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1,073,986</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The decline in the Company’s market capitalization driven by a sustained decrease in the Company’s stock price was considered to represent a triggering event and the Company’s intangible assets were reviewed for impairment. Based on quantitative and qualitative analyses performed, management concluded the assets were recoverable and no impairment charge was recorded.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r>
      <w:tr>
        <w:trPr>
          <w:trHeight w:val="185"/>
        </w:trPr>
        <w:tc>
          <w:tcPr>
            <w:tcW w:w="6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Pr>
          <w:p>
            <w:pPr>
              <w:spacing w:after="0"/>
              <w:rPr>
                <w:sz w:val="14"/>
                <w:szCs w:val="14"/>
                <w:color w:val="auto"/>
              </w:rPr>
            </w:pPr>
          </w:p>
        </w:tc>
      </w:tr>
      <w:tr>
        <w:trPr>
          <w:trHeight w:val="24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Payroll and payroll-related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10,503</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11,961</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Tax receivable agreement, current portion</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current</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Sales, franchise, and other taxes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0"/>
                <w:szCs w:val="20"/>
                <w:color w:val="auto"/>
              </w:rPr>
            </w:pPr>
          </w:p>
        </w:tc>
      </w:tr>
      <w:tr>
        <w:trPr>
          <w:trHeight w:val="24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2"/>
        </w:trPr>
        <w:tc>
          <w:tcPr>
            <w:tcW w:w="69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35,986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26,855</w:t>
            </w:r>
          </w:p>
        </w:tc>
        <w:tc>
          <w:tcPr>
            <w:tcW w:w="100" w:type="dxa"/>
            <w:vAlign w:val="bottom"/>
          </w:tcPr>
          <w:p>
            <w:pPr>
              <w:spacing w:after="0"/>
              <w:rPr>
                <w:sz w:val="21"/>
                <w:szCs w:val="2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5969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During the first and third quarters of 2023, the Company announced restructuring plans intended to reduce operating costs, improve operating margins, and continue advancing the Company’s ongoing commitment to profitable growth. During the three and nine months ended September 30, 2023, the Company incurred restructuring and related charges of $2.1 million and $4.6 million, respectively, consisting primarily of severance payments, employee benefits, and related cash expenses. These charges were recognized within Transaction, integration, and restructuring expenses in the Company’s condensed consolidated statements of operations. As of September 30, 2023, $0.5 million is included in accrued expenses and other liabilities in the condensed consolidated balance sheets. The Company expects these payments will be made over the next three months. In addition, the Company does not expect to incur any further material charges associated with the restructuring plans.</w:t>
      </w:r>
    </w:p>
    <w:p>
      <w:pPr>
        <w:spacing w:after="0" w:line="73"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As of September 30, 2023 and December 31, 2022, the Company has recorded a sales tax accrual, which includes assumed maximum penalties and interest of $9.2 million and $8.1 million, respectively.</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 as of September 30, 2023 and December 31, 2022, respectively:</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4"/>
                <w:szCs w:val="14"/>
                <w:b w:val="1"/>
                <w:bCs w:val="1"/>
                <w:color w:val="auto"/>
                <w:w w:val="91"/>
              </w:rPr>
              <w:t>September 30, 2023</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tcPr>
          <w:p>
            <w:pPr>
              <w:jc w:val="center"/>
              <w:ind w:right="290"/>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200" w:type="dxa"/>
            <w:vAlign w:val="bottom"/>
          </w:tcPr>
          <w:p>
            <w:pPr>
              <w:spacing w:after="0"/>
              <w:rPr>
                <w:sz w:val="11"/>
                <w:szCs w:val="11"/>
                <w:color w:val="auto"/>
              </w:rPr>
            </w:pPr>
          </w:p>
        </w:tc>
        <w:tc>
          <w:tcPr>
            <w:tcW w:w="10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3"/>
              </w:rPr>
              <w:t>Total debt,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85"/>
              </w:rPr>
              <w:t>issuance costs /</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9"/>
              </w:rPr>
              <w:t>financing costs</w:t>
            </w:r>
          </w:p>
        </w:tc>
        <w:tc>
          <w:tcPr>
            <w:tcW w:w="200" w:type="dxa"/>
            <w:vAlign w:val="bottom"/>
          </w:tcPr>
          <w:p>
            <w:pPr>
              <w:spacing w:after="0"/>
              <w:rPr>
                <w:sz w:val="16"/>
                <w:szCs w:val="16"/>
                <w:color w:val="auto"/>
              </w:rPr>
            </w:pPr>
          </w:p>
        </w:tc>
        <w:tc>
          <w:tcPr>
            <w:tcW w:w="1020" w:type="dxa"/>
            <w:vAlign w:val="bottom"/>
          </w:tcPr>
          <w:p>
            <w:pPr>
              <w:jc w:val="center"/>
              <w:ind w:right="117"/>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261,250</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w w:val="95"/>
              </w:rPr>
              <w:t>December 31, 2022</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tcPr>
          <w:p>
            <w:pPr>
              <w:jc w:val="center"/>
              <w:ind w:right="330"/>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200" w:type="dxa"/>
            <w:vAlign w:val="bottom"/>
          </w:tcPr>
          <w:p>
            <w:pPr>
              <w:spacing w:after="0"/>
              <w:rPr>
                <w:sz w:val="11"/>
                <w:szCs w:val="11"/>
                <w:color w:val="auto"/>
              </w:rPr>
            </w:pPr>
          </w:p>
        </w:tc>
        <w:tc>
          <w:tcPr>
            <w:tcW w:w="10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3"/>
              </w:rPr>
              <w:t>Total debt,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85"/>
              </w:rPr>
              <w:t>issuance costs /</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9"/>
              </w:rPr>
              <w:t>financing costs</w:t>
            </w:r>
          </w:p>
        </w:tc>
        <w:tc>
          <w:tcPr>
            <w:tcW w:w="200" w:type="dxa"/>
            <w:vAlign w:val="bottom"/>
          </w:tcPr>
          <w:p>
            <w:pPr>
              <w:spacing w:after="0"/>
              <w:rPr>
                <w:sz w:val="16"/>
                <w:szCs w:val="16"/>
                <w:color w:val="auto"/>
              </w:rPr>
            </w:pPr>
          </w:p>
        </w:tc>
        <w:tc>
          <w:tcPr>
            <w:tcW w:w="1020" w:type="dxa"/>
            <w:vAlign w:val="bottom"/>
          </w:tcPr>
          <w:p>
            <w:pPr>
              <w:jc w:val="center"/>
              <w:ind w:right="117"/>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26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266,406</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255,765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-1026795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-1009650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During the nine months ended September 30, 2023, the Company repaid $5.2 million in outstanding principal of the 2021 Term Loan (as defined below).</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2021 Credit Agreement</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7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$261.3 million outstanding on the 2021 Term Loan at September 30, 2023.</w:t>
      </w:r>
    </w:p>
    <w:p>
      <w:pPr>
        <w:spacing w:after="0" w:line="6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September 30, 2023.</w:t>
      </w:r>
    </w:p>
    <w:p>
      <w:pPr>
        <w:spacing w:after="0" w:line="7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For both the 2021 Term Loan and 2021 Revolving Line of Credit, DH Holdings may elect from several interest rate options based on the LIBO Rate or the Base Rate plus an applicable margin. The applicable margin is based on the total leverage ratio beginning in the fiscal year ended December 31, 2022. As of September 30, 2023, the effective interest rate was 7.17%.</w:t>
      </w:r>
    </w:p>
    <w:p>
      <w:pPr>
        <w:spacing w:after="0" w:line="7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On October 31, 2022, the Company amended the 2021 Credit Agreement to replace the LIBO rate with Term Secured Overnight Financing Rate (“SOFR”) plus an applicable rate.</w:t>
      </w:r>
    </w:p>
    <w:p>
      <w:pPr>
        <w:spacing w:after="0" w:line="62"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 At September 30, 2023, the unamortized financing costs were $0.4 million.</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 xml:space="preserve">The Company is exposed to risks from changes in interest rates related to the 2021 Term Loan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 Hedges of Interest Rate Risk</w:t>
      </w:r>
    </w:p>
    <w:p>
      <w:pPr>
        <w:spacing w:after="0" w:line="117" w:lineRule="exact"/>
        <w:rPr>
          <w:sz w:val="20"/>
          <w:szCs w:val="20"/>
          <w:color w:val="auto"/>
        </w:rPr>
      </w:pPr>
    </w:p>
    <w:p>
      <w:pPr>
        <w:jc w:val="both"/>
        <w:ind w:firstLine="698"/>
        <w:spacing w:after="0" w:line="256" w:lineRule="auto"/>
        <w:rPr>
          <w:sz w:val="20"/>
          <w:szCs w:val="20"/>
          <w:color w:val="auto"/>
        </w:rPr>
      </w:pPr>
      <w:r>
        <w:rPr>
          <w:rFonts w:ascii="Arial" w:cs="Arial" w:eastAsia="Arial" w:hAnsi="Arial"/>
          <w:sz w:val="18"/>
          <w:szCs w:val="18"/>
          <w:color w:val="auto"/>
        </w:rPr>
        <w:t xml:space="preserve">The Company entered into two 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the Company amended the two interest rate swap agreements to replace the LIBO rate with Term SOFR. As a result, subsequent to October 31, 2022, the counterparties paid and will continue to pay interest at a floating rate based on Term SOFR.</w:t>
      </w:r>
    </w:p>
    <w:p>
      <w:pPr>
        <w:spacing w:after="0" w:line="8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of September 30, 2023, the two outstanding interest rate swap agreements each had a notional value of $65.3 million with fixed interest rates of 1.90650% and 1.90900%. Interest payments under the swaps are made monthly on a net settlement basis. The Company has not recorded any amounts due to ineffectiveness for the period ended September 30, 2023. The notional value of each interest rate swap agreement is expected to match the corresponding principal amount of a portion of our borrowings under the 2021 Term Loan. The swap agreements mature on March 31, 2025.</w:t>
      </w:r>
    </w:p>
    <w:p>
      <w:pPr>
        <w:spacing w:after="0" w:line="4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$4.3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values of the interest rate swaps and their respective locations in our condensed consolidated balance sheets at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were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40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2023</w:t>
            </w:r>
          </w:p>
        </w:tc>
        <w:tc>
          <w:tcPr>
            <w:tcW w:w="24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r>
      <w:tr>
        <w:trPr>
          <w:trHeight w:val="236"/>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Short-term derivative asset</w:t>
            </w:r>
          </w:p>
        </w:tc>
        <w:tc>
          <w:tcPr>
            <w:tcW w:w="160" w:type="dxa"/>
            <w:vAlign w:val="bottom"/>
            <w:shd w:val="clear" w:color="auto" w:fill="CFF0FC"/>
          </w:tcPr>
          <w:p>
            <w:pPr>
              <w:spacing w:after="0"/>
              <w:rPr>
                <w:sz w:val="20"/>
                <w:szCs w:val="20"/>
                <w:color w:val="auto"/>
              </w:rPr>
            </w:pPr>
          </w:p>
        </w:tc>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FF0FC"/>
          </w:tcPr>
          <w:p>
            <w:pPr>
              <w:spacing w:after="0"/>
              <w:rPr>
                <w:sz w:val="20"/>
                <w:szCs w:val="20"/>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Long-term derivative asset</w:t>
            </w:r>
          </w:p>
        </w:tc>
        <w:tc>
          <w:tcPr>
            <w:tcW w:w="16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4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The Company’s short- and long-term debt are recorded at their carrying values in the condensed consolidated balance sheets, which may differ from their respective fair values. The carrying values and estimated fair values of the Company’s short- and long-term debt approximate their carrying values as of September 30, 2023 and December 31, 2022, based on interest rates currently available to the Company for similar borrowings.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Money market funds (included in 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Money market funds are recorded at fair value using quoted market prices in active markets and are classified as Level 1 in the fair value hierarchy.</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40" w:lineRule="exact"/>
        <w:rPr>
          <w:sz w:val="20"/>
          <w:szCs w:val="20"/>
          <w:color w:val="auto"/>
        </w:rPr>
      </w:pPr>
    </w:p>
    <w:p>
      <w:pPr>
        <w:ind w:right="920" w:firstLine="509"/>
        <w:spacing w:after="0" w:line="277" w:lineRule="auto"/>
        <w:rPr>
          <w:sz w:val="20"/>
          <w:szCs w:val="20"/>
          <w:color w:val="auto"/>
        </w:rPr>
      </w:pPr>
      <w:r>
        <w:rPr>
          <w:rFonts w:ascii="Arial" w:cs="Arial" w:eastAsia="Arial" w:hAnsi="Arial"/>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62"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September 30, 2023 and December 31, 2022 were classified as Level 2 in the fair value hierarchy.</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The deferred consideration resulting from the acquisition of Populi in the third quarter of 2023, which is subject to meeting certain revenue metrics during calendar years 2024 and 2025, is measured at fair value on a recurring basis. The fair value was estimated based on the present value of the amount expected to be paid at the end of the measurement period. At September 30, 2023, the fair value of the contingent consideration was estimated to be $7.8 million and was included in other long-term liabilities on the condensed consolidated balance sheets.</w:t>
      </w:r>
    </w:p>
    <w:p>
      <w:pPr>
        <w:spacing w:after="0" w:line="62"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The deferred consideration that resulted from the acquisition of Analytical Wizards in the first quarter of 2022, which is subject to the meeting of certain expense control metrics during the two-year period following the acquisition, is also measured at fair value on a recurring basis. The fair value was estimated based on the present value of the amount expected to be paid at the end of the measurement period. At September 30, 2023, the fair value of the contingent consideration was estimated to be $2.3 million and was included in accrued expenses and other current liabilities on the condensed consolidated balance sheets.</w:t>
      </w:r>
    </w:p>
    <w:p>
      <w:pPr>
        <w:spacing w:after="0" w:line="83"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7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change in fair value and other adjustments</w:t>
            </w:r>
          </w:p>
        </w:tc>
        <w:tc>
          <w:tcPr>
            <w:tcW w:w="2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(7,500 )</w:t>
            </w:r>
          </w:p>
        </w:tc>
        <w:tc>
          <w:tcPr>
            <w:tcW w:w="560" w:type="dxa"/>
            <w:vAlign w:val="bottom"/>
          </w:tcPr>
          <w:p>
            <w:pPr>
              <w:spacing w:after="0"/>
              <w:rPr>
                <w:sz w:val="20"/>
                <w:szCs w:val="20"/>
                <w:color w:val="auto"/>
              </w:rPr>
            </w:pPr>
          </w:p>
        </w:tc>
      </w:tr>
      <w:tr>
        <w:trPr>
          <w:trHeight w:val="282"/>
        </w:trPr>
        <w:tc>
          <w:tcPr>
            <w:tcW w:w="580" w:type="dxa"/>
            <w:vAlign w:val="bottom"/>
          </w:tcPr>
          <w:p>
            <w:pPr>
              <w:spacing w:after="0"/>
              <w:rPr>
                <w:sz w:val="24"/>
                <w:szCs w:val="24"/>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7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720" w:type="dxa"/>
            <w:vAlign w:val="bottom"/>
          </w:tcPr>
          <w:p>
            <w:pPr>
              <w:jc w:val="right"/>
              <w:ind w:right="173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-453390</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-436245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-453390</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-436245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of the notes to the consolidated financial statements in the Company’s 2022 Form 10-K/A.</w:t>
      </w:r>
    </w:p>
    <w:p>
      <w:pPr>
        <w:spacing w:after="0" w:line="6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 xml:space="preserve">The Company performed an interim goodwill impairment test during the third quarter of 2023 and concluded that the carrying value of its single reporting unit exceeded its fair value and recorded a $287.4 million non-cash goodwill impairment charge for the three months ended September 30, 2023. See Note 7.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2023 and December 31, 2022, assets and liabilities measured at fair value on a recurring basis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30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6"/>
        </w:trPr>
        <w:tc>
          <w:tcPr>
            <w:tcW w:w="300" w:type="dxa"/>
            <w:vAlign w:val="bottom"/>
          </w:tcPr>
          <w:p>
            <w:pPr>
              <w:spacing w:after="0"/>
              <w:rPr>
                <w:sz w:val="20"/>
                <w:szCs w:val="20"/>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46,946</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 (maturities less than 90 days)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Treasuries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96,471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96,471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104,646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104,646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25,061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25,061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Current portion of contingent consideration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Long-term portion of contingent consideration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472"/>
        </w:trPr>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9"/>
        </w:trPr>
        <w:tc>
          <w:tcPr>
            <w:tcW w:w="30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6"/>
        </w:trPr>
        <w:tc>
          <w:tcPr>
            <w:tcW w:w="300" w:type="dxa"/>
            <w:vAlign w:val="bottom"/>
          </w:tcPr>
          <w:p>
            <w:pPr>
              <w:spacing w:after="0"/>
              <w:rPr>
                <w:sz w:val="20"/>
                <w:szCs w:val="20"/>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39,523</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39,523</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 (maturities less than 90 days)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8"/>
              </w:rPr>
              <w:t>Certificates of deposit (maturities less than 90 days)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Agency bonds (maturities less than 90 days)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Treasuries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59,723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95,737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95,737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0"/>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52"/>
        </w:trPr>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20" w:firstLine="509"/>
        <w:spacing w:after="0" w:line="263" w:lineRule="auto"/>
        <w:rPr>
          <w:sz w:val="20"/>
          <w:szCs w:val="20"/>
          <w:color w:val="auto"/>
        </w:rPr>
      </w:pPr>
      <w:r>
        <w:rPr>
          <w:rFonts w:ascii="Arial" w:cs="Arial" w:eastAsia="Arial" w:hAnsi="Arial"/>
          <w:sz w:val="18"/>
          <w:szCs w:val="18"/>
          <w:color w:val="auto"/>
        </w:rPr>
        <w:t>At September 30, 2023 and December 31, 2022,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121"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condensed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Condensed Consolidated Balance Sheets.</w:t>
      </w:r>
    </w:p>
    <w:p>
      <w:pPr>
        <w:spacing w:after="0" w:line="85"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During the nine months ended September 30, 2023, 10,547,065 LLC Units held by Continuing Pre-IPO LLC Members were exchanged for shares of Class A Common Stock of Definitive Healthcare Corp. pursuant to the terms of the Amended LLC Agreement. In addition, 904,919 restricted stock units vested and 308,295 shares were withheld to cover withholding tax obligations, resulting in the net issuance of 596,624 shares of Class A Common Stock of Definitive Healthcare Corp., for which LLC Units were issued on a one-for-one basis pursuant to the Definitive OpCo second amended and restated limited liability company agreement entered into in connection with the IPO.</w:t>
      </w:r>
    </w:p>
    <w:p>
      <w:pPr>
        <w:spacing w:after="0" w:line="67" w:lineRule="exact"/>
        <w:rPr>
          <w:sz w:val="20"/>
          <w:szCs w:val="20"/>
          <w:color w:val="auto"/>
        </w:rPr>
      </w:pPr>
    </w:p>
    <w:p>
      <w:pPr>
        <w:ind w:right="200" w:firstLine="509"/>
        <w:spacing w:after="0" w:line="274" w:lineRule="auto"/>
        <w:rPr>
          <w:sz w:val="20"/>
          <w:szCs w:val="20"/>
          <w:color w:val="auto"/>
        </w:rPr>
      </w:pPr>
      <w:r>
        <w:rPr>
          <w:rFonts w:ascii="Arial" w:cs="Arial" w:eastAsia="Arial" w:hAnsi="Arial"/>
          <w:sz w:val="18"/>
          <w:szCs w:val="18"/>
          <w:color w:val="auto"/>
        </w:rPr>
        <w:t>As of September 30, 2023 and December 31, 2022, Definitive Healthcare Corp. held ownership interests in Definitive OpCo of 74.8% and 68.2%, respectively, and noncontrolling interests of 25.2% and 31.8%, respectively</w:t>
      </w:r>
      <w:r>
        <w:rPr>
          <w:rFonts w:ascii="Arial" w:cs="Arial" w:eastAsia="Arial" w:hAnsi="Arial"/>
          <w:sz w:val="21"/>
          <w:szCs w:val="21"/>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 summarize the changes in accumulated balances of other comprehensive income for the three and nine months ended September 30, 2023 and 2022, respectively.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rPr>
              <w:t>Three Months Ended September 30, 2023</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5"/>
          </w:tcPr>
          <w:p>
            <w:pPr>
              <w:jc w:val="right"/>
              <w:ind w:right="150"/>
              <w:spacing w:after="0"/>
              <w:rPr>
                <w:sz w:val="20"/>
                <w:szCs w:val="20"/>
                <w:color w:val="auto"/>
              </w:rPr>
            </w:pPr>
            <w:r>
              <w:rPr>
                <w:rFonts w:ascii="Arial" w:cs="Arial" w:eastAsia="Arial" w:hAnsi="Arial"/>
                <w:sz w:val="14"/>
                <w:szCs w:val="14"/>
                <w:b w:val="1"/>
                <w:bCs w:val="1"/>
                <w:color w:val="auto"/>
                <w:w w:val="93"/>
              </w:rPr>
              <w:t>Nine Months Ended September 30, 2023</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1320" w:type="dxa"/>
            <w:vAlign w:val="bottom"/>
            <w:gridSpan w:val="6"/>
            <w:vMerge w:val="restart"/>
          </w:tcPr>
          <w:p>
            <w:pPr>
              <w:jc w:val="center"/>
              <w:ind w:right="19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5"/>
            <w:vMerge w:val="restart"/>
          </w:tcPr>
          <w:p>
            <w:pPr>
              <w:jc w:val="center"/>
              <w:ind w:right="55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Gain (Loss) on</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Gain on</w:t>
            </w:r>
          </w:p>
        </w:tc>
        <w:tc>
          <w:tcPr>
            <w:tcW w:w="120" w:type="dxa"/>
            <w:vAlign w:val="bottom"/>
          </w:tcPr>
          <w:p>
            <w:pPr>
              <w:spacing w:after="0"/>
              <w:rPr>
                <w:sz w:val="12"/>
                <w:szCs w:val="12"/>
                <w:color w:val="auto"/>
              </w:rPr>
            </w:pPr>
          </w:p>
        </w:tc>
        <w:tc>
          <w:tcPr>
            <w:tcW w:w="1320" w:type="dxa"/>
            <w:vAlign w:val="bottom"/>
            <w:gridSpan w:val="6"/>
          </w:tcPr>
          <w:p>
            <w:pPr>
              <w:jc w:val="center"/>
              <w:ind w:right="19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12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Unrealized Loss</w:t>
            </w:r>
          </w:p>
        </w:tc>
        <w:tc>
          <w:tcPr>
            <w:tcW w:w="20" w:type="dxa"/>
            <w:vAlign w:val="bottom"/>
          </w:tcPr>
          <w:p>
            <w:pPr>
              <w:spacing w:after="0"/>
              <w:rPr>
                <w:sz w:val="12"/>
                <w:szCs w:val="12"/>
                <w:color w:val="auto"/>
              </w:rPr>
            </w:pPr>
          </w:p>
        </w:tc>
        <w:tc>
          <w:tcPr>
            <w:tcW w:w="1240" w:type="dxa"/>
            <w:vAlign w:val="bottom"/>
            <w:gridSpan w:val="6"/>
          </w:tcPr>
          <w:p>
            <w:pPr>
              <w:jc w:val="center"/>
              <w:ind w:right="430"/>
              <w:spacing w:after="0" w:line="149" w:lineRule="exact"/>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Cash Flow</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320" w:type="dxa"/>
            <w:vAlign w:val="bottom"/>
            <w:gridSpan w:val="6"/>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Cash Flow</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tcPr>
          <w:p>
            <w:pPr>
              <w:jc w:val="center"/>
              <w:ind w:right="43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Hedges</w:t>
            </w:r>
          </w:p>
        </w:tc>
        <w:tc>
          <w:tcPr>
            <w:tcW w:w="100" w:type="dxa"/>
            <w:vAlign w:val="bottom"/>
          </w:tcPr>
          <w:p>
            <w:pPr>
              <w:spacing w:after="0"/>
              <w:rPr>
                <w:sz w:val="16"/>
                <w:szCs w:val="16"/>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76"/>
              </w:rPr>
              <w:t>s</w:t>
            </w:r>
          </w:p>
        </w:tc>
        <w:tc>
          <w:tcPr>
            <w:tcW w:w="120" w:type="dxa"/>
            <w:vAlign w:val="bottom"/>
          </w:tcPr>
          <w:p>
            <w:pPr>
              <w:spacing w:after="0"/>
              <w:rPr>
                <w:sz w:val="16"/>
                <w:szCs w:val="16"/>
                <w:color w:val="auto"/>
              </w:rPr>
            </w:pPr>
          </w:p>
        </w:tc>
        <w:tc>
          <w:tcPr>
            <w:tcW w:w="132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86"/>
              </w:rPr>
              <w:t>Hedges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6"/>
          </w:tcPr>
          <w:p>
            <w:pPr>
              <w:ind w:left="40"/>
              <w:spacing w:after="0"/>
              <w:rPr>
                <w:sz w:val="20"/>
                <w:szCs w:val="20"/>
                <w:color w:val="auto"/>
              </w:rPr>
            </w:pPr>
            <w:r>
              <w:rPr>
                <w:rFonts w:ascii="Arial" w:cs="Arial" w:eastAsia="Arial" w:hAnsi="Arial"/>
                <w:sz w:val="14"/>
                <w:szCs w:val="14"/>
                <w:b w:val="1"/>
                <w:bCs w:val="1"/>
                <w:color w:val="auto"/>
              </w:rPr>
              <w:t>on Investments</w:t>
            </w:r>
          </w:p>
        </w:tc>
        <w:tc>
          <w:tcPr>
            <w:tcW w:w="1260" w:type="dxa"/>
            <w:vAlign w:val="bottom"/>
            <w:gridSpan w:val="7"/>
          </w:tcPr>
          <w:p>
            <w:pPr>
              <w:jc w:val="center"/>
              <w:ind w:right="390"/>
              <w:spacing w:after="0"/>
              <w:rPr>
                <w:sz w:val="20"/>
                <w:szCs w:val="20"/>
                <w:color w:val="auto"/>
              </w:rPr>
            </w:pPr>
            <w:r>
              <w:rPr>
                <w:rFonts w:ascii="Arial" w:cs="Arial" w:eastAsia="Arial" w:hAnsi="Arial"/>
                <w:sz w:val="14"/>
                <w:szCs w:val="14"/>
                <w:b w:val="1"/>
                <w:bCs w:val="1"/>
                <w:color w:val="auto"/>
                <w:w w:val="91"/>
              </w:rPr>
              <w:t>Adjustments</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Other comprehensive income (loss)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before reclassifications</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FF0FC"/>
          </w:tcPr>
          <w:p>
            <w:pPr>
              <w:spacing w:after="0"/>
              <w:rPr>
                <w:sz w:val="21"/>
                <w:szCs w:val="21"/>
                <w:color w:val="auto"/>
              </w:rPr>
            </w:pPr>
          </w:p>
        </w:tc>
        <w:tc>
          <w:tcPr>
            <w:tcW w:w="5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60" w:type="dxa"/>
            <w:vAlign w:val="bottom"/>
          </w:tcPr>
          <w:p>
            <w:pPr>
              <w:ind w:left="20"/>
              <w:spacing w:after="0"/>
              <w:rPr>
                <w:sz w:val="20"/>
                <w:szCs w:val="20"/>
                <w:color w:val="auto"/>
              </w:rPr>
            </w:pPr>
            <w:r>
              <w:rPr>
                <w:rFonts w:ascii="Arial" w:cs="Arial" w:eastAsia="Arial" w:hAnsi="Arial"/>
                <w:sz w:val="18"/>
                <w:szCs w:val="18"/>
                <w:color w:val="auto"/>
              </w:rPr>
              <w:t>Amounts reclassified from AOCI</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(832 )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(2,186 )</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(2,186 )</w:t>
            </w:r>
          </w:p>
        </w:tc>
        <w:tc>
          <w:tcPr>
            <w:tcW w:w="0" w:type="dxa"/>
            <w:vAlign w:val="bottom"/>
          </w:tcPr>
          <w:p>
            <w:pPr>
              <w:spacing w:after="0"/>
              <w:rPr>
                <w:sz w:val="1"/>
                <w:szCs w:val="1"/>
                <w:color w:val="auto"/>
              </w:rPr>
            </w:pPr>
          </w:p>
        </w:tc>
      </w:tr>
      <w:tr>
        <w:trPr>
          <w:trHeight w:val="282"/>
        </w:trPr>
        <w:tc>
          <w:tcPr>
            <w:tcW w:w="2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15"/>
          </w:tcPr>
          <w:p>
            <w:pPr>
              <w:jc w:val="right"/>
              <w:spacing w:after="0"/>
              <w:rPr>
                <w:sz w:val="20"/>
                <w:szCs w:val="20"/>
                <w:color w:val="auto"/>
              </w:rPr>
            </w:pPr>
            <w:r>
              <w:rPr>
                <w:rFonts w:ascii="Arial" w:cs="Arial" w:eastAsia="Arial" w:hAnsi="Arial"/>
                <w:sz w:val="14"/>
                <w:szCs w:val="14"/>
                <w:b w:val="1"/>
                <w:bCs w:val="1"/>
                <w:color w:val="auto"/>
              </w:rPr>
              <w:t>Three months ended September 30, 2022, as restated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19"/>
          </w:tcPr>
          <w:p>
            <w:pPr>
              <w:jc w:val="right"/>
              <w:ind w:right="420"/>
              <w:spacing w:after="0"/>
              <w:rPr>
                <w:sz w:val="20"/>
                <w:szCs w:val="20"/>
                <w:color w:val="auto"/>
              </w:rPr>
            </w:pPr>
            <w:r>
              <w:rPr>
                <w:rFonts w:ascii="Arial" w:cs="Arial" w:eastAsia="Arial" w:hAnsi="Arial"/>
                <w:sz w:val="14"/>
                <w:szCs w:val="14"/>
                <w:b w:val="1"/>
                <w:bCs w:val="1"/>
                <w:color w:val="auto"/>
                <w:w w:val="98"/>
              </w:rPr>
              <w:t>Nine months ended September 30, 2022, as restated</w:t>
            </w: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180" w:type="dxa"/>
            <w:vAlign w:val="bottom"/>
            <w:tcBorders>
              <w:top w:val="single" w:sz="8" w:color="auto"/>
            </w:tcBorders>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6"/>
              </w:rPr>
              <w:t>Unrealized Gain</w:t>
            </w: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5"/>
            <w:vMerge w:val="restart"/>
          </w:tcPr>
          <w:p>
            <w:pPr>
              <w:jc w:val="center"/>
              <w:ind w:right="190"/>
              <w:spacing w:after="0"/>
              <w:rPr>
                <w:sz w:val="20"/>
                <w:szCs w:val="20"/>
                <w:color w:val="auto"/>
              </w:rPr>
            </w:pPr>
            <w:r>
              <w:rPr>
                <w:rFonts w:ascii="Arial" w:cs="Arial" w:eastAsia="Arial" w:hAnsi="Arial"/>
                <w:sz w:val="14"/>
                <w:szCs w:val="14"/>
                <w:b w:val="1"/>
                <w:bCs w:val="1"/>
                <w:color w:val="auto"/>
                <w:w w:val="93"/>
              </w:rPr>
              <w:t>Unrealized</w:t>
            </w:r>
          </w:p>
        </w:tc>
        <w:tc>
          <w:tcPr>
            <w:tcW w:w="720" w:type="dxa"/>
            <w:vAlign w:val="bottom"/>
            <w:tcBorders>
              <w:top w:val="single" w:sz="8" w:color="auto"/>
            </w:tcBorders>
            <w:gridSpan w:val="3"/>
          </w:tcPr>
          <w:p>
            <w:pPr>
              <w:jc w:val="center"/>
              <w:spacing w:after="0" w:line="133"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4"/>
          </w:tcPr>
          <w:p>
            <w:pPr>
              <w:jc w:val="center"/>
              <w:ind w:right="170"/>
              <w:spacing w:after="0" w:line="133" w:lineRule="exact"/>
              <w:rPr>
                <w:sz w:val="20"/>
                <w:szCs w:val="20"/>
                <w:color w:val="auto"/>
              </w:rPr>
            </w:pPr>
            <w:r>
              <w:rPr>
                <w:rFonts w:ascii="Arial" w:cs="Arial" w:eastAsia="Arial" w:hAnsi="Arial"/>
                <w:sz w:val="14"/>
                <w:szCs w:val="14"/>
                <w:b w:val="1"/>
                <w:bCs w:val="1"/>
                <w:color w:val="auto"/>
                <w:w w:val="93"/>
              </w:rPr>
              <w:t>Foreign</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(Loss) on Cash</w:t>
            </w:r>
          </w:p>
        </w:tc>
        <w:tc>
          <w:tcPr>
            <w:tcW w:w="100" w:type="dxa"/>
            <w:vAlign w:val="bottom"/>
          </w:tcPr>
          <w:p>
            <w:pPr>
              <w:spacing w:after="0"/>
              <w:rPr>
                <w:sz w:val="12"/>
                <w:szCs w:val="12"/>
                <w:color w:val="auto"/>
              </w:rPr>
            </w:pPr>
          </w:p>
        </w:tc>
        <w:tc>
          <w:tcPr>
            <w:tcW w:w="1300" w:type="dxa"/>
            <w:vAlign w:val="bottom"/>
            <w:gridSpan w:val="5"/>
          </w:tcPr>
          <w:p>
            <w:pPr>
              <w:jc w:val="center"/>
              <w:ind w:right="190"/>
              <w:spacing w:after="0" w:line="149" w:lineRule="exact"/>
              <w:rPr>
                <w:sz w:val="20"/>
                <w:szCs w:val="20"/>
                <w:color w:val="auto"/>
              </w:rPr>
            </w:pPr>
            <w:r>
              <w:rPr>
                <w:rFonts w:ascii="Arial" w:cs="Arial" w:eastAsia="Arial" w:hAnsi="Arial"/>
                <w:sz w:val="14"/>
                <w:szCs w:val="14"/>
                <w:b w:val="1"/>
                <w:bCs w:val="1"/>
                <w:color w:val="auto"/>
                <w:w w:val="91"/>
              </w:rPr>
              <w:t>(Loss) Gain on</w:t>
            </w:r>
          </w:p>
        </w:tc>
        <w:tc>
          <w:tcPr>
            <w:tcW w:w="1200" w:type="dxa"/>
            <w:vAlign w:val="bottom"/>
            <w:gridSpan w:val="6"/>
          </w:tcPr>
          <w:p>
            <w:pPr>
              <w:jc w:val="center"/>
              <w:ind w:right="33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Gain on Cash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85"/>
              </w:rPr>
              <w:t>Loss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15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Flow Hedges</w:t>
            </w:r>
          </w:p>
        </w:tc>
        <w:tc>
          <w:tcPr>
            <w:tcW w:w="100" w:type="dxa"/>
            <w:vAlign w:val="bottom"/>
          </w:tcPr>
          <w:p>
            <w:pPr>
              <w:spacing w:after="0"/>
              <w:rPr>
                <w:sz w:val="16"/>
                <w:szCs w:val="16"/>
                <w:color w:val="auto"/>
              </w:rPr>
            </w:pPr>
          </w:p>
        </w:tc>
        <w:tc>
          <w:tcPr>
            <w:tcW w:w="130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0"/>
              </w:rPr>
              <w:t>Investments</w:t>
            </w:r>
          </w:p>
        </w:tc>
        <w:tc>
          <w:tcPr>
            <w:tcW w:w="1200" w:type="dxa"/>
            <w:vAlign w:val="bottom"/>
            <w:gridSpan w:val="6"/>
          </w:tcPr>
          <w:p>
            <w:pPr>
              <w:jc w:val="center"/>
              <w:ind w:right="290"/>
              <w:spacing w:after="0"/>
              <w:rPr>
                <w:sz w:val="20"/>
                <w:szCs w:val="20"/>
                <w:color w:val="auto"/>
              </w:rPr>
            </w:pPr>
            <w:r>
              <w:rPr>
                <w:rFonts w:ascii="Arial" w:cs="Arial" w:eastAsia="Arial" w:hAnsi="Arial"/>
                <w:sz w:val="14"/>
                <w:szCs w:val="14"/>
                <w:b w:val="1"/>
                <w:bCs w:val="1"/>
                <w:color w:val="auto"/>
                <w:w w:val="91"/>
              </w:rPr>
              <w:t>Adjustments</w:t>
            </w:r>
          </w:p>
        </w:tc>
        <w:tc>
          <w:tcPr>
            <w:tcW w:w="740" w:type="dxa"/>
            <w:vAlign w:val="bottom"/>
            <w:gridSpan w:val="6"/>
          </w:tcPr>
          <w:p>
            <w:pPr>
              <w:ind w:left="2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Flow Hedges</w:t>
            </w:r>
          </w:p>
        </w:tc>
        <w:tc>
          <w:tcPr>
            <w:tcW w:w="100" w:type="dxa"/>
            <w:vAlign w:val="bottom"/>
          </w:tcPr>
          <w:p>
            <w:pPr>
              <w:spacing w:after="0"/>
              <w:rPr>
                <w:sz w:val="16"/>
                <w:szCs w:val="16"/>
                <w:color w:val="auto"/>
              </w:rPr>
            </w:pPr>
          </w:p>
        </w:tc>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7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4"/>
              </w:rPr>
              <w:t>1,673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center"/>
              <w:ind w:right="21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Other comprehensive income (loss)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before reclassifications</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4"/>
              </w:rPr>
              <w:t>2,285</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shd w:val="clear" w:color="auto" w:fill="CFF0FC"/>
          </w:tcPr>
          <w:p>
            <w:pPr>
              <w:jc w:val="center"/>
              <w:ind w:right="217"/>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4,162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(259 ) $</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(283 )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60" w:type="dxa"/>
            <w:vAlign w:val="bottom"/>
          </w:tcPr>
          <w:p>
            <w:pPr>
              <w:ind w:left="20"/>
              <w:spacing w:after="0"/>
              <w:rPr>
                <w:sz w:val="20"/>
                <w:szCs w:val="20"/>
                <w:color w:val="auto"/>
              </w:rPr>
            </w:pPr>
            <w:r>
              <w:rPr>
                <w:rFonts w:ascii="Arial" w:cs="Arial" w:eastAsia="Arial" w:hAnsi="Arial"/>
                <w:sz w:val="18"/>
                <w:szCs w:val="18"/>
                <w:color w:val="auto"/>
              </w:rPr>
              <w:t>Amounts reclassified from AOCI</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(47 )</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1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7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4"/>
              </w:rPr>
              <w:t>3,911</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center"/>
              <w:ind w:right="21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116"/>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-2037080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-2019935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-2037080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-2019935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-2037080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-2019935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-2037080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-2019935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-2037080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-2019935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-2037080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-2019935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-2037080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-2019935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-589915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-572770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-589915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-572770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-589915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-572770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-589915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-572770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-589915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-572770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-589915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-572770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-589915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-572770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14. Equity-Based Compensation</w:t>
      </w:r>
    </w:p>
    <w:p>
      <w:pPr>
        <w:spacing w:after="0" w:line="12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The Company recognizes equity-based compensation expense associated with awards granted under equity incentive plans. Equity-based compensation expense is allocated to all departments based on the recipients of the compensation. A summary of the expense by line item in the condensed consolidated statements of operations for the three and nine months ended September 30, 2023 and 2022, respectively, is provided in the following table.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2"/>
        </w:trPr>
        <w:tc>
          <w:tcPr>
            <w:tcW w:w="580" w:type="dxa"/>
            <w:vAlign w:val="bottom"/>
          </w:tcPr>
          <w:p>
            <w:pPr>
              <w:spacing w:after="0"/>
              <w:rPr>
                <w:sz w:val="24"/>
                <w:szCs w:val="24"/>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9,133</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35,485</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25,010</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43"/>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15"/>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-658495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-641350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-658495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-641350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-658495</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-641350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-658495</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-641350</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During the nine months ended September 30, 2023,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spacing w:after="0" w:line="6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As of September 30, 2023 and December 31, 2022, the Company has recorded net deferred tax liabilities of $65.4 million and $75.6 million, respectively. The net deferred tax liability reflects a valuation allowance against deferred tax assets that are more likely than not to not be realized as well as reversing taxable temporary differences that will not provide a source of taxable income due to attribute limitation rules.</w:t>
      </w:r>
    </w:p>
    <w:p>
      <w:pPr>
        <w:spacing w:after="0" w:line="56" w:lineRule="exact"/>
        <w:rPr>
          <w:sz w:val="20"/>
          <w:szCs w:val="20"/>
          <w:color w:val="auto"/>
        </w:rPr>
      </w:pPr>
    </w:p>
    <w:p>
      <w:pPr>
        <w:ind w:right="380" w:firstLine="509"/>
        <w:spacing w:after="0" w:line="341" w:lineRule="auto"/>
        <w:rPr>
          <w:sz w:val="20"/>
          <w:szCs w:val="20"/>
          <w:color w:val="auto"/>
        </w:rPr>
      </w:pPr>
      <w:r>
        <w:rPr>
          <w:rFonts w:ascii="Arial" w:cs="Arial" w:eastAsia="Arial" w:hAnsi="Arial"/>
          <w:sz w:val="16"/>
          <w:szCs w:val="16"/>
          <w:color w:val="auto"/>
        </w:rPr>
        <w:t>The Company recognizes uncertain income tax positions when it is more-likely-than-not the position will be sustained upon examination. As of September 30, 2023 and December 31, 2022, the Company has not identified any uncertain tax positions and has not recognized any related reserves.</w:t>
      </w:r>
    </w:p>
    <w:p>
      <w:pPr>
        <w:spacing w:after="0" w:line="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Company's effective tax rate was 6.6% and 0.2%, as restated, for the three months ended September 30, 2023 and 2022, respectively, and 6.7% and 2.1%, as restated, for the nine months ended September 30, 2023 and 2022, respectively. The Company’s effective tax rate differs from the statutory tax rate of 21% due to the valuation allowance recorded, foreign tax rates that differ from the U.S. statutory tax rate, and partnership income that is not taxed.</w:t>
      </w:r>
    </w:p>
    <w:p>
      <w:pPr>
        <w:spacing w:after="0" w:line="40"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As described above, the Company has a valuation allowance as it has not yet attained a sustained level of profitability and the objectively verifiable negative evidence outweighed the positive evidence. 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Pursuant to the Company’s election under Section 754 of the Internal Revenue Code (the “Code”), the Company expects to obtain an increase in its share of the tax basis in the net assets of Definitive OpCo when LLC Interests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6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connection with the IPO, the Company entered into a Tax Receivable Agreement (“TRA”) among Definitive Healthcare Corp., Definitive OpCo, and the TRA Parties and has recorded a liability under the TRA of $145.4 million and $155.1 million, as restated, as of September 30, 2023 and December 31, 2022, respectively. During the three and nine months ended September 30, 2023, the Company recognized a TRA remeasurement gain of $29.7 million and $25.0 million, respectively. During the three and nine months ended September 30, 2022, the Company recognized a TRA remeasurement gain of $5.3 million, as restated, and $8.6 million, as restated, respectively. Gains in both periods were recognized within other income, net in the Company’s condensed consolidated statements of operations.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16. Loss Per Share</w:t>
      </w:r>
    </w:p>
    <w:p>
      <w:pPr>
        <w:spacing w:after="0" w:line="121"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48"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net loss per share of Class A Common Stock for the three and nine months ended September 30, 2023 and 2022.</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September 30,</w:t>
            </w:r>
          </w:p>
        </w:tc>
        <w:tc>
          <w:tcPr>
            <w:tcW w:w="23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23"/>
        </w:trPr>
        <w:tc>
          <w:tcPr>
            <w:tcW w:w="5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(As Restated)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(As Restated)</w:t>
            </w:r>
          </w:p>
        </w:tc>
      </w:tr>
      <w:tr>
        <w:trPr>
          <w:trHeight w:val="24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(248,688 )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(6,885 )</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(276,265 )</w:t>
            </w:r>
          </w:p>
        </w:tc>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(30,066 )</w:t>
            </w:r>
          </w:p>
        </w:tc>
      </w:tr>
      <w:tr>
        <w:trPr>
          <w:trHeight w:val="24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(77,162 )</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(3,865 )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(84,110 )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(12,979 )</w:t>
            </w:r>
          </w:p>
        </w:tc>
      </w:tr>
      <w:tr>
        <w:trPr>
          <w:trHeight w:val="20"/>
        </w:trPr>
        <w:tc>
          <w:tcPr>
            <w:tcW w:w="5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Net loss attributable to Definitive Healthcare Corp.</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(171,526 )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(3,020 )</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(192,155 )</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(17,087 )</w:t>
            </w:r>
          </w:p>
        </w:tc>
      </w:tr>
      <w:tr>
        <w:trPr>
          <w:trHeight w:val="20"/>
        </w:trPr>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-187960</wp:posOffset>
            </wp:positionV>
            <wp:extent cx="6858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-187960</wp:posOffset>
            </wp:positionV>
            <wp:extent cx="6858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5969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4"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of Class A Common Stock for the three and nine months ended September 30, 2023 and 2022 (per share amounts unaudited).</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274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w w:val="94"/>
              </w:rPr>
              <w:t>(in thousands, except number of shares and per share amounts)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9"/>
              </w:rPr>
              <w:t>(As Restated)</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7"/>
              </w:rPr>
              <w:t>(As Restated)</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Basic net loss per share attributable to common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stockholders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180"/>
              <w:spacing w:after="0"/>
              <w:rPr>
                <w:sz w:val="20"/>
                <w:szCs w:val="20"/>
                <w:color w:val="auto"/>
              </w:rPr>
            </w:pPr>
            <w:r>
              <w:rPr>
                <w:rFonts w:ascii="Arial" w:cs="Arial" w:eastAsia="Arial" w:hAnsi="Arial"/>
                <w:sz w:val="18"/>
                <w:szCs w:val="18"/>
                <w:color w:val="auto"/>
              </w:rPr>
              <w:t>Allocation of net loss attributable to Definitive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Arial" w:cs="Arial" w:eastAsia="Arial" w:hAnsi="Arial"/>
                <w:sz w:val="18"/>
                <w:szCs w:val="18"/>
                <w:color w:val="auto"/>
              </w:rPr>
              <w:t>Healthcare Corp.</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(171,526 )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(3,020 )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(192,155 )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(17,087 )</w:t>
            </w:r>
          </w:p>
        </w:tc>
        <w:tc>
          <w:tcPr>
            <w:tcW w:w="0" w:type="dxa"/>
            <w:vAlign w:val="bottom"/>
          </w:tcPr>
          <w:p>
            <w:pPr>
              <w:spacing w:after="0"/>
              <w:rPr>
                <w:sz w:val="1"/>
                <w:szCs w:val="1"/>
                <w:color w:val="auto"/>
              </w:rPr>
            </w:pPr>
          </w:p>
        </w:tc>
      </w:tr>
      <w:tr>
        <w:trPr>
          <w:trHeight w:val="24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180"/>
              <w:spacing w:after="0"/>
              <w:rPr>
                <w:sz w:val="20"/>
                <w:szCs w:val="20"/>
                <w:color w:val="auto"/>
              </w:rPr>
            </w:pPr>
            <w:r>
              <w:rPr>
                <w:rFonts w:ascii="Arial" w:cs="Arial" w:eastAsia="Arial" w:hAnsi="Arial"/>
                <w:sz w:val="18"/>
                <w:szCs w:val="18"/>
                <w:color w:val="auto"/>
              </w:rPr>
              <w:t>Weighted average number of shares of Class A</w:t>
            </w:r>
          </w:p>
        </w:tc>
        <w:tc>
          <w:tcPr>
            <w:tcW w:w="2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114,527,514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102,904,565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111,533,166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99,776,742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Common Stock outstanding</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-24765</wp:posOffset>
            </wp:positionV>
            <wp:extent cx="59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-24765</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242424"/>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75"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242424"/>
        </w:rPr>
        <w:t>The following table presents potentially dilutive securities excluded from the computation of diluted net loss per share for the period presented because their effect would have been anti-dilutive:</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36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250"/>
        </w:trPr>
        <w:tc>
          <w:tcPr>
            <w:tcW w:w="6380" w:type="dxa"/>
            <w:vAlign w:val="bottom"/>
          </w:tcPr>
          <w:p>
            <w:pPr>
              <w:spacing w:after="0"/>
              <w:rPr>
                <w:sz w:val="21"/>
                <w:szCs w:val="21"/>
                <w:color w:val="auto"/>
              </w:rPr>
            </w:pPr>
          </w:p>
        </w:tc>
        <w:tc>
          <w:tcPr>
            <w:tcW w:w="1700" w:type="dxa"/>
            <w:vAlign w:val="bottom"/>
          </w:tcPr>
          <w:p>
            <w:pPr>
              <w:jc w:val="right"/>
              <w:ind w:right="619"/>
              <w:spacing w:after="0"/>
              <w:rPr>
                <w:sz w:val="20"/>
                <w:szCs w:val="20"/>
                <w:color w:val="auto"/>
              </w:rPr>
            </w:pPr>
            <w:r>
              <w:rPr>
                <w:rFonts w:ascii="Arial" w:cs="Arial" w:eastAsia="Arial" w:hAnsi="Arial"/>
                <w:sz w:val="14"/>
                <w:szCs w:val="14"/>
                <w:b w:val="1"/>
                <w:bCs w:val="1"/>
                <w:color w:val="auto"/>
              </w:rPr>
              <w:t>2023</w:t>
            </w:r>
          </w:p>
        </w:tc>
        <w:tc>
          <w:tcPr>
            <w:tcW w:w="192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r>
      <w:tr>
        <w:trPr>
          <w:trHeight w:val="263"/>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Definitive OpCo LLC Units (vested and unvested)</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39,781,946</w:t>
            </w:r>
          </w:p>
        </w:tc>
        <w:tc>
          <w:tcPr>
            <w:tcW w:w="120" w:type="dxa"/>
            <w:vAlign w:val="bottom"/>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50,566,898</w:t>
            </w:r>
          </w:p>
        </w:tc>
        <w:tc>
          <w:tcPr>
            <w:tcW w:w="100" w:type="dxa"/>
            <w:vAlign w:val="bottom"/>
            <w:shd w:val="clear" w:color="auto" w:fill="CFF0FC"/>
          </w:tcPr>
          <w:p>
            <w:pPr>
              <w:spacing w:after="0"/>
              <w:rPr>
                <w:sz w:val="22"/>
                <w:szCs w:val="22"/>
                <w:color w:val="auto"/>
              </w:rPr>
            </w:pPr>
          </w:p>
        </w:tc>
      </w:tr>
      <w:tr>
        <w:trPr>
          <w:trHeight w:val="256"/>
        </w:trPr>
        <w:tc>
          <w:tcPr>
            <w:tcW w:w="6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8"/>
                <w:szCs w:val="18"/>
                <w:color w:val="auto"/>
              </w:rPr>
              <w:t>6,847,050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3,411,944</w:t>
            </w:r>
          </w:p>
        </w:tc>
        <w:tc>
          <w:tcPr>
            <w:tcW w:w="100" w:type="dxa"/>
            <w:vAlign w:val="bottom"/>
          </w:tcPr>
          <w:p>
            <w:pPr>
              <w:spacing w:after="0"/>
              <w:rPr>
                <w:sz w:val="22"/>
                <w:szCs w:val="22"/>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231F20"/>
        </w:rPr>
        <w:t>The Company has engaged in revenue transactions within the ordinary course of business with entities affiliated with its Sponsors and with members of the Company’s board of directors. During each of the three months ended September 30, 2023 and 2022 the Company recorded revenue from related parties of $0.3 million and $0.2 million, respectively. During each of the nine months ended September 30, 2023 and 2022, the Company recorded revenue from related parties of $1.1 million and $0.7 million, respectively. There were no receivables for related party revenue transactions at September 30, 2023. Receivables for related party revenue transactions amounted to $0.8 million at December 31, 2022.</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2022 Form 10-K/A.</w:t>
      </w:r>
    </w:p>
    <w:p>
      <w:pPr>
        <w:spacing w:after="0" w:line="7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2022 Form 10-K/A.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2,900 customers as of September 30, 2023. We generally define a customer as a company that maintains one or more active paid subscriptions to our platform.</w:t>
      </w:r>
    </w:p>
    <w:p>
      <w:pPr>
        <w:spacing w:after="0" w:line="83"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spacing w:after="0" w:line="6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4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described in Note 1 of “Notes to the Consolidated Financial Statements,” we have restated our consolidated financial statements and Item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of Financial Condition and Results of Operations for the three and nine months ended September 30, 2022.</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 xml:space="preserve">On July 21, 2023, the Company completed the acquisition of Populi, Inc. (“Populi”), a provider-focused data and analytics company that works with healthcare organizations to optimize physician relationships, reduce network leakage, and expand market share, for total estimated consideration of $54.1 million, subject to working capital adjustments, with the potential for additional consideration up to $28.0 million, subject to meeting certain revenue metrics during calendar years 2024 and 2025. The initial accounting for the business combination is incomplete as a result of the timing of the acquisition. See Note 2.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During the first and third quarters of 2023, we announced restructuring plans intended to reduce operating costs, improve operating margins, and continue advancing our ongoing commitment to profitable growth. During the three and nine months ended September 30, 2023, we incurred restructuring and related charges of $2.1 million and $4.6 million, respectively, consisting primarily of severance payments, employee benefits, and related cash expenses. These charges were recognized within Transaction, integration, and restructuring expenses in our condensed consolidated statements of operations. We do not expect to incur any further material charges associated with the restructuring plans.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During the three months ended September 30, 2023, we experienced a decline in our market capitalization as a result of a sustained decrease in our stock price, which represented a triggering event requiring our management to perform a quantitative goodwill impairment test as of September 30, 2023. As a result of the impairment test, we determined that the fair value of our single reporting unit was lower than its carrying value and, accordingly, recorded a non-cash, pretax, goodwill impairment charge of $287.4 million. The goodwill impairment charge did not affect our liquidity or the financial covenants in any of our outstanding debt agreements. See Note 7.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Our reporting unit is at risk for future goodwill impairments if we experience a continued decline in our market capitalization or worsening macroeconomic conditions.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121"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As a corporation with a global footprint, we are subject to risks and exposures caused by significant events and their macroeconomic impacts, including, but not limited to, the Russia-Ukraine war, the evolving conflict in Israel and surrounding areas, global geopolitical tension, and more recently, a potential shutdown of the U.S. federal government, rising inflation and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57"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Our current and prospective customers and their business spendings are impacted by worsening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 and provider markets. We expect this will impact our growth unless macroeconomic conditions improve. We are continuing to evaluate these and other past and potential future direct and indirect impacts on our business and results of operations.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growth and future success of our business depend on many factors, including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ARR, which we refer to as Enterprise Customers, represent the majority of our ARR and are a key focus of our go-to-market programs. As of September 30, 2023, we had 555 Enterprise Customers and approximately 2,900 customers overall, and as of December 31, 2022, we had 537 Enterprise Customers and approximately 3,000 customers overall. While our Enterprise Customer count has grown, our total customer counts decreased slightly in 2023, reflecting the impact of macroeconomic conditions on our prospective and existing customers.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17"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We believe there is a significant opportunity to generate additional revenue from our existing customer base of approximately 2,900 and 3,000 customers as of September 30, 2023 and December 31, 2022, respectively.</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customers have historically increased their spending by adding functionality and by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progress in expanding usage of our platform with our existing customers is demonstrated by our NDR, which is further described below.</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1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0" w:firstLine="509"/>
        <w:spacing w:after="0" w:line="275"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6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w:t>
      </w:r>
    </w:p>
    <w:p>
      <w:pPr>
        <w:spacing w:after="0" w:line="7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7"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We define Adjusted Gross Profit as Gross Profit, excluding acquisition-related depreciation and amortization, and stock-based compensation costs. Adjusted Gross Profit differs from Gross Profit, in that Gross Profit includes the impact of acquisition-related depreciation and amortization expense and stock-based compensation. We exclude acquisition-related depreciation and amortization expense as they have no direct correlation to the cost of operating our business on an ongoing basis. Gross Margin is defined as Gross Profit as a percentage of revenue and Adjusted Gross Margin is defined as Adjusted Gross Profit as a percentage of revenue. These are key metrics used by management and our board of directors to assess our operations.</w:t>
      </w:r>
    </w:p>
    <w:p>
      <w:pPr>
        <w:spacing w:after="0" w:line="5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following table presents a reconciliation of Gross Profit and Gross Margin to Adjusted Gross Profit and Adjusted Gross Margin for the periods presented: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0" w:type="dxa"/>
            <w:vAlign w:val="bottom"/>
            <w:gridSpan w:val="9"/>
          </w:tcPr>
          <w:p>
            <w:pPr>
              <w:jc w:val="right"/>
              <w:ind w:right="1200"/>
              <w:spacing w:after="0"/>
              <w:rPr>
                <w:sz w:val="20"/>
                <w:szCs w:val="20"/>
                <w:color w:val="auto"/>
              </w:rPr>
            </w:pPr>
            <w:r>
              <w:rPr>
                <w:rFonts w:ascii="Arial" w:cs="Arial" w:eastAsia="Arial" w:hAnsi="Arial"/>
                <w:sz w:val="14"/>
                <w:szCs w:val="14"/>
                <w:b w:val="1"/>
                <w:bCs w:val="1"/>
                <w:color w:val="auto"/>
                <w:w w:val="99"/>
              </w:rPr>
              <w:t>Three Months Ended September 30,</w:t>
            </w:r>
          </w:p>
        </w:tc>
        <w:tc>
          <w:tcPr>
            <w:tcW w:w="760" w:type="dxa"/>
            <w:vAlign w:val="bottom"/>
          </w:tcPr>
          <w:p>
            <w:pPr>
              <w:spacing w:after="0"/>
              <w:rPr>
                <w:sz w:val="16"/>
                <w:szCs w:val="16"/>
                <w:color w:val="auto"/>
              </w:rPr>
            </w:pPr>
          </w:p>
        </w:tc>
        <w:tc>
          <w:tcPr>
            <w:tcW w:w="3420" w:type="dxa"/>
            <w:vAlign w:val="bottom"/>
            <w:gridSpan w:val="8"/>
          </w:tcPr>
          <w:p>
            <w:pPr>
              <w:jc w:val="right"/>
              <w:ind w:right="110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27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2"/>
          </w:tcPr>
          <w:p>
            <w:pPr>
              <w:jc w:val="right"/>
              <w:ind w:right="739"/>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gridSpan w:val="2"/>
          </w:tcPr>
          <w:p>
            <w:pPr>
              <w:jc w:val="right"/>
              <w:ind w:right="779"/>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2"/>
          </w:tcPr>
          <w:p>
            <w:pPr>
              <w:jc w:val="right"/>
              <w:ind w:right="702"/>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222"/>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6"/>
                <w:szCs w:val="16"/>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 of Revenue</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 of Revenue</w:t>
            </w: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 of Revenue</w:t>
            </w:r>
          </w:p>
        </w:tc>
      </w:tr>
      <w:tr>
        <w:trPr>
          <w:trHeight w:val="204"/>
        </w:trPr>
        <w:tc>
          <w:tcPr>
            <w:tcW w:w="272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Reported gross profit and</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margin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53,430</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82 % $</w:t>
            </w:r>
          </w:p>
        </w:tc>
        <w:tc>
          <w:tcPr>
            <w:tcW w:w="660" w:type="dxa"/>
            <w:vAlign w:val="bottom"/>
          </w:tcPr>
          <w:p>
            <w:pPr>
              <w:jc w:val="right"/>
              <w:spacing w:after="0"/>
              <w:rPr>
                <w:sz w:val="20"/>
                <w:szCs w:val="20"/>
                <w:color w:val="auto"/>
              </w:rPr>
            </w:pPr>
            <w:r>
              <w:rPr>
                <w:rFonts w:ascii="Arial" w:cs="Arial" w:eastAsia="Arial" w:hAnsi="Arial"/>
                <w:sz w:val="18"/>
                <w:szCs w:val="18"/>
                <w:color w:val="auto"/>
              </w:rPr>
              <w:t>47,658</w:t>
            </w:r>
          </w:p>
        </w:tc>
        <w:tc>
          <w:tcPr>
            <w:tcW w:w="60" w:type="dxa"/>
            <w:vAlign w:val="bottom"/>
          </w:tcPr>
          <w:p>
            <w:pPr>
              <w:spacing w:after="0"/>
              <w:rPr>
                <w:sz w:val="20"/>
                <w:szCs w:val="20"/>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83 % $ 150,514</w:t>
            </w: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rPr>
              <w:t>81 % $ 129,224</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80 %</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Amortization of intangible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720" w:type="dxa"/>
            <w:vAlign w:val="bottom"/>
          </w:tcPr>
          <w:p>
            <w:pPr>
              <w:ind w:left="160"/>
              <w:spacing w:after="0"/>
              <w:rPr>
                <w:sz w:val="20"/>
                <w:szCs w:val="20"/>
                <w:color w:val="auto"/>
              </w:rPr>
            </w:pPr>
            <w:r>
              <w:rPr>
                <w:rFonts w:ascii="Arial" w:cs="Arial" w:eastAsia="Arial" w:hAnsi="Arial"/>
                <w:sz w:val="18"/>
                <w:szCs w:val="18"/>
                <w:color w:val="auto"/>
              </w:rPr>
              <w:t>assets acquired through</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20" w:type="dxa"/>
            <w:vAlign w:val="bottom"/>
          </w:tcPr>
          <w:p>
            <w:pPr>
              <w:ind w:left="160"/>
              <w:spacing w:after="0"/>
              <w:rPr>
                <w:sz w:val="20"/>
                <w:szCs w:val="20"/>
                <w:color w:val="auto"/>
              </w:rPr>
            </w:pPr>
            <w:r>
              <w:rPr>
                <w:rFonts w:ascii="Arial" w:cs="Arial" w:eastAsia="Arial" w:hAnsi="Arial"/>
                <w:sz w:val="18"/>
                <w:szCs w:val="18"/>
                <w:color w:val="auto"/>
              </w:rPr>
              <w:t>business combinations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2,303</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2,910</w:t>
            </w:r>
          </w:p>
        </w:tc>
        <w:tc>
          <w:tcPr>
            <w:tcW w:w="6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5 %</w:t>
            </w:r>
          </w:p>
        </w:tc>
        <w:tc>
          <w:tcPr>
            <w:tcW w:w="760" w:type="dxa"/>
            <w:vAlign w:val="bottom"/>
          </w:tcPr>
          <w:p>
            <w:pPr>
              <w:jc w:val="right"/>
              <w:spacing w:after="0"/>
              <w:rPr>
                <w:sz w:val="20"/>
                <w:szCs w:val="20"/>
                <w:color w:val="auto"/>
              </w:rPr>
            </w:pPr>
            <w:r>
              <w:rPr>
                <w:rFonts w:ascii="Arial" w:cs="Arial" w:eastAsia="Arial" w:hAnsi="Arial"/>
                <w:sz w:val="18"/>
                <w:szCs w:val="18"/>
                <w:color w:val="auto"/>
              </w:rPr>
              <w:t>6,907</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4 %</w:t>
            </w:r>
          </w:p>
        </w:tc>
        <w:tc>
          <w:tcPr>
            <w:tcW w:w="760" w:type="dxa"/>
            <w:vAlign w:val="bottom"/>
          </w:tcPr>
          <w:p>
            <w:pPr>
              <w:jc w:val="right"/>
              <w:spacing w:after="0"/>
              <w:rPr>
                <w:sz w:val="20"/>
                <w:szCs w:val="20"/>
                <w:color w:val="auto"/>
              </w:rPr>
            </w:pPr>
            <w:r>
              <w:rPr>
                <w:rFonts w:ascii="Arial" w:cs="Arial" w:eastAsia="Arial" w:hAnsi="Arial"/>
                <w:sz w:val="18"/>
                <w:szCs w:val="18"/>
                <w:color w:val="auto"/>
              </w:rPr>
              <w:t>13,314</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compensation costs</w:t>
            </w: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w w:val="94"/>
              </w:rPr>
              <w:t>Adjusted gross profit and margin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56,009</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660" w:type="dxa"/>
            <w:vAlign w:val="bottom"/>
          </w:tcPr>
          <w:p>
            <w:pPr>
              <w:jc w:val="right"/>
              <w:spacing w:after="0"/>
              <w:rPr>
                <w:sz w:val="20"/>
                <w:szCs w:val="20"/>
                <w:color w:val="auto"/>
              </w:rPr>
            </w:pPr>
            <w:r>
              <w:rPr>
                <w:rFonts w:ascii="Arial" w:cs="Arial" w:eastAsia="Arial" w:hAnsi="Arial"/>
                <w:sz w:val="18"/>
                <w:szCs w:val="18"/>
                <w:color w:val="auto"/>
              </w:rPr>
              <w:t>50,804</w:t>
            </w:r>
          </w:p>
        </w:tc>
        <w:tc>
          <w:tcPr>
            <w:tcW w:w="60" w:type="dxa"/>
            <w:vAlign w:val="bottom"/>
          </w:tcPr>
          <w:p>
            <w:pPr>
              <w:spacing w:after="0"/>
              <w:rPr>
                <w:sz w:val="20"/>
                <w:szCs w:val="20"/>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color w:val="auto"/>
                <w:highlight w:val="white"/>
              </w:rPr>
              <w:t>%</w:t>
            </w:r>
            <w:r>
              <w:rPr>
                <w:rFonts w:ascii="Arial" w:cs="Arial" w:eastAsia="Arial" w:hAnsi="Arial"/>
                <w:sz w:val="18"/>
                <w:szCs w:val="18"/>
                <w:color w:val="auto"/>
              </w:rPr>
              <w:t xml:space="preserve"> $ 158,251</w:t>
            </w: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color w:val="auto"/>
                <w:highlight w:val="white"/>
              </w:rPr>
              <w:t>%</w:t>
            </w:r>
            <w:r>
              <w:rPr>
                <w:rFonts w:ascii="Arial" w:cs="Arial" w:eastAsia="Arial" w:hAnsi="Arial"/>
                <w:sz w:val="18"/>
                <w:szCs w:val="18"/>
                <w:color w:val="auto"/>
              </w:rPr>
              <w:t xml:space="preserve"> $ 143,236</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color w:val="auto"/>
                <w:highlight w:val="white"/>
              </w:rPr>
              <w:t>%</w:t>
            </w:r>
          </w:p>
        </w:tc>
      </w:tr>
      <w:tr>
        <w:trPr>
          <w:trHeight w:val="548"/>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290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-589915</wp:posOffset>
            </wp:positionV>
            <wp:extent cx="76835"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-589915</wp:posOffset>
            </wp:positionV>
            <wp:extent cx="76835"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-589915</wp:posOffset>
            </wp:positionV>
            <wp:extent cx="6858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-589915</wp:posOffset>
            </wp:positionV>
            <wp:extent cx="68580"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688"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7"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 integration, and restructuring expenses, (iv) goodwill impairments, and (v) other non-recurring and one-time expenses.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7"/>
              </w:rPr>
              <w:t>Three Months Ended September 30,</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w w:val="98"/>
              </w:rPr>
              <w:t>Nine Months Ended September 30,</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4"/>
                <w:szCs w:val="14"/>
                <w:b w:val="1"/>
                <w:bCs w:val="1"/>
                <w:color w:val="auto"/>
                <w:w w:val="90"/>
              </w:rPr>
              <w:t>(As Restated)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0"/>
              </w:rPr>
              <w:t>(As Restated)</w:t>
            </w:r>
          </w:p>
        </w:tc>
        <w:tc>
          <w:tcPr>
            <w:tcW w:w="200" w:type="dxa"/>
            <w:vAlign w:val="bottom"/>
          </w:tcPr>
          <w:p>
            <w:pPr>
              <w:spacing w:after="0"/>
              <w:rPr>
                <w:sz w:val="14"/>
                <w:szCs w:val="14"/>
                <w:color w:val="auto"/>
              </w:rPr>
            </w:pPr>
          </w:p>
        </w:tc>
      </w:tr>
      <w:tr>
        <w:trPr>
          <w:trHeight w:val="133"/>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right"/>
              <w:ind w:right="370"/>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ind w:right="330"/>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213"/>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6"/>
                <w:szCs w:val="16"/>
                <w:color w:val="auto"/>
              </w:rPr>
            </w:pPr>
          </w:p>
        </w:tc>
        <w:tc>
          <w:tcPr>
            <w:tcW w:w="104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w w:val="93"/>
              </w:rPr>
              <w:t>% of Revenue</w:t>
            </w:r>
          </w:p>
        </w:tc>
        <w:tc>
          <w:tcPr>
            <w:tcW w:w="10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w w:val="99"/>
              </w:rPr>
              <w:t>Revenue</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5"/>
              </w:rPr>
              <w:t>Revenue</w:t>
            </w:r>
          </w:p>
        </w:tc>
      </w:tr>
      <w:tr>
        <w:trPr>
          <w:trHeight w:val="224"/>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Net loss and margin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(248,688</w:t>
            </w:r>
          </w:p>
        </w:tc>
        <w:tc>
          <w:tcPr>
            <w:tcW w:w="24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(276,265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(30,066</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r>
      <w:tr>
        <w:trPr>
          <w:trHeight w:val="242"/>
        </w:trPr>
        <w:tc>
          <w:tcPr>
            <w:tcW w:w="27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6,930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160" w:type="dxa"/>
            <w:vAlign w:val="bottom"/>
          </w:tcPr>
          <w:p>
            <w:pPr>
              <w:spacing w:after="0"/>
              <w:rPr>
                <w:sz w:val="21"/>
                <w:szCs w:val="21"/>
                <w:color w:val="auto"/>
              </w:rPr>
            </w:pPr>
          </w:p>
        </w:tc>
        <w:tc>
          <w:tcPr>
            <w:tcW w:w="1040" w:type="dxa"/>
            <w:vAlign w:val="bottom"/>
            <w:gridSpan w:val="2"/>
          </w:tcPr>
          <w:p>
            <w:pPr>
              <w:jc w:val="right"/>
              <w:ind w:right="76"/>
              <w:spacing w:after="0"/>
              <w:rPr>
                <w:sz w:val="20"/>
                <w:szCs w:val="20"/>
                <w:color w:val="auto"/>
              </w:rPr>
            </w:pPr>
            <w:r>
              <w:rPr>
                <w:rFonts w:ascii="Arial" w:cs="Arial" w:eastAsia="Arial" w:hAnsi="Arial"/>
                <w:sz w:val="18"/>
                <w:szCs w:val="18"/>
                <w:color w:val="auto"/>
              </w:rPr>
              <w:t>(17,534 )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1"/>
                <w:szCs w:val="21"/>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1"/>
                <w:szCs w:val="21"/>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color w:val="auto"/>
              </w:rPr>
              <w:t>(0 )%</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(19,728 )</w:t>
            </w: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(11 )%</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(654 )</w:t>
            </w: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50"/>
        </w:trPr>
        <w:tc>
          <w:tcPr>
            <w:tcW w:w="2700" w:type="dxa"/>
            <w:vAlign w:val="bottom"/>
          </w:tcPr>
          <w:p>
            <w:pPr>
              <w:ind w:left="20"/>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13,027</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13,192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38,749</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20"/>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EBITDA and margin</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(252,762</w:t>
            </w:r>
          </w:p>
        </w:tc>
        <w:tc>
          <w:tcPr>
            <w:tcW w:w="24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8,758</w:t>
            </w: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(255,810</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4"/>
                <w:szCs w:val="24"/>
                <w:color w:val="auto"/>
                <w:vertAlign w:val="superscript"/>
              </w:rPr>
              <w:t>(a)</w:t>
            </w:r>
          </w:p>
        </w:tc>
        <w:tc>
          <w:tcPr>
            <w:tcW w:w="160" w:type="dxa"/>
            <w:vAlign w:val="bottom"/>
          </w:tcPr>
          <w:p>
            <w:pPr>
              <w:spacing w:after="0"/>
              <w:rPr>
                <w:sz w:val="21"/>
                <w:szCs w:val="21"/>
                <w:color w:val="auto"/>
              </w:rPr>
            </w:pPr>
          </w:p>
        </w:tc>
        <w:tc>
          <w:tcPr>
            <w:tcW w:w="1040" w:type="dxa"/>
            <w:vAlign w:val="bottom"/>
            <w:gridSpan w:val="2"/>
          </w:tcPr>
          <w:p>
            <w:pPr>
              <w:jc w:val="right"/>
              <w:ind w:right="76"/>
              <w:spacing w:after="0"/>
              <w:rPr>
                <w:sz w:val="20"/>
                <w:szCs w:val="20"/>
                <w:color w:val="auto"/>
              </w:rPr>
            </w:pPr>
            <w:r>
              <w:rPr>
                <w:rFonts w:ascii="Arial" w:cs="Arial" w:eastAsia="Arial" w:hAnsi="Arial"/>
                <w:sz w:val="18"/>
                <w:szCs w:val="18"/>
                <w:color w:val="auto"/>
              </w:rPr>
              <w:t>(29,589 )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60" w:type="dxa"/>
            <w:vAlign w:val="bottom"/>
          </w:tcPr>
          <w:p>
            <w:pPr>
              <w:spacing w:after="0"/>
              <w:rPr>
                <w:sz w:val="21"/>
                <w:szCs w:val="21"/>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(5,628 )</w:t>
            </w:r>
          </w:p>
        </w:tc>
        <w:tc>
          <w:tcPr>
            <w:tcW w:w="20" w:type="dxa"/>
            <w:vAlign w:val="bottom"/>
          </w:tcPr>
          <w:p>
            <w:pPr>
              <w:spacing w:after="0"/>
              <w:rPr>
                <w:sz w:val="21"/>
                <w:szCs w:val="21"/>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color w:val="auto"/>
              </w:rPr>
              <w:t>(10 )%</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(25,161 )</w:t>
            </w: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(14 )%</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(9,716 )</w:t>
            </w: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66"/>
        </w:trPr>
        <w:tc>
          <w:tcPr>
            <w:tcW w:w="2700" w:type="dxa"/>
            <w:vAlign w:val="bottom"/>
          </w:tcPr>
          <w:p>
            <w:pPr>
              <w:ind w:left="20"/>
              <w:spacing w:after="0" w:line="265" w:lineRule="exact"/>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4"/>
                <w:szCs w:val="24"/>
                <w:color w:val="auto"/>
                <w:vertAlign w:val="superscript"/>
              </w:rPr>
              <w:t>(b)</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11,994</w:t>
            </w:r>
          </w:p>
        </w:tc>
        <w:tc>
          <w:tcPr>
            <w:tcW w:w="2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9,133</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35,485</w:t>
            </w:r>
          </w:p>
        </w:tc>
        <w:tc>
          <w:tcPr>
            <w:tcW w:w="2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25,010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193"/>
        </w:trPr>
        <w:tc>
          <w:tcPr>
            <w:tcW w:w="2700" w:type="dxa"/>
            <w:vAlign w:val="bottom"/>
          </w:tcPr>
          <w:p>
            <w:pPr>
              <w:ind w:left="20"/>
              <w:spacing w:after="0" w:line="193" w:lineRule="exact"/>
              <w:rPr>
                <w:sz w:val="20"/>
                <w:szCs w:val="20"/>
                <w:color w:val="auto"/>
              </w:rPr>
            </w:pPr>
            <w:r>
              <w:rPr>
                <w:rFonts w:ascii="Arial" w:cs="Arial" w:eastAsia="Arial" w:hAnsi="Arial"/>
                <w:sz w:val="18"/>
                <w:szCs w:val="18"/>
                <w:color w:val="auto"/>
              </w:rPr>
              <w:t>Transaction, integration, and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3"/>
        </w:trPr>
        <w:tc>
          <w:tcPr>
            <w:tcW w:w="27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24"/>
                <w:szCs w:val="24"/>
                <w:color w:val="auto"/>
                <w:vertAlign w:val="superscript"/>
              </w:rPr>
              <w:t>(c)</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3,505</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9,666</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27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4"/>
                <w:szCs w:val="24"/>
                <w:color w:val="auto"/>
                <w:vertAlign w:val="superscript"/>
              </w:rPr>
              <w:t>(d)</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287,400</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440 %</w:t>
            </w:r>
          </w:p>
        </w:tc>
        <w:tc>
          <w:tcPr>
            <w:tcW w:w="160" w:type="dxa"/>
            <w:vAlign w:val="bottom"/>
          </w:tcPr>
          <w:p>
            <w:pPr>
              <w:spacing w:after="0"/>
              <w:rPr>
                <w:sz w:val="21"/>
                <w:szCs w:val="21"/>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287,400</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66"/>
        </w:trPr>
        <w:tc>
          <w:tcPr>
            <w:tcW w:w="2700" w:type="dxa"/>
            <w:vAlign w:val="bottom"/>
          </w:tcPr>
          <w:p>
            <w:pPr>
              <w:ind w:left="20"/>
              <w:spacing w:after="0" w:line="265" w:lineRule="exact"/>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24"/>
                <w:szCs w:val="24"/>
                <w:color w:val="auto"/>
                <w:vertAlign w:val="superscript"/>
              </w:rPr>
              <w:t>(e)</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1,196</w:t>
            </w:r>
          </w:p>
        </w:tc>
        <w:tc>
          <w:tcPr>
            <w:tcW w:w="2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1,178</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24"/>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Adjusted EBITDA and margin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21,744</w:t>
            </w: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16,386</w:t>
            </w: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54,652</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46,698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-1840865</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-1532890</wp:posOffset>
            </wp:positionV>
            <wp:extent cx="71323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-1216025</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-907415</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represents foreign exchange and Tax Receivable Agreement (“TRA”) liability remeasurement gains and losses.</w:t>
      </w:r>
    </w:p>
    <w:p>
      <w:pPr>
        <w:spacing w:after="0" w:line="23" w:lineRule="exact"/>
        <w:rPr>
          <w:rFonts w:ascii="Arial" w:cs="Arial" w:eastAsia="Arial" w:hAnsi="Arial"/>
          <w:sz w:val="18"/>
          <w:szCs w:val="18"/>
          <w:color w:val="auto"/>
        </w:rPr>
      </w:pPr>
    </w:p>
    <w:p>
      <w:pPr>
        <w:ind w:left="520" w:right="68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ind w:left="520" w:right="36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 and integration expenses primarily represent legal, accounting, and consulting expenses and fair value adjustments for contingent consideration related to our acquisitions. Restructuring expenses relate to our restructuring plans announced in the first and third quarters of 2023 and impairment and restructuring charges related to office relocations.</w:t>
      </w:r>
    </w:p>
    <w:p>
      <w:pPr>
        <w:ind w:left="520" w:right="14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impairment represents a non-cash, pretax, goodwill impairment charge of $287.4 million recorded during the three months ended September 30, 2023. We experienced a decline in our market capitalization as a result of a sustained decrease in our stock price, which represented a triggering event requiring our management to perform a quantitative goodwill impairment test as of September 30, 2023. As a result of the impairment test, we determined that the fair value of our single reporting unit was lower than its carrying value and, accordingly, recorded this impairment charge.</w:t>
      </w:r>
    </w:p>
    <w:p>
      <w:pPr>
        <w:ind w:left="520" w:right="120" w:hanging="512"/>
        <w:spacing w:after="0" w:line="26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Non-recurring items represent expenses driven by events that are typically by nature one-time, non-operational, and unrelated to our core operations. These expenses are comprised primarily of professional fees related to financing, capital structure changes, and other non-recurring set-up costs related to public company operations, as well as professional fees incurred in the third quarter of 2023 related to the filing delay and restatement of our previously issued financial statements, filed concurrently with our Quarterly Report on Form 10-Q for the second quarter of 2023. In addition, these expenses include sales tax accrual charges recorded during the three and nine months ended September 30, 2023, of $0.3 million and $0.9 million, respectively and during the three and nine months ended September 30, 2022, of $0.6 million and $1.9 million, respectively, after we became aware of a state sales tax liability for sales taxes that we may have been required to collect from customers in 2023 and in certain previous years, which amounts include assumed maximum penalties and interest.</w:t>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Dollar Retention Rate (“NDR”)</w:t>
      </w:r>
    </w:p>
    <w:p>
      <w:pPr>
        <w:spacing w:after="0" w:line="11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8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Unfavorable macroeconomic challenges are elongating deal cycles as customers implement more stringent approval processes or delay spending decisions, which impacts revenue from our existing customers, including upsells. We have also experienced a significant number of deferred purchasing decisions and heightened customer churn, particularly in the life science and provider markets. As a result, we expect our NDR rates for 2023 to be reduced relative to year end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Remaining Performance Obligations (“cRPO”)</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w:t>
      </w:r>
    </w:p>
    <w:p>
      <w:pPr>
        <w:spacing w:after="0" w:line="83"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cRPO will continue to be impacted by macroeconomic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and provider markets. We expect this trend to reduce our revenue growth rate for 2023 and 2024 relative to 2022.</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cRPO as of September 30, 2023 and December 31, 2022:</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70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170,782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183,527</w:t>
            </w:r>
          </w:p>
        </w:tc>
        <w:tc>
          <w:tcPr>
            <w:tcW w:w="100" w:type="dxa"/>
            <w:vAlign w:val="bottom"/>
            <w:shd w:val="clear" w:color="auto" w:fill="CFF0FC"/>
          </w:tcPr>
          <w:p>
            <w:pPr>
              <w:spacing w:after="0"/>
              <w:rPr>
                <w:sz w:val="20"/>
                <w:szCs w:val="20"/>
                <w:color w:val="auto"/>
              </w:rPr>
            </w:pPr>
          </w:p>
        </w:tc>
      </w:tr>
      <w:tr>
        <w:trPr>
          <w:trHeight w:val="236"/>
        </w:trPr>
        <w:tc>
          <w:tcPr>
            <w:tcW w:w="7000" w:type="dxa"/>
            <w:vAlign w:val="bottom"/>
          </w:tcPr>
          <w:p>
            <w:pPr>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93,464</w:t>
            </w:r>
          </w:p>
        </w:tc>
        <w:tc>
          <w:tcPr>
            <w:tcW w:w="100" w:type="dxa"/>
            <w:vAlign w:val="bottom"/>
          </w:tcPr>
          <w:p>
            <w:pPr>
              <w:spacing w:after="0"/>
              <w:rPr>
                <w:sz w:val="20"/>
                <w:szCs w:val="20"/>
                <w:color w:val="auto"/>
              </w:rPr>
            </w:pPr>
          </w:p>
        </w:tc>
      </w:tr>
      <w:tr>
        <w:trPr>
          <w:trHeight w:val="282"/>
        </w:trPr>
        <w:tc>
          <w:tcPr>
            <w:tcW w:w="70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253,244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-24765</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596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Acquisitions</w:t>
      </w:r>
    </w:p>
    <w:p>
      <w:pPr>
        <w:spacing w:after="0" w:line="121"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 xml:space="preserve">We seek to enhance our platform, data and business through internal development and through acquisitions of and investments in businesses that broaden and strengthen our platform. Acquisitions can result in transaction costs, amortization expenses and other adjustments as purchase accounting requires that all assets acquired and liabilities assumed be recorded at fair value on the acquisition date. Refer to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in the notes to our condensed consolidated financial statements included elsewhere in this Form 10-Q for further details.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For the nine months ended September 30, 2023, we derived approximately 97%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recognized at the time the services are performed.</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Because of the macroeconomic challenges described above, we expect a reduction in our revenue growth rate for 2023 and 2024 relative to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w:t>
      </w:r>
    </w:p>
    <w:p>
      <w:pPr>
        <w:spacing w:after="0" w:line="52"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62"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At the beginning of 2023, additional third-party data sources were rolled out to our customers, which resulted in, and is expected to continue to result in, an increase of cost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83"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While we expect our overall gross profit to increase for 2023 due to anticipated revenue growth, our gross margin is expected to modestly decrease due to the expansion of data sources, as described above, and costs associated with the acquisition of Populi.</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 the first and third quarters of 2023. Rising inflation, and in particular increases to the cost of labor due to cost-of-living increases, have negatively impacted our operating expenses, and we expect this to continue. However, inflation has not materially affected our business to date.</w:t>
      </w:r>
    </w:p>
    <w:p>
      <w:pPr>
        <w:spacing w:after="0" w:line="83"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personnel costs such as salaries, bonuses, sales commissions,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hire additional sales and marketing personnel, enhance our digital marketing infrastructure, and invest in marketing programs targeting our major vertical markets.</w:t>
      </w:r>
    </w:p>
    <w:p>
      <w:pPr>
        <w:spacing w:after="0" w:line="83"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expenses primarily consist of personnel costs such as salaries, bonuses,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artificial intelligence to drive higher quality data and deeper insights.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ind w:right="60" w:firstLine="509"/>
        <w:spacing w:after="0" w:line="27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primarily consist of personnel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w:t>
      </w:r>
    </w:p>
    <w:p>
      <w:pPr>
        <w:spacing w:after="0" w:line="73" w:lineRule="exact"/>
        <w:rPr>
          <w:sz w:val="20"/>
          <w:szCs w:val="20"/>
          <w:color w:val="auto"/>
        </w:rPr>
      </w:pPr>
    </w:p>
    <w:p>
      <w:pPr>
        <w:ind w:right="420" w:firstLine="509"/>
        <w:spacing w:after="0" w:line="311"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expenses consist primarily of amortization of intangible assets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p>
    <w:p>
      <w:pPr>
        <w:spacing w:after="0" w:line="40"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i w:val="1"/>
          <w:iCs w:val="1"/>
          <w:color w:val="auto"/>
        </w:rPr>
        <w:t>Transaction, integration, and restructuring expenses</w:t>
      </w:r>
      <w:r>
        <w:rPr>
          <w:rFonts w:ascii="Arial" w:cs="Arial" w:eastAsia="Arial" w:hAnsi="Arial"/>
          <w:sz w:val="17"/>
          <w:szCs w:val="17"/>
          <w:color w:val="auto"/>
        </w:rPr>
        <w:t>. Transaction, integration, and restructuring expenses are costs directly associated with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and integration activities we have undertaken, primarily accounting and legal due diligence, and consulting and advisory fees, as well as expenses related to our restructuring plans announced in the first and third quarters of 2023 and our office relocations.</w:t>
      </w:r>
    </w:p>
    <w:p>
      <w:pPr>
        <w:spacing w:after="0" w:line="5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i w:val="1"/>
          <w:iCs w:val="1"/>
          <w:color w:val="auto"/>
        </w:rPr>
        <w:t>Goodwill impairment</w:t>
      </w:r>
      <w:r>
        <w:rPr>
          <w:rFonts w:ascii="Arial" w:cs="Arial" w:eastAsia="Arial" w:hAnsi="Arial"/>
          <w:sz w:val="18"/>
          <w:szCs w:val="18"/>
          <w:color w:val="auto"/>
        </w:rPr>
        <w:t>. Goodwill represents the excess of consideration transferred over the fair value of tangible and identifiable intangible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the liabilities assumed in a business combination. Substantially all of our goodwill was recognized in the purchase price allocations when our Company was acquired in 2019 by advent,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spacing w:after="0" w:line="83"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The Company performed interim goodwill impairment tests during the third quarter of 2023 and concluded that the carrying value of the single reporting unit exceeded its fair value and recorded a $287.4 million non-cash goodwill impairment charge for the three months ended September 30,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consists primarily of interest expense, interest income, and other expense, net.</w:t>
      </w:r>
    </w:p>
    <w:p>
      <w:pPr>
        <w:spacing w:after="0" w:line="11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consists of interest expense on our debt obligations and the amortization of debt discounts and debt issuance costs. We expect,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recently rising interest rates, that interest expense will increase for 2023 over prior periods for the unhedged portion of our outstanding debt while interest rate swap agreements will keep the hedged portion of outstanding debt fixed.</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consists of earnings resulting from our short-term investments.</w:t>
      </w:r>
    </w:p>
    <w:p>
      <w:pPr>
        <w:spacing w:after="0" w:line="11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consists primarily of the revaluation of tax receivable agreement liabilities and realized and unrealized gains and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condensed consolidated statements of operations for the periods presented:</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right"/>
              <w:ind w:right="261"/>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6"/>
                <w:szCs w:val="16"/>
                <w:color w:val="auto"/>
              </w:rPr>
            </w:pPr>
          </w:p>
        </w:tc>
        <w:tc>
          <w:tcPr>
            <w:tcW w:w="240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69"/>
        </w:trPr>
        <w:tc>
          <w:tcPr>
            <w:tcW w:w="48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48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(As Restated)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Pr>
          <w:p>
            <w:pPr>
              <w:spacing w:after="0"/>
              <w:rPr>
                <w:sz w:val="14"/>
                <w:szCs w:val="14"/>
                <w:color w:val="auto"/>
              </w:rPr>
            </w:pPr>
          </w:p>
        </w:tc>
      </w:tr>
      <w:tr>
        <w:trPr>
          <w:trHeight w:val="24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185,483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100" w:type="dxa"/>
            <w:vAlign w:val="bottom"/>
            <w:shd w:val="clear" w:color="auto" w:fill="CFF0FC"/>
          </w:tcPr>
          <w:p>
            <w:pPr>
              <w:spacing w:after="0"/>
              <w:rPr>
                <w:sz w:val="21"/>
                <w:szCs w:val="21"/>
                <w:color w:val="auto"/>
              </w:rPr>
            </w:pPr>
          </w:p>
        </w:tc>
      </w:tr>
      <w:tr>
        <w:trPr>
          <w:trHeight w:val="236"/>
        </w:trPr>
        <w:tc>
          <w:tcPr>
            <w:tcW w:w="48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revenue exclusive of amortization</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shd w:val="clear" w:color="auto" w:fill="CFF0FC"/>
          </w:tcPr>
          <w:p>
            <w:pPr>
              <w:spacing w:after="0"/>
              <w:rPr>
                <w:sz w:val="21"/>
                <w:szCs w:val="21"/>
                <w:color w:val="auto"/>
              </w:rPr>
            </w:pP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21"/>
                <w:szCs w:val="21"/>
                <w:color w:val="auto"/>
              </w:rPr>
            </w:pPr>
          </w:p>
        </w:tc>
      </w:tr>
      <w:tr>
        <w:trPr>
          <w:trHeight w:val="236"/>
        </w:trPr>
        <w:tc>
          <w:tcPr>
            <w:tcW w:w="48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9,724</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150,514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129,224</w:t>
            </w:r>
          </w:p>
        </w:tc>
        <w:tc>
          <w:tcPr>
            <w:tcW w:w="100" w:type="dxa"/>
            <w:vAlign w:val="bottom"/>
          </w:tcPr>
          <w:p>
            <w:pPr>
              <w:spacing w:after="0"/>
              <w:rPr>
                <w:sz w:val="19"/>
                <w:szCs w:val="19"/>
                <w:color w:val="auto"/>
              </w:rPr>
            </w:pPr>
          </w:p>
        </w:tc>
      </w:tr>
      <w:tr>
        <w:trPr>
          <w:trHeight w:val="24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8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22,804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21,184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70,929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66,062</w:t>
            </w:r>
          </w:p>
        </w:tc>
        <w:tc>
          <w:tcPr>
            <w:tcW w:w="100" w:type="dxa"/>
            <w:vAlign w:val="bottom"/>
          </w:tcPr>
          <w:p>
            <w:pPr>
              <w:spacing w:after="0"/>
              <w:rPr>
                <w:sz w:val="20"/>
                <w:szCs w:val="20"/>
                <w:color w:val="auto"/>
              </w:rPr>
            </w:pPr>
          </w:p>
        </w:tc>
      </w:tr>
      <w:tr>
        <w:trPr>
          <w:trHeight w:val="249"/>
        </w:trPr>
        <w:tc>
          <w:tcPr>
            <w:tcW w:w="4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24,761</w:t>
            </w:r>
          </w:p>
        </w:tc>
        <w:tc>
          <w:tcPr>
            <w:tcW w:w="100" w:type="dxa"/>
            <w:vAlign w:val="bottom"/>
            <w:shd w:val="clear" w:color="auto" w:fill="CFF0FC"/>
          </w:tcPr>
          <w:p>
            <w:pPr>
              <w:spacing w:after="0"/>
              <w:rPr>
                <w:sz w:val="21"/>
                <w:szCs w:val="21"/>
                <w:color w:val="auto"/>
              </w:rPr>
            </w:pPr>
          </w:p>
        </w:tc>
      </w:tr>
      <w:tr>
        <w:trPr>
          <w:trHeight w:val="236"/>
        </w:trPr>
        <w:tc>
          <w:tcPr>
            <w:tcW w:w="48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42,294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35,440</w:t>
            </w:r>
          </w:p>
        </w:tc>
        <w:tc>
          <w:tcPr>
            <w:tcW w:w="100" w:type="dxa"/>
            <w:vAlign w:val="bottom"/>
          </w:tcPr>
          <w:p>
            <w:pPr>
              <w:spacing w:after="0"/>
              <w:rPr>
                <w:sz w:val="20"/>
                <w:szCs w:val="20"/>
                <w:color w:val="auto"/>
              </w:rPr>
            </w:pPr>
          </w:p>
        </w:tc>
      </w:tr>
      <w:tr>
        <w:trPr>
          <w:trHeight w:val="249"/>
        </w:trPr>
        <w:tc>
          <w:tcPr>
            <w:tcW w:w="4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30,105</w:t>
            </w:r>
          </w:p>
        </w:tc>
        <w:tc>
          <w:tcPr>
            <w:tcW w:w="100" w:type="dxa"/>
            <w:vAlign w:val="bottom"/>
            <w:shd w:val="clear" w:color="auto" w:fill="CFF0FC"/>
          </w:tcPr>
          <w:p>
            <w:pPr>
              <w:spacing w:after="0"/>
              <w:rPr>
                <w:sz w:val="21"/>
                <w:szCs w:val="21"/>
                <w:color w:val="auto"/>
              </w:rPr>
            </w:pPr>
          </w:p>
        </w:tc>
      </w:tr>
      <w:tr>
        <w:trPr>
          <w:trHeight w:val="236"/>
        </w:trPr>
        <w:tc>
          <w:tcPr>
            <w:tcW w:w="4880" w:type="dxa"/>
            <w:vAlign w:val="bottom"/>
          </w:tcPr>
          <w:p>
            <w:pPr>
              <w:ind w:left="180"/>
              <w:spacing w:after="0"/>
              <w:rPr>
                <w:sz w:val="20"/>
                <w:szCs w:val="20"/>
                <w:color w:val="auto"/>
              </w:rPr>
            </w:pPr>
            <w:r>
              <w:rPr>
                <w:rFonts w:ascii="Arial" w:cs="Arial" w:eastAsia="Arial" w:hAnsi="Arial"/>
                <w:sz w:val="18"/>
                <w:szCs w:val="18"/>
                <w:color w:val="auto"/>
              </w:rPr>
              <w:t>Transaction, integration, and restructuring expenses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0"/>
                <w:szCs w:val="20"/>
                <w:color w:val="auto"/>
              </w:rPr>
            </w:pPr>
          </w:p>
        </w:tc>
      </w:tr>
      <w:tr>
        <w:trPr>
          <w:trHeight w:val="249"/>
        </w:trPr>
        <w:tc>
          <w:tcPr>
            <w:tcW w:w="4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488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348,808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57,720</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470,234</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162,730</w:t>
            </w:r>
          </w:p>
        </w:tc>
        <w:tc>
          <w:tcPr>
            <w:tcW w:w="100" w:type="dxa"/>
            <w:vAlign w:val="bottom"/>
            <w:tcBorders>
              <w:top w:val="single" w:sz="8" w:color="CFF0FC"/>
            </w:tcBorders>
          </w:tcPr>
          <w:p>
            <w:pPr>
              <w:spacing w:after="0"/>
              <w:rPr>
                <w:sz w:val="20"/>
                <w:szCs w:val="20"/>
                <w:color w:val="auto"/>
              </w:rPr>
            </w:pPr>
          </w:p>
        </w:tc>
      </w:tr>
      <w:tr>
        <w:trPr>
          <w:trHeight w:val="236"/>
        </w:trPr>
        <w:tc>
          <w:tcPr>
            <w:tcW w:w="4880" w:type="dxa"/>
            <w:vAlign w:val="bottom"/>
            <w:shd w:val="clear" w:color="auto" w:fill="CFF0FC"/>
          </w:tcPr>
          <w:p>
            <w:pPr>
              <w:ind w:left="54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(295,378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(319,720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29,156</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23,727</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1"/>
                <w:szCs w:val="21"/>
                <w:color w:val="auto"/>
              </w:rPr>
            </w:pPr>
          </w:p>
        </w:tc>
      </w:tr>
      <w:tr>
        <w:trPr>
          <w:trHeight w:val="236"/>
        </w:trPr>
        <w:tc>
          <w:tcPr>
            <w:tcW w:w="4880" w:type="dxa"/>
            <w:vAlign w:val="bottom"/>
            <w:shd w:val="clear" w:color="auto" w:fill="CFF0FC"/>
          </w:tcPr>
          <w:p>
            <w:pPr>
              <w:ind w:left="540"/>
              <w:spacing w:after="0"/>
              <w:rPr>
                <w:sz w:val="20"/>
                <w:szCs w:val="20"/>
                <w:color w:val="auto"/>
              </w:rPr>
            </w:pPr>
            <w:r>
              <w:rPr>
                <w:rFonts w:ascii="Arial" w:cs="Arial" w:eastAsia="Arial" w:hAnsi="Arial"/>
                <w:sz w:val="18"/>
                <w:szCs w:val="18"/>
                <w:color w:val="auto"/>
              </w:rPr>
              <w:t>Net loss before income taxes</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(266,222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(295,993</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880" w:type="dxa"/>
            <w:vAlign w:val="bottom"/>
          </w:tcPr>
          <w:p>
            <w:pPr>
              <w:ind w:left="360"/>
              <w:spacing w:after="0"/>
              <w:rPr>
                <w:sz w:val="20"/>
                <w:szCs w:val="20"/>
                <w:color w:val="auto"/>
              </w:rPr>
            </w:pPr>
            <w:r>
              <w:rPr>
                <w:rFonts w:ascii="Arial" w:cs="Arial" w:eastAsia="Arial" w:hAnsi="Arial"/>
                <w:sz w:val="18"/>
                <w:szCs w:val="18"/>
                <w:color w:val="auto"/>
              </w:rPr>
              <w:t>Benefit from income taxes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19,728</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r>
      <w:tr>
        <w:trPr>
          <w:trHeight w:val="236"/>
        </w:trPr>
        <w:tc>
          <w:tcPr>
            <w:tcW w:w="488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(248,688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(276,265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tcPr>
          <w:p>
            <w:pPr>
              <w:spacing w:after="0"/>
              <w:rPr>
                <w:sz w:val="19"/>
                <w:szCs w:val="19"/>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(77,162 )</w:t>
            </w:r>
          </w:p>
        </w:tc>
        <w:tc>
          <w:tcPr>
            <w:tcW w:w="12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(3,865 )</w:t>
            </w:r>
          </w:p>
        </w:tc>
        <w:tc>
          <w:tcPr>
            <w:tcW w:w="12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(84,110 )</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(12,979 )</w:t>
            </w:r>
          </w:p>
        </w:tc>
      </w:tr>
      <w:tr>
        <w:trPr>
          <w:trHeight w:val="282"/>
        </w:trPr>
        <w:tc>
          <w:tcPr>
            <w:tcW w:w="488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Net loss attributable to Definitive Healthcare Corp.</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(171,526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(192,155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-2550795</wp:posOffset>
            </wp:positionV>
            <wp:extent cx="68580" cy="162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-2550795</wp:posOffset>
            </wp:positionV>
            <wp:extent cx="68580" cy="162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-2550795</wp:posOffset>
            </wp:positionV>
            <wp:extent cx="59690" cy="162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-2550795</wp:posOffset>
            </wp:positionV>
            <wp:extent cx="59690"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-1309370</wp:posOffset>
            </wp:positionV>
            <wp:extent cx="685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-1309370</wp:posOffset>
            </wp:positionV>
            <wp:extent cx="6858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-1309370</wp:posOffset>
            </wp:positionV>
            <wp:extent cx="5969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-1309370</wp:posOffset>
            </wp:positionV>
            <wp:extent cx="5969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-350520</wp:posOffset>
            </wp:positionV>
            <wp:extent cx="6858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-350520</wp:posOffset>
            </wp:positionV>
            <wp:extent cx="68580" cy="1714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-350520</wp:posOffset>
            </wp:positionV>
            <wp:extent cx="59690"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-350520</wp:posOffset>
            </wp:positionV>
            <wp:extent cx="5969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59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688" w:right="8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right="180" w:firstLine="509"/>
        <w:spacing w:after="0" w:line="275" w:lineRule="auto"/>
        <w:rPr>
          <w:sz w:val="20"/>
          <w:szCs w:val="20"/>
          <w:color w:val="auto"/>
        </w:rPr>
      </w:pPr>
      <w:r>
        <w:rPr>
          <w:rFonts w:ascii="Arial" w:cs="Arial" w:eastAsia="Arial" w:hAnsi="Arial"/>
          <w:sz w:val="17"/>
          <w:szCs w:val="17"/>
          <w:color w:val="auto"/>
        </w:rPr>
        <w:t>Revenue increased $7.9 million, or 14%, in the three months ended September 30, 2023 compared with the same period in the prior year, driven primarily by higher subscription revenue of $6.4 million and higher professional service revenue of $1.5 million. Increases were primarily driven by the organic addition of new customers in the amount of $8.7 million and by the acquisition of Populi in the amount of $2.0 million, partially offset by a $2.8 million net reduction in revenue from customers that existed as of the end of the comparable prior-year period, which was driven primarily by heightened churn during the current period resulting from a challenging macroeconomic environment.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Cost of revenue increased $2.2 million, or 22%, in the three months ended September 30, 2023 compared with the same period in the prior year. This increase was almost entirely driven by a $2.1 million increase in hosting fees and data subscription costs as a result of expanded customer usage of our platform, the rollout of additional third-party data sources to our customers at the beginning of 2023, and the Populi acquisition.</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 xml:space="preserve">Operating expenses, which include a goodwill impairment charge of $287.4 million during the three months ended September 30, 2023 (refer to Note 7.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further details), increased $291.1 million, or 504%, during the three months ended September 30, 2023 compared with the same period in the prior year. While inflation has generally contributed to rising vendor and labor costs, we believe the remainder of the increase to operating expenses as compared to the prior-year period was primarily due to:</w:t>
      </w:r>
    </w:p>
    <w:p>
      <w:pPr>
        <w:spacing w:after="0" w:line="77" w:lineRule="exact"/>
        <w:rPr>
          <w:sz w:val="20"/>
          <w:szCs w:val="20"/>
          <w:color w:val="auto"/>
        </w:rPr>
      </w:pPr>
    </w:p>
    <w:p>
      <w:pPr>
        <w:ind w:left="1020" w:right="120" w:hanging="504"/>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sales and marketing expense of $1.6 million for the three months ended September 30, 2023, due primarily to increased personnel costs resulting from stock-based compensation expense from new equity grants, key role transitions over the past year, and higher amortization of contract commission costs;</w:t>
      </w:r>
    </w:p>
    <w:p>
      <w:pPr>
        <w:spacing w:after="0" w:line="74" w:lineRule="exact"/>
        <w:rPr>
          <w:rFonts w:ascii="Arial" w:cs="Arial" w:eastAsia="Arial" w:hAnsi="Arial"/>
          <w:sz w:val="18"/>
          <w:szCs w:val="18"/>
          <w:color w:val="auto"/>
        </w:rPr>
      </w:pPr>
    </w:p>
    <w:p>
      <w:pPr>
        <w:ind w:left="1020" w:right="30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product development expense of $1.6 million for the three months ended September 30, 2023, due primarily to increases in stock-based compensation expense from new equity grants and increased personnel costs;</w:t>
      </w:r>
    </w:p>
    <w:p>
      <w:pPr>
        <w:spacing w:after="0" w:line="61" w:lineRule="exact"/>
        <w:rPr>
          <w:rFonts w:ascii="Arial" w:cs="Arial" w:eastAsia="Arial" w:hAnsi="Arial"/>
          <w:sz w:val="18"/>
          <w:szCs w:val="18"/>
          <w:color w:val="auto"/>
        </w:rPr>
      </w:pPr>
    </w:p>
    <w:p>
      <w:pPr>
        <w:jc w:val="both"/>
        <w:ind w:left="1020" w:right="100" w:hanging="504"/>
        <w:spacing w:after="0" w:line="28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$0.2 million for the three months ended September 30, 2023, due primarily to increases in personnel costs, including stock-based compensation expense from new equity grants and key role transitions over the past year, partially offset by savings from franchise and other taxes, new insurance policies, and a reduction of bad debt expense; and</w:t>
      </w:r>
    </w:p>
    <w:p>
      <w:pPr>
        <w:spacing w:after="0" w:line="56" w:lineRule="exact"/>
        <w:rPr>
          <w:rFonts w:ascii="Arial" w:cs="Arial" w:eastAsia="Arial" w:hAnsi="Arial"/>
          <w:sz w:val="17"/>
          <w:szCs w:val="17"/>
          <w:color w:val="auto"/>
        </w:rPr>
      </w:pPr>
    </w:p>
    <w:p>
      <w:pPr>
        <w:ind w:left="1020" w:right="80" w:hanging="504"/>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transaction, integration and restructuring expenses of $0.6 million for the three months ended September 30, 2023, due primarily to costs associated with restructuring plans announced in the first and third quarters of 2023 and the acquisition of Populi. These expenses were partially offset by savings resulting from a go-to-market integration project conducted in the third quarter of 2022 that did not repeat in 2023.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Other Income, Net</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Total other income, net was $29.2 million for the three months ended September 30, 2023 compared to total other income, net of $3.2 million, as restated, in the same period in the prior year. The overall increase was primarily attributed to a $24.0 million increase in other income, net, primarily due to a $24.4 million TRA liability remeasurement gain driven by future realizability of tax attributes payable under the TRA and the impact of the goodwill impairment and partially offset by a $0.5 million foreign currency translation loss, along with a $2.9 million increase in interest income earned from our short-term investments. These changes that contributed to the increase were partially offset by a $0.8 million increase in interest expense due to rising interest rates from our debt obligations.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Benefit from Income Taxes</w:t>
      </w:r>
    </w:p>
    <w:p>
      <w:pPr>
        <w:spacing w:after="0" w:line="121"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Benefit from income taxes was $17.5 million for the three months ended September 30, 2023 compared to less than $0.1 million, as restated, in the same period in the prior year. The overall increase was primarily attributed to the impairment of goodwill during the current period, resulting in a reduction of indefinite-lived deferred tax liabilities.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increased $23.4 million, or 14%, in the nine months ended September 30, 2023 compared with the same period in the prior year, driven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primarily by higher subscription revenue of $21.2 million and higher professional service revenue of $2.2 million. Increases were primarily driven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organic addition of new customers in the amount of $18.0 million, the acquisition of Populi in the third quarter of 2023 in the amount of $2.0 million,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$1.9 million net increase in revenue from customers that existed as of the end of the prior year period, and the acquisition of Analytical Wizards in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of 2022 in the amount of $1.6 million.</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Cost of revenue increased $2.1 million, or 7%, for the nine months ended September 30, 2023 compared with the same period in the prior year. This increase was driven primarily by a $5.8 million increase in hosting fees and data subscription costs as a result of expanded customer usage of our platform, the rollout of additional third-party data sources to our customers at the beginning of 2023, and the Populi acquisition, along with an increase of $0.7 million in employee costs due to the expansion of customer support and professional service roles, primarily resulting from the acquisition of Analytical Wizards in February 2022. These increases were partially offset by a $4.4 million reduction in amortization, primarily due to a substantial acquired data asset reaching the end of its economic life in July 2022.</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Operating expenses, which include a goodwill impairment charge of $287.4 million during the nine months ended September 30, 2023 (refer to Note</w:t>
      </w:r>
    </w:p>
    <w:p>
      <w:pPr>
        <w:spacing w:after="0" w:line="46" w:lineRule="exact"/>
        <w:rPr>
          <w:sz w:val="20"/>
          <w:szCs w:val="20"/>
          <w:color w:val="auto"/>
        </w:rPr>
      </w:pPr>
    </w:p>
    <w:p>
      <w:pPr>
        <w:ind w:firstLine="8"/>
        <w:spacing w:after="0" w:line="255"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for further details), increased $307.5 million, or 189%, during the nine months ended September 30, 2023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the prior year. While inflation has generally contributed to rising vendor and labor costs, we believe the remainder of the increase to operating expenses as compared to the prior-year period was primarily due to:</w:t>
      </w:r>
    </w:p>
    <w:p>
      <w:pPr>
        <w:spacing w:after="0" w:line="80" w:lineRule="exact"/>
        <w:rPr>
          <w:rFonts w:ascii="Arial" w:cs="Arial" w:eastAsia="Arial" w:hAnsi="Arial"/>
          <w:sz w:val="18"/>
          <w:szCs w:val="18"/>
          <w:color w:val="auto"/>
        </w:rPr>
      </w:pPr>
    </w:p>
    <w:p>
      <w:pPr>
        <w:ind w:left="1020" w:right="200" w:hanging="504"/>
        <w:spacing w:after="0" w:line="26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increase in sales and marketing expense of $4.9 million for the nine months ended September 30, 2023, due primarily to increased personnel costs resulting from additional hiring and key role transitions over the past year, and higher amortization of contract commission costs;</w:t>
      </w:r>
    </w:p>
    <w:p>
      <w:pPr>
        <w:spacing w:after="0" w:line="74" w:lineRule="exact"/>
        <w:rPr>
          <w:rFonts w:ascii="Arial" w:cs="Arial" w:eastAsia="Arial" w:hAnsi="Arial"/>
          <w:sz w:val="18"/>
          <w:szCs w:val="18"/>
          <w:color w:val="auto"/>
        </w:rPr>
      </w:pPr>
    </w:p>
    <w:p>
      <w:pPr>
        <w:ind w:left="1020" w:right="360" w:hanging="504"/>
        <w:spacing w:after="0" w:line="277"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increase in product development expense of $6.1 million for the nine months ended September 30, 2023, due primarily to increases in stock-based compensation expense from new equity grants and key role transitions over the past year;</w:t>
      </w:r>
    </w:p>
    <w:p>
      <w:pPr>
        <w:spacing w:after="0" w:line="61" w:lineRule="exact"/>
        <w:rPr>
          <w:rFonts w:ascii="Arial" w:cs="Arial" w:eastAsia="Arial" w:hAnsi="Arial"/>
          <w:sz w:val="18"/>
          <w:szCs w:val="18"/>
          <w:color w:val="auto"/>
        </w:rPr>
      </w:pPr>
    </w:p>
    <w:p>
      <w:pPr>
        <w:jc w:val="both"/>
        <w:ind w:left="1020" w:right="140" w:hanging="504"/>
        <w:spacing w:after="0" w:line="26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$6.9 million for the nine months ended September 30, 2023, due primarily to increases in personnel costs, including stock-based compensation expense from new equity grants and key role transitions over the past year, partially offset by savings from franchise and other taxes and new insurance policies; and</w:t>
      </w:r>
    </w:p>
    <w:p>
      <w:pPr>
        <w:spacing w:after="0" w:line="74" w:lineRule="exact"/>
        <w:rPr>
          <w:rFonts w:ascii="Arial" w:cs="Arial" w:eastAsia="Arial" w:hAnsi="Arial"/>
          <w:sz w:val="18"/>
          <w:szCs w:val="18"/>
          <w:color w:val="auto"/>
        </w:rPr>
      </w:pPr>
    </w:p>
    <w:p>
      <w:pPr>
        <w:ind w:left="1020" w:right="80" w:hanging="504"/>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increase in transaction, integration and restructuring expenses of $3.3 million for the nine months ended September 30, 2023, due primarily to costs associated with restructuring plans announced in the first and third quarters of 2023 and the acquisition of Populi. These expenses were partially offset by savings resulting from a go-to-market integration project conducted in the third quarter of 2022 that did not repeat in 2023.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Other Income, Net</w:t>
      </w:r>
    </w:p>
    <w:p>
      <w:pPr>
        <w:spacing w:after="0" w:line="12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Total other income, net was $23.7 million for the nine months ended September 30, 2023 compared to total other income, net of $2.8 million, as restated, in the same period in the prior year. The overall increase was primarily attributed to a $15.4 million increase in other income, net, primarily due to a $16.4 million TRA liability remeasurement gain driven by future realizability of tax attributes payable under the TRA and the impact of the goodwill impairment and partially offset by a $1.0 million foreign currency translation loss, along with a $9.0 million increase in interest income earned from our short-term investments. The changes that contributed to the increase were partially offset by a $3.5 million increase in interest expense due to rising interest rates from our debt obligations.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Benefit from Income Taxes</w:t>
      </w:r>
    </w:p>
    <w:p>
      <w:pPr>
        <w:spacing w:after="0" w:line="121"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Benefit from income taxes was $19.7 million for the nine months ended September 30, 2023 compared to $0.7 million, as restated, in the same period in the prior year. The overall increase was primarily attributed to the impairment of goodwill during the current period, resulting in a reduction of indefinite-lived deferred tax liabilities.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 xml:space="preserve">As of September 30, 2023, we had $77.5 million of cash and cash equivalents, $229.6 million of short-term investments, and $75.0 million available under our revolving credit facility. Our principal sources of liquidity are cash and cash equivalents and short-term investments on hand, primarily from our IPO and follow-on offerings, as well as the cash flows we generate from operations. Our principal uses of liquidity have been and are expected to continue to be primarily for investment in long-term growth of the business through capital expenditures and acquisitions, including the acquisition of Populi in July 2023, as well as debt services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for further details) and distributions to members of Definitive OpCo.</w:t>
      </w:r>
    </w:p>
    <w:p>
      <w:pPr>
        <w:spacing w:after="0" w:line="5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All of our business is conducted through Definitive OpCo and its consolidated subsidiaries and affiliates, and the financial results are included in the condensed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6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7"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Additionally, our liquidity and our ability to meet our obligations and fund our capital requirements are dependent on our future financial performance, which is subject to general economic, financial, and other factors that are beyond our control. See “Risk Factors” in our 2022 Form 10-K/A and the factors described elsewhere in this “Management’s Discussion and Analysis of Financial Condition and Results of Operations.” Macroeconomic conditions, including rising inflation and a potential recession, could increase our anticipated funding requirements. In the event we need to seek additional funding, rising interest rates, stock market volatility, or other unfavorable macroeconomic conditions may also prevent us from obtaining additional financing on favorable terms or at all. Moreover, the recent closures of Silicon Valley Bank and Signature Bank have resulted in broader financial institution liquidity risk and concerns.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6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9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36,481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39,799</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(86,189 )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(181,017 )</w:t>
            </w:r>
          </w:p>
        </w:tc>
      </w:tr>
      <w:tr>
        <w:trPr>
          <w:trHeight w:val="236"/>
        </w:trPr>
        <w:tc>
          <w:tcPr>
            <w:tcW w:w="69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0"/>
                <w:szCs w:val="20"/>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(19,522 )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(17,239 )</w:t>
            </w:r>
          </w:p>
        </w:tc>
      </w:tr>
      <w:tr>
        <w:trPr>
          <w:trHeight w:val="282"/>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cash and cash equivalents (excluding effect of exchange rate changes)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(69,230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Net cash provided by operating activities was $36.5 million during the nine months ended September 30, 2023, primarily as a result of a net loss of $276.3 million, offset by non-cash charges of $327.9 million. The non-cash charges were primarily comprised of a $287.4 million goodwill impairment charge recorded during the third quarter of 2023, amortization of intangible assets of $37.4 million, equity compensation costs of $35.5 million, and a gain on remeasurement of the TRA of $25.0 million. The net decrease in operating assets and liabilities of $15.2 million for the nine months ended September 30, 2023 was primarily driven by a decrease in deferred revenue of $14.1 million due to the timing of billings and cash received in advance of revenue recognition for subscription services, an increase in deferred contract costs of $13.0 million, an increase in prepaid expenses and other assets of $5.8 million, and cash outflows resulting from lower accounts payable, accrued expenses, and other current liabilities, collectively, of $1.6 million. These factors were partially offset by a decrease in accounts receivable of $19.4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Cash used in investing activities during the nine months ended September 30, 2023 was $86.2 million, driven primarily by $213.6 million in purchases of short-term investments and $45.0 million in cash paid for the acquisition of Populi, net of cash acquired, partially offset by $174.8 million in maturities of short-term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Financing Activities</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Cash used in financing activities during the nine months ended September 30, 2023 was $19.5 million, primarily driven by $10.7 million in tax distribution payments to members, repayments of the 2021 Term Loan (as defined below) of $5.2 million, and taxes paid related to the net share settlement of equity awards of $3.4 million.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Debt Obligations</w:t>
      </w:r>
      <w:r>
        <w:rPr>
          <w:rFonts w:ascii="Arial" w:cs="Arial" w:eastAsia="Arial" w:hAnsi="Arial"/>
          <w:sz w:val="18"/>
          <w:szCs w:val="18"/>
          <w:color w:val="auto"/>
        </w:rPr>
        <w:t xml:space="preserve"> for additional information related to our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 September 17, 2021, DH Holdings entered into the 2021 Credit Agreement, providing for (i) a $275.0 million term loan A facility (the “2021 Term Loan”) and (ii) a $75.0 million revolving credit facility (the “2021 Revolving Line of Credit”). The 2021 Term Loan of $275.0 million has a maturity date of September 17, 2026. The 2021 Term Loan was recorded net of $3.5 million in issuance costs, which are amortized to interest expense over the term of the loan using the effective interest method.</w:t>
      </w:r>
    </w:p>
    <w:p>
      <w:pPr>
        <w:spacing w:after="0" w:line="7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$261.3 million outstanding on the 2021 Term Loan at September 30, 2023.</w:t>
      </w:r>
    </w:p>
    <w:p>
      <w:pPr>
        <w:spacing w:after="0" w:line="8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2021 Revolving Line of Credit is committed for $75.0 million and has a maturity date of September 17, 2026. There was no outstanding balance as of September 30, 2023. On October 31, 2022, the Company amended the 2021 Credit Agreement to replace the LIBO rate with Term SOFR plus an applicable rate.</w:t>
      </w:r>
    </w:p>
    <w:p>
      <w:pPr>
        <w:spacing w:after="0" w:line="7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2021 Credit Agreement includes certain financial covenants, and the Company was compliant with its financial covenants under the 2021 Credit Agreement as of September 30, 2023 and December 31, 2022.</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5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7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unaudited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Capital expenditures decreased by $1.1 million to $2.4 million for the nine months ended September 30, 2023 compared to $3.5 million for the same period in the prior year, primarily due to fewer purchases of new data sources in the current year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2022 included in our 2022 Form 10-K/A. There have been no material changes to these policies or estimates as of September 30,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 xml:space="preserve">See new accounting pronouncements described under “—Adoption of Recently Issued Financial Accounting Standards” and “—Recently Issued Accounting Pronouncements Not Yet Adopted” within Note 1. </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xml:space="preserve"> in the Notes to the unaudited interim condensed consolidated financial statements.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80" w:firstLine="509"/>
        <w:spacing w:after="0" w:line="307"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Our cash, cash equivalents, and short-term investments primarily consist of cash on hand and highly liquid investments in money market funds, U.S. government securities, and commercial paper. As of September 30, 2023, we had cash and cash equivalents of $77.5 million and short-term investments of $229.6 million.</w:t>
      </w:r>
    </w:p>
    <w:p>
      <w:pPr>
        <w:spacing w:after="0" w:line="75"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Our operating results are subject to market risk from interest rate fluctuations on our 2021 Term Loan, which bears a variable interest rate based on the Secured Overnight Financing Rate (“SOFR”) or a Base Rate plus an applicable margin. In order to reduce the interest rate risk on our debt, we have entered into an interest rate swap agreement on a portion of our borrowings. As of September 30, 2023, the total principal balance outstanding was $261.3 million. Excluding the effect of the interest rate swap agreement, a hypothetical 1.0% increase or decrease in the interest rate associated with borrowings under the 2021 Credit Agreement would have resulted in an impact to interest expense of approximately $2.0 million for the nine months ended September 30,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40" w:firstLine="509"/>
        <w:spacing w:after="0" w:line="273" w:lineRule="auto"/>
        <w:rPr>
          <w:sz w:val="20"/>
          <w:szCs w:val="20"/>
          <w:color w:val="auto"/>
        </w:rPr>
      </w:pPr>
      <w:r>
        <w:rPr>
          <w:rFonts w:ascii="Arial" w:cs="Arial" w:eastAsia="Arial" w:hAnsi="Arial"/>
          <w:sz w:val="17"/>
          <w:szCs w:val="17"/>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management identified a material weakness in our internal control over financial reporting which was also disclosed in the 2022 Form 10-K/A. As a result of this material weakness, management concluded that our disclosure controls and procedures were not effective as of September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117" w:lineRule="exact"/>
        <w:rPr>
          <w:sz w:val="20"/>
          <w:szCs w:val="20"/>
          <w:color w:val="auto"/>
        </w:rPr>
      </w:pPr>
    </w:p>
    <w:p>
      <w:pPr>
        <w:ind w:right="360" w:firstLine="509"/>
        <w:spacing w:after="0" w:line="34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We identified a material weakness in the design of our controls over the collection and remittance of sales taxes, as well as the accurate recording of our sales tax obligations in the financial statements. This material weakness resulted in the restatement of our financial statements as of and for the years ended December 31, 2022, 2021 and 2020, the unaudited condensed consolidated quarterly financial information for the quarterly periods in the years ended December 31, 2022, 2021, and 2020, as well as the unaudited condensed consolidated financial statements included in our Quarterly Report on Form 10-Q for the quarter ended March 31, 2023.</w:t>
      </w:r>
    </w:p>
    <w:p>
      <w:pPr>
        <w:spacing w:after="0" w:line="83"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This material weakness remains unremediated as of September 30, 2023. Management is taking steps to remediate this material weakness (see “Remediation Plan in Response to Material Weakness” below for details).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in Response to Material Weakness</w:t>
      </w:r>
    </w:p>
    <w:p>
      <w:pPr>
        <w:spacing w:after="0" w:line="11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In response to the identified material weakness, management, with the oversight of the Audit Committee of the Board of Directors, has immediately dedicated resources, including the involvement of additional outside advisors, to put in place effective controls over identification of changes in products and services that affect classification of products and services for sales tax purposes. Certain remedial actions have been completed including engagement of additional third-party tax experts and a review of the classification for sales tax purposes of new and/or enhanced products and services. We are completing ongoing remediation steps, including enhancements to sales tax nexus reviews, and the collection, control and subsequent monitoring of applicable documentation of exempt status from customers in affected jurisdictions. We are in the process of implementing enhancements to our sales tax technology platform to automate steps in the process and will continue to further enhance these controls over the remainder of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During the quarter ended September 30, 2023, other than the items noted above regarding the remediation plan in response to the material weakness over sales tax reporting controls, no changes in our internal control over financial reporting (as defined in Rules 13a-15(f) and 15d-15(f) under the Exchange Act) occurred that have materially affected, or are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For a more detailed discussion of our risks and uncertainties, see also Item 1A – Risk Factors in our 2022 Form 10-K/A. Except as noted below, there have been no material changes in our risk factors since the filing of our 2022 Form 10-K/A.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13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third quarter of 2023 are as follows:</w:t>
      </w:r>
    </w:p>
    <w:p>
      <w:pPr>
        <w:spacing w:after="0" w:line="195"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 Shares</w:t>
            </w:r>
          </w:p>
        </w:tc>
        <w:tc>
          <w:tcPr>
            <w:tcW w:w="60" w:type="dxa"/>
            <w:vAlign w:val="bottom"/>
          </w:tcPr>
          <w:p>
            <w:pPr>
              <w:spacing w:after="0"/>
              <w:rPr>
                <w:sz w:val="18"/>
                <w:szCs w:val="18"/>
                <w:color w:val="auto"/>
              </w:rPr>
            </w:pPr>
          </w:p>
        </w:tc>
      </w:tr>
      <w:tr>
        <w:trPr>
          <w:trHeight w:val="24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Date of Exchange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Exchanged</w:t>
            </w:r>
          </w:p>
        </w:tc>
        <w:tc>
          <w:tcPr>
            <w:tcW w:w="60" w:type="dxa"/>
            <w:vAlign w:val="bottom"/>
          </w:tcPr>
          <w:p>
            <w:pPr>
              <w:spacing w:after="0"/>
              <w:rPr>
                <w:sz w:val="20"/>
                <w:szCs w:val="20"/>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5, 2023</w:t>
            </w:r>
          </w:p>
        </w:tc>
        <w:tc>
          <w:tcPr>
            <w:tcW w:w="20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108,573</w:t>
            </w:r>
          </w:p>
        </w:tc>
        <w:tc>
          <w:tcPr>
            <w:tcW w:w="60" w:type="dxa"/>
            <w:vAlign w:val="bottom"/>
            <w:shd w:val="clear" w:color="auto" w:fill="CFF0FC"/>
          </w:tcPr>
          <w:p>
            <w:pPr>
              <w:spacing w:after="0"/>
              <w:rPr>
                <w:sz w:val="21"/>
                <w:szCs w:val="21"/>
                <w:color w:val="auto"/>
              </w:rPr>
            </w:pPr>
          </w:p>
        </w:tc>
      </w:tr>
      <w:tr>
        <w:trPr>
          <w:trHeight w:val="236"/>
        </w:trPr>
        <w:tc>
          <w:tcPr>
            <w:tcW w:w="3300" w:type="dxa"/>
            <w:vAlign w:val="bottom"/>
          </w:tcPr>
          <w:p>
            <w:pPr>
              <w:ind w:left="20"/>
              <w:spacing w:after="0"/>
              <w:rPr>
                <w:sz w:val="20"/>
                <w:szCs w:val="20"/>
                <w:color w:val="auto"/>
              </w:rPr>
            </w:pPr>
            <w:r>
              <w:rPr>
                <w:rFonts w:ascii="Arial" w:cs="Arial" w:eastAsia="Arial" w:hAnsi="Arial"/>
                <w:sz w:val="18"/>
                <w:szCs w:val="18"/>
                <w:color w:val="auto"/>
              </w:rPr>
              <w:t>July 24, 2023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30,125</w:t>
            </w:r>
          </w:p>
        </w:tc>
        <w:tc>
          <w:tcPr>
            <w:tcW w:w="60" w:type="dxa"/>
            <w:vAlign w:val="bottom"/>
          </w:tcPr>
          <w:p>
            <w:pPr>
              <w:spacing w:after="0"/>
              <w:rPr>
                <w:sz w:val="20"/>
                <w:szCs w:val="20"/>
                <w:color w:val="auto"/>
              </w:rPr>
            </w:pPr>
          </w:p>
        </w:tc>
      </w:tr>
      <w:tr>
        <w:trPr>
          <w:trHeight w:val="249"/>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31, 2023</w:t>
            </w: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11,401</w:t>
            </w:r>
          </w:p>
        </w:tc>
        <w:tc>
          <w:tcPr>
            <w:tcW w:w="60" w:type="dxa"/>
            <w:vAlign w:val="bottom"/>
            <w:shd w:val="clear" w:color="auto" w:fill="CFF0FC"/>
          </w:tcPr>
          <w:p>
            <w:pPr>
              <w:spacing w:after="0"/>
              <w:rPr>
                <w:sz w:val="21"/>
                <w:szCs w:val="21"/>
                <w:color w:val="auto"/>
              </w:rPr>
            </w:pPr>
          </w:p>
        </w:tc>
      </w:tr>
      <w:tr>
        <w:trPr>
          <w:trHeight w:val="236"/>
        </w:trPr>
        <w:tc>
          <w:tcPr>
            <w:tcW w:w="3300" w:type="dxa"/>
            <w:vAlign w:val="bottom"/>
          </w:tcPr>
          <w:p>
            <w:pPr>
              <w:ind w:left="20"/>
              <w:spacing w:after="0"/>
              <w:rPr>
                <w:sz w:val="20"/>
                <w:szCs w:val="20"/>
                <w:color w:val="auto"/>
              </w:rPr>
            </w:pPr>
            <w:r>
              <w:rPr>
                <w:rFonts w:ascii="Arial" w:cs="Arial" w:eastAsia="Arial" w:hAnsi="Arial"/>
                <w:sz w:val="18"/>
                <w:szCs w:val="18"/>
                <w:color w:val="auto"/>
              </w:rPr>
              <w:t>August 22, 2023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2,898,179</w:t>
            </w:r>
          </w:p>
        </w:tc>
        <w:tc>
          <w:tcPr>
            <w:tcW w:w="60" w:type="dxa"/>
            <w:vAlign w:val="bottom"/>
          </w:tcPr>
          <w:p>
            <w:pPr>
              <w:spacing w:after="0"/>
              <w:rPr>
                <w:sz w:val="20"/>
                <w:szCs w:val="20"/>
                <w:color w:val="auto"/>
              </w:rPr>
            </w:pPr>
          </w:p>
        </w:tc>
      </w:tr>
      <w:tr>
        <w:trPr>
          <w:trHeight w:val="249"/>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11, 2023</w:t>
            </w: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FF0FC"/>
          </w:tcPr>
          <w:p>
            <w:pPr>
              <w:spacing w:after="0"/>
              <w:rPr>
                <w:sz w:val="21"/>
                <w:szCs w:val="21"/>
                <w:color w:val="auto"/>
              </w:rPr>
            </w:pPr>
          </w:p>
        </w:tc>
      </w:tr>
      <w:tr>
        <w:trPr>
          <w:trHeight w:val="236"/>
        </w:trPr>
        <w:tc>
          <w:tcPr>
            <w:tcW w:w="3300" w:type="dxa"/>
            <w:vAlign w:val="bottom"/>
          </w:tcPr>
          <w:p>
            <w:pPr>
              <w:ind w:left="20"/>
              <w:spacing w:after="0"/>
              <w:rPr>
                <w:sz w:val="20"/>
                <w:szCs w:val="20"/>
                <w:color w:val="auto"/>
              </w:rPr>
            </w:pPr>
            <w:r>
              <w:rPr>
                <w:rFonts w:ascii="Arial" w:cs="Arial" w:eastAsia="Arial" w:hAnsi="Arial"/>
                <w:sz w:val="18"/>
                <w:szCs w:val="18"/>
                <w:color w:val="auto"/>
              </w:rPr>
              <w:t>September 25, 2023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4,188</w:t>
            </w:r>
          </w:p>
        </w:tc>
        <w:tc>
          <w:tcPr>
            <w:tcW w:w="60" w:type="dxa"/>
            <w:vAlign w:val="bottom"/>
          </w:tcPr>
          <w:p>
            <w:pPr>
              <w:spacing w:after="0"/>
              <w:rPr>
                <w:sz w:val="20"/>
                <w:szCs w:val="20"/>
                <w:color w:val="auto"/>
              </w:rPr>
            </w:pPr>
          </w:p>
        </w:tc>
      </w:tr>
      <w:tr>
        <w:trPr>
          <w:trHeight w:val="282"/>
        </w:trPr>
        <w:tc>
          <w:tcPr>
            <w:tcW w:w="3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24"/>
                <w:szCs w:val="24"/>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3,057,466</w:t>
            </w:r>
          </w:p>
        </w:tc>
        <w:tc>
          <w:tcPr>
            <w:tcW w:w="6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-24765</wp:posOffset>
            </wp:positionV>
            <wp:extent cx="342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342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342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Exhibits filed or furnished herewith are designated by an asterisk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5"/>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bottom w:val="single" w:sz="8" w:color="0000FF"/>
            </w:tcBorders>
            <w:gridSpan w:val="11"/>
          </w:tcPr>
          <w:p>
            <w:pPr>
              <w:spacing w:after="0" w:line="169" w:lineRule="exact"/>
              <w:rPr>
                <w:rFonts w:ascii="Arial" w:cs="Arial" w:eastAsia="Arial" w:hAnsi="Arial"/>
                <w:sz w:val="18"/>
                <w:szCs w:val="18"/>
                <w:color w:val="0000FF"/>
                <w:w w:val="91"/>
              </w:rPr>
            </w:pPr>
            <w:hyperlink r:id="rId333">
              <w:r>
                <w:rPr>
                  <w:rFonts w:ascii="Arial" w:cs="Arial" w:eastAsia="Arial" w:hAnsi="Arial"/>
                  <w:sz w:val="18"/>
                  <w:szCs w:val="18"/>
                  <w:color w:val="0000FF"/>
                  <w:w w:val="91"/>
                </w:rPr>
                <w:t>Amended and Restated Certificate of Incorporation of Definitive Healthcare Corp. (incorporated by reference to Exhibit 3.1 to the</w:t>
              </w:r>
            </w:hyperlink>
          </w:p>
        </w:tc>
        <w:tc>
          <w:tcPr>
            <w:tcW w:w="5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20"/>
          </w:tcPr>
          <w:p>
            <w:pPr>
              <w:spacing w:after="0" w:line="195" w:lineRule="exact"/>
              <w:rPr>
                <w:rFonts w:ascii="Arial" w:cs="Arial" w:eastAsia="Arial" w:hAnsi="Arial"/>
                <w:sz w:val="18"/>
                <w:szCs w:val="18"/>
                <w:color w:val="0000FF"/>
              </w:rPr>
            </w:pPr>
            <w:hyperlink r:id="rId333">
              <w:r>
                <w:rPr>
                  <w:rFonts w:ascii="Arial" w:cs="Arial" w:eastAsia="Arial" w:hAnsi="Arial"/>
                  <w:sz w:val="18"/>
                  <w:szCs w:val="18"/>
                  <w:color w:val="0000FF"/>
                </w:rPr>
                <w:t>Company’s Quarterly Report on Form 10-Q (File No. 001-40815) filed with the SEC on November 8, 2021).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12"/>
          </w:tcPr>
          <w:p>
            <w:pPr>
              <w:spacing w:after="0"/>
              <w:rPr>
                <w:rFonts w:ascii="Arial" w:cs="Arial" w:eastAsia="Arial" w:hAnsi="Arial"/>
                <w:sz w:val="18"/>
                <w:szCs w:val="18"/>
                <w:color w:val="0000FF"/>
                <w:w w:val="91"/>
              </w:rPr>
            </w:pPr>
            <w:hyperlink r:id="rId334">
              <w:r>
                <w:rPr>
                  <w:rFonts w:ascii="Arial" w:cs="Arial" w:eastAsia="Arial" w:hAnsi="Arial"/>
                  <w:sz w:val="18"/>
                  <w:szCs w:val="18"/>
                  <w:color w:val="0000FF"/>
                  <w:w w:val="91"/>
                </w:rPr>
                <w:t>Amended and Restated Bylaws of Definitive Healthcare Corp. (incorporated by reference to Exhibit 3.2 to the Company’s Quarterly</w:t>
              </w:r>
            </w:hyperlink>
          </w:p>
        </w:tc>
        <w:tc>
          <w:tcPr>
            <w:tcW w:w="3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7"/>
          </w:tcPr>
          <w:p>
            <w:pPr>
              <w:spacing w:after="0" w:line="195" w:lineRule="exact"/>
              <w:rPr>
                <w:rFonts w:ascii="Arial" w:cs="Arial" w:eastAsia="Arial" w:hAnsi="Arial"/>
                <w:sz w:val="18"/>
                <w:szCs w:val="18"/>
                <w:color w:val="0000FF"/>
                <w:w w:val="91"/>
              </w:rPr>
            </w:pPr>
            <w:hyperlink r:id="rId334">
              <w:r>
                <w:rPr>
                  <w:rFonts w:ascii="Arial" w:cs="Arial" w:eastAsia="Arial" w:hAnsi="Arial"/>
                  <w:sz w:val="18"/>
                  <w:szCs w:val="18"/>
                  <w:color w:val="0000FF"/>
                  <w:w w:val="91"/>
                </w:rPr>
                <w:t>Report on Form 10-Q (File No. 001-40815) filed with the SEC on November 8, 2021).</w:t>
              </w:r>
            </w:hyperlink>
          </w:p>
        </w:tc>
        <w:tc>
          <w:tcPr>
            <w:tcW w:w="20" w:type="dxa"/>
            <w:vAlign w:val="bottom"/>
            <w:tcBorders>
              <w:bottom w:val="single" w:sz="8" w:color="0000EE"/>
            </w:tcBorders>
          </w:tcPr>
          <w:p>
            <w:pPr>
              <w:spacing w:after="0"/>
              <w:rPr>
                <w:sz w:val="17"/>
                <w:szCs w:val="17"/>
                <w:color w:val="auto"/>
              </w:rPr>
            </w:pPr>
          </w:p>
        </w:tc>
        <w:tc>
          <w:tcPr>
            <w:tcW w:w="3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15"/>
          </w:tcPr>
          <w:p>
            <w:pPr>
              <w:spacing w:after="0"/>
              <w:rPr>
                <w:rFonts w:ascii="Arial" w:cs="Arial" w:eastAsia="Arial" w:hAnsi="Arial"/>
                <w:sz w:val="18"/>
                <w:szCs w:val="18"/>
                <w:color w:val="0000FF"/>
                <w:w w:val="91"/>
              </w:rPr>
            </w:pPr>
            <w:hyperlink r:id="rId335">
              <w:r>
                <w:rPr>
                  <w:rFonts w:ascii="Arial" w:cs="Arial" w:eastAsia="Arial" w:hAnsi="Arial"/>
                  <w:sz w:val="18"/>
                  <w:szCs w:val="18"/>
                  <w:color w:val="0000FF"/>
                  <w:w w:val="91"/>
                </w:rPr>
                <w:t>The Definitive Healthcare Corp. 2023 Inducement Plan (incorporated by reference to Exhibit 99.1 to the Company’s S-8 (File No. 333-</w:t>
              </w:r>
            </w:hyperlink>
          </w:p>
        </w:tc>
        <w:tc>
          <w:tcPr>
            <w:tcW w:w="2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20"/>
          </w:tcPr>
          <w:p>
            <w:pPr>
              <w:spacing w:after="0" w:line="195" w:lineRule="exact"/>
              <w:rPr>
                <w:rFonts w:ascii="Arial" w:cs="Arial" w:eastAsia="Arial" w:hAnsi="Arial"/>
                <w:sz w:val="18"/>
                <w:szCs w:val="18"/>
                <w:color w:val="0000FF"/>
              </w:rPr>
            </w:pPr>
            <w:hyperlink r:id="rId335">
              <w:r>
                <w:rPr>
                  <w:rFonts w:ascii="Arial" w:cs="Arial" w:eastAsia="Arial" w:hAnsi="Arial"/>
                  <w:sz w:val="18"/>
                  <w:szCs w:val="18"/>
                  <w:color w:val="0000FF"/>
                </w:rPr>
                <w:t>274370) filed with the SEC on September 6, 2023).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bottom w:val="single" w:sz="8" w:color="0000FF"/>
            </w:tcBorders>
            <w:gridSpan w:val="18"/>
          </w:tcPr>
          <w:p>
            <w:pPr>
              <w:spacing w:after="0"/>
              <w:rPr>
                <w:rFonts w:ascii="Arial" w:cs="Arial" w:eastAsia="Arial" w:hAnsi="Arial"/>
                <w:sz w:val="18"/>
                <w:szCs w:val="18"/>
                <w:color w:val="0000FF"/>
                <w:w w:val="91"/>
              </w:rPr>
            </w:pPr>
            <w:hyperlink r:id="rId336">
              <w:r>
                <w:rPr>
                  <w:rFonts w:ascii="Arial" w:cs="Arial" w:eastAsia="Arial" w:hAnsi="Arial"/>
                  <w:sz w:val="18"/>
                  <w:szCs w:val="18"/>
                  <w:color w:val="0000FF"/>
                  <w:w w:val="91"/>
                </w:rPr>
                <w:t>Form of RSU Award Agreement under 2023 Inducement Plan (incorporated by reference to Exhibit 99.2 to the Company’s S-8 (File No.</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4"/>
          </w:tcPr>
          <w:p>
            <w:pPr>
              <w:spacing w:after="0" w:line="195" w:lineRule="exact"/>
              <w:rPr>
                <w:rFonts w:ascii="Arial" w:cs="Arial" w:eastAsia="Arial" w:hAnsi="Arial"/>
                <w:sz w:val="18"/>
                <w:szCs w:val="18"/>
                <w:color w:val="0000FF"/>
                <w:w w:val="90"/>
              </w:rPr>
            </w:pPr>
            <w:hyperlink r:id="rId336">
              <w:r>
                <w:rPr>
                  <w:rFonts w:ascii="Arial" w:cs="Arial" w:eastAsia="Arial" w:hAnsi="Arial"/>
                  <w:sz w:val="18"/>
                  <w:szCs w:val="18"/>
                  <w:color w:val="0000FF"/>
                  <w:w w:val="90"/>
                </w:rPr>
                <w:t>333-274370) filed with the SEC on September 6, 2023).</w:t>
              </w:r>
            </w:hyperlink>
          </w:p>
        </w:tc>
        <w:tc>
          <w:tcPr>
            <w:tcW w:w="20" w:type="dxa"/>
            <w:vAlign w:val="bottom"/>
            <w:tcBorders>
              <w:bottom w:val="single" w:sz="8" w:color="0000EE"/>
            </w:tcBorders>
          </w:tcPr>
          <w:p>
            <w:pPr>
              <w:spacing w:after="0"/>
              <w:rPr>
                <w:sz w:val="17"/>
                <w:szCs w:val="17"/>
                <w:color w:val="auto"/>
              </w:rPr>
            </w:pPr>
          </w:p>
        </w:tc>
        <w:tc>
          <w:tcPr>
            <w:tcW w:w="5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tcBorders>
              <w:bottom w:val="single" w:sz="8" w:color="0000FF"/>
            </w:tcBorders>
            <w:gridSpan w:val="17"/>
          </w:tcPr>
          <w:p>
            <w:pPr>
              <w:spacing w:after="0"/>
              <w:rPr>
                <w:rFonts w:ascii="Arial" w:cs="Arial" w:eastAsia="Arial" w:hAnsi="Arial"/>
                <w:sz w:val="18"/>
                <w:szCs w:val="18"/>
                <w:color w:val="0000FF"/>
                <w:w w:val="91"/>
              </w:rPr>
            </w:pPr>
            <w:hyperlink r:id="rId337">
              <w:r>
                <w:rPr>
                  <w:rFonts w:ascii="Arial" w:cs="Arial" w:eastAsia="Arial" w:hAnsi="Arial"/>
                  <w:sz w:val="18"/>
                  <w:szCs w:val="18"/>
                  <w:color w:val="0000FF"/>
                  <w:w w:val="91"/>
                </w:rPr>
                <w:t>Form of PSU Award Agreement under 2023 Inducement Plan (incorporated by reference to Exhibit 99.3 to the Company’s S-8 (File No.</w:t>
              </w:r>
            </w:hyperlink>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4"/>
          </w:tcPr>
          <w:p>
            <w:pPr>
              <w:spacing w:after="0" w:line="195" w:lineRule="exact"/>
              <w:rPr>
                <w:rFonts w:ascii="Arial" w:cs="Arial" w:eastAsia="Arial" w:hAnsi="Arial"/>
                <w:sz w:val="18"/>
                <w:szCs w:val="18"/>
                <w:color w:val="0000FF"/>
                <w:w w:val="90"/>
              </w:rPr>
            </w:pPr>
            <w:hyperlink r:id="rId337">
              <w:r>
                <w:rPr>
                  <w:rFonts w:ascii="Arial" w:cs="Arial" w:eastAsia="Arial" w:hAnsi="Arial"/>
                  <w:sz w:val="18"/>
                  <w:szCs w:val="18"/>
                  <w:color w:val="0000FF"/>
                  <w:w w:val="90"/>
                </w:rPr>
                <w:t>333-274370) filed with the SEC on September 6, 2023).</w:t>
              </w:r>
            </w:hyperlink>
          </w:p>
        </w:tc>
        <w:tc>
          <w:tcPr>
            <w:tcW w:w="20" w:type="dxa"/>
            <w:vAlign w:val="bottom"/>
            <w:tcBorders>
              <w:bottom w:val="single" w:sz="8" w:color="0000EE"/>
            </w:tcBorders>
          </w:tcPr>
          <w:p>
            <w:pPr>
              <w:spacing w:after="0"/>
              <w:rPr>
                <w:sz w:val="17"/>
                <w:szCs w:val="17"/>
                <w:color w:val="auto"/>
              </w:rPr>
            </w:pPr>
          </w:p>
        </w:tc>
        <w:tc>
          <w:tcPr>
            <w:tcW w:w="5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Employment Agreement, dated October 2, 2023, between Carrie Lazorchak and Definitive Healthcare Corp.</w:t>
            </w:r>
          </w:p>
        </w:tc>
        <w:tc>
          <w:tcPr>
            <w:tcW w:w="21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14"/>
          </w:tcPr>
          <w:p>
            <w:pPr>
              <w:spacing w:after="0"/>
              <w:rPr>
                <w:rFonts w:ascii="Arial" w:cs="Arial" w:eastAsia="Arial" w:hAnsi="Arial"/>
                <w:sz w:val="18"/>
                <w:szCs w:val="18"/>
                <w:color w:val="0000FF"/>
                <w:w w:val="90"/>
              </w:rPr>
            </w:pPr>
            <w:hyperlink r:id="rId338">
              <w:r>
                <w:rPr>
                  <w:rFonts w:ascii="Arial" w:cs="Arial" w:eastAsia="Arial" w:hAnsi="Arial"/>
                  <w:sz w:val="18"/>
                  <w:szCs w:val="18"/>
                  <w:color w:val="0000FF"/>
                  <w:w w:val="90"/>
                </w:rPr>
                <w:t>Separation Agreement, dated October 2, 2023, between Joseph Mirisola and Definitive Healthcare, LLC (incorporated by reference to</w:t>
              </w:r>
            </w:hyperlink>
          </w:p>
        </w:tc>
        <w:tc>
          <w:tcPr>
            <w:tcW w:w="2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20"/>
          </w:tcPr>
          <w:p>
            <w:pPr>
              <w:spacing w:after="0" w:line="195" w:lineRule="exact"/>
              <w:rPr>
                <w:rFonts w:ascii="Arial" w:cs="Arial" w:eastAsia="Arial" w:hAnsi="Arial"/>
                <w:sz w:val="18"/>
                <w:szCs w:val="18"/>
                <w:color w:val="0000FF"/>
              </w:rPr>
            </w:pPr>
            <w:hyperlink r:id="rId338">
              <w:r>
                <w:rPr>
                  <w:rFonts w:ascii="Arial" w:cs="Arial" w:eastAsia="Arial" w:hAnsi="Arial"/>
                  <w:sz w:val="18"/>
                  <w:szCs w:val="18"/>
                  <w:color w:val="0000FF"/>
                </w:rPr>
                <w:t>Exhibit 10.1 to the Company’s Current Report on Form 8-K (File No. 001-40815) filed with the SEC on October 5, 2023).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Certification of Principal Executive Officer pursuant to Exchange Act Rules 13a-14(a) and 15d-14(a), as adopted pursuant to Section 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0"/>
              </w:rPr>
              <w:t>of the Sarbanes-Oxley Act of 2002.</w:t>
            </w:r>
          </w:p>
        </w:tc>
        <w:tc>
          <w:tcPr>
            <w:tcW w:w="73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3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 to</w:t>
            </w:r>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0"/>
              </w:rPr>
              <w:t>Section 906 of the Sarbanes-Oxley Act of 2002.</w:t>
            </w:r>
          </w:p>
        </w:tc>
        <w:tc>
          <w:tcPr>
            <w:tcW w:w="6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right="80" w:firstLine="8"/>
        <w:spacing w:after="0" w:line="259" w:lineRule="auto"/>
        <w:tabs>
          <w:tab w:leader="none" w:pos="14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ind w:left="50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4"/>
          </w:tcPr>
          <w:p>
            <w:pPr>
              <w:spacing w:after="0"/>
              <w:rPr>
                <w:sz w:val="20"/>
                <w:szCs w:val="20"/>
                <w:color w:val="auto"/>
              </w:rPr>
            </w:pPr>
            <w:r>
              <w:rPr>
                <w:rFonts w:ascii="Arial" w:cs="Arial" w:eastAsia="Arial" w:hAnsi="Arial"/>
                <w:sz w:val="18"/>
                <w:szCs w:val="18"/>
                <w:color w:val="auto"/>
              </w:rPr>
              <w:t>by the undersigned thereunto duly authorized.</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31"/>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18"/>
                <w:szCs w:val="18"/>
                <w:color w:val="auto"/>
              </w:rPr>
              <w:t>DEFINITIVE HEALTHCARE CORP.</w:t>
            </w:r>
          </w:p>
        </w:tc>
      </w:tr>
      <w:tr>
        <w:trPr>
          <w:trHeight w:val="243"/>
        </w:trPr>
        <w:tc>
          <w:tcPr>
            <w:tcW w:w="5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40" w:type="dxa"/>
            <w:vAlign w:val="bottom"/>
            <w:gridSpan w:val="3"/>
          </w:tcPr>
          <w:p>
            <w:pPr>
              <w:ind w:left="1040"/>
              <w:spacing w:after="0"/>
              <w:rPr>
                <w:sz w:val="20"/>
                <w:szCs w:val="20"/>
                <w:color w:val="auto"/>
              </w:rPr>
            </w:pPr>
            <w:r>
              <w:rPr>
                <w:rFonts w:ascii="Arial" w:cs="Arial" w:eastAsia="Arial" w:hAnsi="Arial"/>
                <w:sz w:val="18"/>
                <w:szCs w:val="18"/>
                <w:color w:val="auto"/>
              </w:rPr>
              <w:t>Registrant</w:t>
            </w:r>
          </w:p>
        </w:tc>
        <w:tc>
          <w:tcPr>
            <w:tcW w:w="4700" w:type="dxa"/>
            <w:vAlign w:val="bottom"/>
          </w:tcPr>
          <w:p>
            <w:pPr>
              <w:spacing w:after="0"/>
              <w:rPr>
                <w:sz w:val="21"/>
                <w:szCs w:val="21"/>
                <w:color w:val="auto"/>
              </w:rPr>
            </w:pPr>
          </w:p>
        </w:tc>
      </w:tr>
      <w:tr>
        <w:trPr>
          <w:trHeight w:val="506"/>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Robert Musslewhite</w:t>
            </w:r>
          </w:p>
        </w:tc>
      </w:tr>
      <w:tr>
        <w:trPr>
          <w:trHeight w:val="243"/>
        </w:trPr>
        <w:tc>
          <w:tcPr>
            <w:tcW w:w="580" w:type="dxa"/>
            <w:vAlign w:val="bottom"/>
          </w:tcPr>
          <w:p>
            <w:pPr>
              <w:spacing w:after="0"/>
              <w:rPr>
                <w:sz w:val="21"/>
                <w:szCs w:val="21"/>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November 2, 2023</w:t>
            </w:r>
          </w:p>
        </w:tc>
        <w:tc>
          <w:tcPr>
            <w:tcW w:w="2140" w:type="dxa"/>
            <w:vAlign w:val="bottom"/>
            <w:gridSpan w:val="3"/>
          </w:tcPr>
          <w:p>
            <w:pPr>
              <w:ind w:left="104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1"/>
                <w:szCs w:val="21"/>
                <w:color w:val="auto"/>
              </w:rPr>
            </w:pPr>
          </w:p>
        </w:tc>
      </w:tr>
      <w:tr>
        <w:trPr>
          <w:trHeight w:val="224"/>
        </w:trPr>
        <w:tc>
          <w:tcPr>
            <w:tcW w:w="580" w:type="dxa"/>
            <w:vAlign w:val="bottom"/>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40" w:type="dxa"/>
            <w:vAlign w:val="bottom"/>
            <w:gridSpan w:val="3"/>
          </w:tcPr>
          <w:p>
            <w:pPr>
              <w:ind w:left="1500"/>
              <w:spacing w:after="0"/>
              <w:rPr>
                <w:sz w:val="20"/>
                <w:szCs w:val="20"/>
                <w:color w:val="auto"/>
              </w:rPr>
            </w:pPr>
            <w:r>
              <w:rPr>
                <w:rFonts w:ascii="Arial" w:cs="Arial" w:eastAsia="Arial" w:hAnsi="Arial"/>
                <w:sz w:val="18"/>
                <w:szCs w:val="18"/>
                <w:color w:val="auto"/>
              </w:rPr>
              <w:t>Name:</w:t>
            </w:r>
          </w:p>
        </w:tc>
        <w:tc>
          <w:tcPr>
            <w:tcW w:w="4700" w:type="dxa"/>
            <w:vAlign w:val="bottom"/>
          </w:tcPr>
          <w:p>
            <w:pPr>
              <w:ind w:left="140"/>
              <w:spacing w:after="0"/>
              <w:rPr>
                <w:sz w:val="20"/>
                <w:szCs w:val="20"/>
                <w:color w:val="auto"/>
              </w:rPr>
            </w:pPr>
            <w:r>
              <w:rPr>
                <w:rFonts w:ascii="Arial" w:cs="Arial" w:eastAsia="Arial" w:hAnsi="Arial"/>
                <w:sz w:val="18"/>
                <w:szCs w:val="18"/>
                <w:color w:val="auto"/>
              </w:rPr>
              <w:t>Robert Musslewhite</w:t>
            </w:r>
          </w:p>
        </w:tc>
      </w:tr>
      <w:tr>
        <w:trPr>
          <w:trHeight w:val="659"/>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Chief Executive Officer and Director (</w:t>
            </w:r>
            <w:r>
              <w:rPr>
                <w:rFonts w:ascii="Arial" w:cs="Arial" w:eastAsia="Arial" w:hAnsi="Arial"/>
                <w:sz w:val="18"/>
                <w:szCs w:val="18"/>
                <w:i w:val="1"/>
                <w:iCs w:val="1"/>
                <w:color w:val="auto"/>
              </w:rPr>
              <w:t>Principal Executive</w:t>
            </w:r>
          </w:p>
        </w:tc>
      </w:tr>
      <w:tr>
        <w:trPr>
          <w:trHeight w:val="230"/>
        </w:trPr>
        <w:tc>
          <w:tcPr>
            <w:tcW w:w="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40" w:type="dxa"/>
            <w:vAlign w:val="bottom"/>
            <w:gridSpan w:val="3"/>
          </w:tcPr>
          <w:p>
            <w:pPr>
              <w:ind w:left="1500"/>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492"/>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Richard Booth</w:t>
            </w:r>
          </w:p>
        </w:tc>
      </w:tr>
      <w:tr>
        <w:trPr>
          <w:trHeight w:val="243"/>
        </w:trPr>
        <w:tc>
          <w:tcPr>
            <w:tcW w:w="580" w:type="dxa"/>
            <w:vAlign w:val="bottom"/>
          </w:tcPr>
          <w:p>
            <w:pPr>
              <w:spacing w:after="0"/>
              <w:rPr>
                <w:sz w:val="21"/>
                <w:szCs w:val="21"/>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November 2, 2023</w:t>
            </w:r>
          </w:p>
        </w:tc>
        <w:tc>
          <w:tcPr>
            <w:tcW w:w="2140" w:type="dxa"/>
            <w:vAlign w:val="bottom"/>
            <w:gridSpan w:val="3"/>
          </w:tcPr>
          <w:p>
            <w:pPr>
              <w:ind w:left="106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1"/>
                <w:szCs w:val="21"/>
                <w:color w:val="auto"/>
              </w:rPr>
            </w:pPr>
          </w:p>
        </w:tc>
      </w:tr>
      <w:tr>
        <w:trPr>
          <w:trHeight w:val="224"/>
        </w:trPr>
        <w:tc>
          <w:tcPr>
            <w:tcW w:w="580" w:type="dxa"/>
            <w:vAlign w:val="bottom"/>
          </w:tcPr>
          <w:p>
            <w:pPr>
              <w:spacing w:after="0"/>
              <w:rPr>
                <w:sz w:val="19"/>
                <w:szCs w:val="19"/>
                <w:color w:val="auto"/>
              </w:rPr>
            </w:pP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ind w:left="140"/>
              <w:spacing w:after="0"/>
              <w:rPr>
                <w:sz w:val="20"/>
                <w:szCs w:val="20"/>
                <w:color w:val="auto"/>
              </w:rPr>
            </w:pPr>
            <w:r>
              <w:rPr>
                <w:rFonts w:ascii="Arial" w:cs="Arial" w:eastAsia="Arial" w:hAnsi="Arial"/>
                <w:sz w:val="18"/>
                <w:szCs w:val="18"/>
                <w:color w:val="auto"/>
              </w:rPr>
              <w:t>Richard Booth</w:t>
            </w:r>
          </w:p>
        </w:tc>
      </w:tr>
      <w:tr>
        <w:trPr>
          <w:trHeight w:val="889"/>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10.4</w:t>
      </w:r>
    </w:p>
    <w:p>
      <w:pPr>
        <w:spacing w:after="0" w:line="54"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EMPLOYMENT AGREEMENT</w:t>
      </w:r>
    </w:p>
    <w:p>
      <w:pPr>
        <w:spacing w:after="0" w:line="300" w:lineRule="exact"/>
        <w:rPr>
          <w:sz w:val="20"/>
          <w:szCs w:val="20"/>
          <w:color w:val="auto"/>
        </w:rPr>
      </w:pPr>
    </w:p>
    <w:p>
      <w:pPr>
        <w:jc w:val="both"/>
        <w:ind w:left="20" w:right="380" w:firstLine="749"/>
        <w:spacing w:after="0" w:line="243" w:lineRule="auto"/>
        <w:rPr>
          <w:sz w:val="20"/>
          <w:szCs w:val="20"/>
          <w:color w:val="auto"/>
        </w:rPr>
      </w:pPr>
      <w:r>
        <w:rPr>
          <w:rFonts w:ascii="Arial" w:cs="Arial" w:eastAsia="Arial" w:hAnsi="Arial"/>
          <w:sz w:val="22"/>
          <w:szCs w:val="22"/>
          <w:color w:val="auto"/>
        </w:rPr>
        <w:t>This Agreement (the “</w:t>
      </w:r>
      <w:r>
        <w:rPr>
          <w:rFonts w:ascii="Arial" w:cs="Arial" w:eastAsia="Arial" w:hAnsi="Arial"/>
          <w:sz w:val="22"/>
          <w:szCs w:val="22"/>
          <w:b w:val="1"/>
          <w:bCs w:val="1"/>
          <w:color w:val="auto"/>
        </w:rPr>
        <w:t>Agreement</w:t>
      </w:r>
      <w:r>
        <w:rPr>
          <w:rFonts w:ascii="Arial" w:cs="Arial" w:eastAsia="Arial" w:hAnsi="Arial"/>
          <w:sz w:val="22"/>
          <w:szCs w:val="22"/>
          <w:color w:val="auto"/>
        </w:rPr>
        <w:t>”), dated as of October 2, 2023, is made and entered into by and between Definitive Healthcare, LLC, a Massachusetts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Carrie Lazorchak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216"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Introduction</w:t>
      </w:r>
    </w:p>
    <w:p>
      <w:pPr>
        <w:spacing w:after="0" w:line="252" w:lineRule="exact"/>
        <w:rPr>
          <w:sz w:val="20"/>
          <w:szCs w:val="20"/>
          <w:color w:val="auto"/>
        </w:rPr>
      </w:pPr>
    </w:p>
    <w:p>
      <w:pPr>
        <w:jc w:val="both"/>
        <w:ind w:right="400" w:firstLine="749"/>
        <w:spacing w:after="0" w:line="236" w:lineRule="auto"/>
        <w:rPr>
          <w:sz w:val="20"/>
          <w:szCs w:val="20"/>
          <w:color w:val="auto"/>
        </w:rPr>
      </w:pPr>
      <w:r>
        <w:rPr>
          <w:rFonts w:ascii="Arial" w:cs="Arial" w:eastAsia="Arial" w:hAnsi="Arial"/>
          <w:sz w:val="22"/>
          <w:szCs w:val="22"/>
          <w:color w:val="auto"/>
        </w:rPr>
        <w:t>The Company desires to retain the services of the Executive pursuant to the terms and conditions set forth herein and the Executive wishes to be employed by the Company on such terms and conditions. The Executive will be a senior executive of the Company, with significant access to information concerning the Company and its business. The disclosure or misuse of such information or the engaging in competitive activities would cause substantial harm to the Company.</w:t>
      </w:r>
    </w:p>
    <w:p>
      <w:pPr>
        <w:spacing w:after="0" w:line="213" w:lineRule="exact"/>
        <w:rPr>
          <w:sz w:val="20"/>
          <w:szCs w:val="20"/>
          <w:color w:val="auto"/>
        </w:rPr>
      </w:pPr>
    </w:p>
    <w:p>
      <w:pPr>
        <w:jc w:val="both"/>
        <w:ind w:right="400"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agree as follows:</w:t>
      </w:r>
    </w:p>
    <w:p>
      <w:pPr>
        <w:spacing w:after="0" w:line="209" w:lineRule="exact"/>
        <w:rPr>
          <w:sz w:val="20"/>
          <w:szCs w:val="20"/>
          <w:color w:val="auto"/>
        </w:rPr>
      </w:pPr>
    </w:p>
    <w:p>
      <w:pPr>
        <w:jc w:val="both"/>
        <w:ind w:right="400" w:firstLine="749"/>
        <w:spacing w:after="0" w:line="262" w:lineRule="auto"/>
        <w:rPr>
          <w:sz w:val="20"/>
          <w:szCs w:val="20"/>
          <w:color w:val="auto"/>
        </w:rPr>
      </w:pPr>
      <w:r>
        <w:rPr>
          <w:rFonts w:ascii="Arial" w:cs="Arial" w:eastAsia="Arial" w:hAnsi="Arial"/>
          <w:sz w:val="20"/>
          <w:szCs w:val="20"/>
          <w:b w:val="1"/>
          <w:bCs w:val="1"/>
          <w:color w:val="auto"/>
        </w:rPr>
        <w:t>1.Term</w:t>
      </w:r>
      <w:r>
        <w:rPr>
          <w:rFonts w:ascii="Arial" w:cs="Arial" w:eastAsia="Arial" w:hAnsi="Arial"/>
          <w:sz w:val="20"/>
          <w:szCs w:val="20"/>
          <w:color w:val="auto"/>
        </w:rPr>
        <w:t>. All provisions of this Agreement, other than Section 7 hereof (the</w:t>
      </w:r>
      <w:r>
        <w:rPr>
          <w:rFonts w:ascii="Arial" w:cs="Arial" w:eastAsia="Arial" w:hAnsi="Arial"/>
          <w:sz w:val="20"/>
          <w:szCs w:val="20"/>
          <w:b w:val="1"/>
          <w:bCs w:val="1"/>
          <w:color w:val="auto"/>
        </w:rPr>
        <w:t xml:space="preserve"> “Non- Competition Covenant”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become effective as of the Start Date (as defined below). The Non-Competition Covenant shall become effective on the tenth business day after the Executive has been provided by the Company with notice of the Non-Competition Covenant (the </w:t>
      </w:r>
      <w:r>
        <w:rPr>
          <w:rFonts w:ascii="Arial" w:cs="Arial" w:eastAsia="Arial" w:hAnsi="Arial"/>
          <w:sz w:val="20"/>
          <w:szCs w:val="20"/>
          <w:b w:val="1"/>
          <w:bCs w:val="1"/>
          <w:color w:val="auto"/>
        </w:rPr>
        <w:t>“Non- Competition Covenant Effective Date”</w:t>
      </w:r>
      <w:r>
        <w:rPr>
          <w:rFonts w:ascii="Arial" w:cs="Arial" w:eastAsia="Arial" w:hAnsi="Arial"/>
          <w:sz w:val="20"/>
          <w:szCs w:val="20"/>
          <w:color w:val="auto"/>
        </w:rPr>
        <w:t>). The Company shall employ the Executive hereunder from the Start Date until the Executive’s employment with the Company is terminated. The Executive shall be employed on an “at will” basis. The Executive’s start date with the Company, as an employee under this Agreement, shall be November 1, 2023 (“</w:t>
      </w:r>
      <w:r>
        <w:rPr>
          <w:rFonts w:ascii="Arial" w:cs="Arial" w:eastAsia="Arial" w:hAnsi="Arial"/>
          <w:sz w:val="20"/>
          <w:szCs w:val="20"/>
          <w:b w:val="1"/>
          <w:bCs w:val="1"/>
          <w:color w:val="auto"/>
        </w:rPr>
        <w:t>Start Date</w:t>
      </w:r>
      <w:r>
        <w:rPr>
          <w:rFonts w:ascii="Arial" w:cs="Arial" w:eastAsia="Arial" w:hAnsi="Arial"/>
          <w:sz w:val="20"/>
          <w:szCs w:val="20"/>
          <w:color w:val="auto"/>
        </w:rPr>
        <w:t>”).</w:t>
      </w:r>
    </w:p>
    <w:p>
      <w:pPr>
        <w:spacing w:after="0" w:line="198" w:lineRule="exact"/>
        <w:rPr>
          <w:sz w:val="20"/>
          <w:szCs w:val="20"/>
          <w:color w:val="auto"/>
        </w:rPr>
      </w:pPr>
    </w:p>
    <w:p>
      <w:pPr>
        <w:jc w:val="both"/>
        <w:ind w:right="400" w:firstLine="756"/>
        <w:spacing w:after="0" w:line="281" w:lineRule="auto"/>
        <w:tabs>
          <w:tab w:leader="none" w:pos="922"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Duties; Place of Employment</w:t>
      </w:r>
      <w:r>
        <w:rPr>
          <w:rFonts w:ascii="Arial" w:cs="Arial" w:eastAsia="Arial" w:hAnsi="Arial"/>
          <w:sz w:val="19"/>
          <w:szCs w:val="19"/>
          <w:color w:val="auto"/>
        </w:rPr>
        <w:t>. The Executive will serve as the Chief Revenue Officer of the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such authority, duties and responsibilities assigned to Executive by the Chief Executive Officer of the Company. The Executive will report to the Chief Executive Officer of the Company. The Executive may work remotely from Delaware so long as doing so does not interfere with the Executive's responsibilities under this Agreement; provided, that Executive shall be expected to travel, as needed, to the Company’s corporate headquarters and to client sites.</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right="400" w:firstLine="756"/>
        <w:spacing w:after="0" w:line="277" w:lineRule="auto"/>
        <w:tabs>
          <w:tab w:leader="none" w:pos="922"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Full Time; Best Efforts</w:t>
      </w:r>
      <w:r>
        <w:rPr>
          <w:rFonts w:ascii="Arial" w:cs="Arial" w:eastAsia="Arial" w:hAnsi="Arial"/>
          <w:sz w:val="19"/>
          <w:szCs w:val="19"/>
          <w:color w:val="auto"/>
        </w:rPr>
        <w:t>. The Executive shall use the Executive’s best efforts to promote the interests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shall devote the Executive’s full business time and efforts to its business and affairs. The Executive shall not engage in any other activity that could reasonably be expected to interfere with the performance of the Executive’s duties, services and responsibilities hereunder. Nothing in this Agreement shall preclude the Executive from engaging in civic, charitable, and volunteer activities and, in the future, other boards with the prior approval of the Chief Executive Officer or the Board (as defined below) provided that such activities do not materially interfere with the Executive’s proper performance of his duties and responsibilities on behalf of the Company.</w:t>
      </w:r>
    </w:p>
    <w:p>
      <w:pPr>
        <w:spacing w:after="0" w:line="190" w:lineRule="exact"/>
        <w:rPr>
          <w:rFonts w:ascii="Arial" w:cs="Arial" w:eastAsia="Arial" w:hAnsi="Arial"/>
          <w:sz w:val="19"/>
          <w:szCs w:val="19"/>
          <w:b w:val="1"/>
          <w:bCs w:val="1"/>
          <w:color w:val="auto"/>
        </w:rPr>
      </w:pPr>
    </w:p>
    <w:p>
      <w:pPr>
        <w:ind w:right="400" w:firstLine="756"/>
        <w:spacing w:after="0" w:line="334" w:lineRule="auto"/>
        <w:tabs>
          <w:tab w:leader="none" w:pos="922"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Compensation and Benefits</w:t>
      </w:r>
      <w:r>
        <w:rPr>
          <w:rFonts w:ascii="Arial" w:cs="Arial" w:eastAsia="Arial" w:hAnsi="Arial"/>
          <w:sz w:val="19"/>
          <w:szCs w:val="19"/>
          <w:color w:val="auto"/>
        </w:rPr>
        <w:t>. During the term of this Agreement, the Executive shall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and benefits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-3810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21" w:right="339" w:bottom="1440" w:gutter="0" w:footer="0" w:header="0"/>
        </w:sectPr>
      </w:pPr>
    </w:p>
    <w:bookmarkStart w:id="54" w:name="page55"/>
    <w:bookmarkEnd w:id="54"/>
    <w:p>
      <w:pPr>
        <w:jc w:val="both"/>
        <w:ind w:left="520" w:firstLine="1504"/>
        <w:spacing w:after="0" w:line="237" w:lineRule="auto"/>
        <w:tabs>
          <w:tab w:leader="none" w:pos="245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The Executive will receive a salary at the rate of $400,000 annually (the “</w:t>
      </w:r>
      <w:r>
        <w:rPr>
          <w:rFonts w:ascii="Arial" w:cs="Arial" w:eastAsia="Arial" w:hAnsi="Arial"/>
          <w:sz w:val="22"/>
          <w:szCs w:val="22"/>
          <w:b w:val="1"/>
          <w:bCs w:val="1"/>
          <w:color w:val="auto"/>
        </w:rPr>
        <w:t>Base Salary</w:t>
      </w:r>
      <w:r>
        <w:rPr>
          <w:rFonts w:ascii="Arial" w:cs="Arial" w:eastAsia="Arial" w:hAnsi="Arial"/>
          <w:sz w:val="22"/>
          <w:szCs w:val="22"/>
          <w:color w:val="auto"/>
        </w:rPr>
        <w:t>”), payable in accordance with the Company’s standard payroll practices. The Compensation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Compensation Committee</w:t>
      </w:r>
      <w:r>
        <w:rPr>
          <w:rFonts w:ascii="Arial" w:cs="Arial" w:eastAsia="Arial" w:hAnsi="Arial"/>
          <w:sz w:val="22"/>
          <w:szCs w:val="22"/>
          <w:color w:val="auto"/>
        </w:rPr>
        <w:t>”) of the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of Definitive Healthcare Corp. (“</w:t>
      </w:r>
      <w:r>
        <w:rPr>
          <w:rFonts w:ascii="Arial" w:cs="Arial" w:eastAsia="Arial" w:hAnsi="Arial"/>
          <w:sz w:val="22"/>
          <w:szCs w:val="22"/>
          <w:b w:val="1"/>
          <w:bCs w:val="1"/>
          <w:color w:val="auto"/>
        </w:rPr>
        <w:t>Parent</w:t>
      </w:r>
      <w:r>
        <w:rPr>
          <w:rFonts w:ascii="Arial" w:cs="Arial" w:eastAsia="Arial" w:hAnsi="Arial"/>
          <w:sz w:val="22"/>
          <w:szCs w:val="22"/>
          <w:color w:val="auto"/>
        </w:rPr>
        <w:t>”) shall determine, on an annual basis and in its sole good faith discretion, whether to increase or otherwise modify the Executive’s Base Salary.</w:t>
      </w:r>
    </w:p>
    <w:p>
      <w:pPr>
        <w:spacing w:after="0" w:line="180" w:lineRule="exact"/>
        <w:rPr>
          <w:rFonts w:ascii="Arial" w:cs="Arial" w:eastAsia="Arial" w:hAnsi="Arial"/>
          <w:sz w:val="22"/>
          <w:szCs w:val="22"/>
          <w:b w:val="1"/>
          <w:bCs w:val="1"/>
          <w:color w:val="auto"/>
        </w:rPr>
      </w:pPr>
    </w:p>
    <w:p>
      <w:pPr>
        <w:jc w:val="both"/>
        <w:ind w:left="520" w:firstLine="1504"/>
        <w:spacing w:after="0" w:line="258" w:lineRule="auto"/>
        <w:tabs>
          <w:tab w:leader="none" w:pos="245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Bonus</w:t>
      </w:r>
      <w:r>
        <w:rPr>
          <w:rFonts w:ascii="Arial" w:cs="Arial" w:eastAsia="Arial" w:hAnsi="Arial"/>
          <w:sz w:val="20"/>
          <w:szCs w:val="20"/>
          <w:color w:val="auto"/>
        </w:rPr>
        <w:t>. The Executive shall be eligible to receive an annual cash bonus (“</w:t>
      </w:r>
      <w:r>
        <w:rPr>
          <w:rFonts w:ascii="Arial" w:cs="Arial" w:eastAsia="Arial" w:hAnsi="Arial"/>
          <w:sz w:val="20"/>
          <w:szCs w:val="20"/>
          <w:b w:val="1"/>
          <w:bCs w:val="1"/>
          <w:color w:val="auto"/>
        </w:rPr>
        <w:t>Annual Bonus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the Company achieving specified performance targets and other requirements which will be determined reasonably and in good faith on an annual basis for the corresponding year by the CEO and the Board or Compensation Committee in accordance with and subject to the Definitive Healthcare Corp. Cash Incentive Plan. For 2023, the Annual Bonus opportunity for the Executive at “target” will be 75% of Executive’s Base Salary and payout will be pro-rated based upon the Start Date. For future years, Executive will be eligible for an Annual Bonus, which shall be determined in the sole discretion of the Compensation Committee; provided, that for such future years, “target” Annual Bonus opportunity shall be set at an amount equal to at least 75% of Executive’s Base Salary as of the Start Date. The Executive must be actively employed by the Company through and including the date on which the Annual Bonus, if any, is paid to be eligible to receive it. All earned Annual Bonus amounts unpaid as of the end of a calendar year shall be paid no later than March 15 of the following calendar year.</w:t>
      </w:r>
    </w:p>
    <w:p>
      <w:pPr>
        <w:spacing w:after="0" w:line="273" w:lineRule="exact"/>
        <w:rPr>
          <w:rFonts w:ascii="Arial" w:cs="Arial" w:eastAsia="Arial" w:hAnsi="Arial"/>
          <w:sz w:val="20"/>
          <w:szCs w:val="20"/>
          <w:b w:val="1"/>
          <w:bCs w:val="1"/>
          <w:color w:val="auto"/>
        </w:rPr>
      </w:pPr>
    </w:p>
    <w:p>
      <w:pPr>
        <w:jc w:val="both"/>
        <w:ind w:left="520" w:firstLine="1504"/>
        <w:spacing w:after="0" w:line="272" w:lineRule="auto"/>
        <w:tabs>
          <w:tab w:leader="none" w:pos="245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Bonus Pre-Payment. </w:t>
      </w:r>
      <w:r>
        <w:rPr>
          <w:rFonts w:ascii="Arial" w:cs="Arial" w:eastAsia="Arial" w:hAnsi="Arial"/>
          <w:sz w:val="19"/>
          <w:szCs w:val="19"/>
          <w:color w:val="auto"/>
        </w:rPr>
        <w:t>During calendar year 2024, the Executive will receive $50,000 per</w:t>
      </w:r>
      <w:r>
        <w:rPr>
          <w:rFonts w:ascii="Arial" w:cs="Arial" w:eastAsia="Arial" w:hAnsi="Arial"/>
          <w:sz w:val="19"/>
          <w:szCs w:val="19"/>
          <w:b w:val="1"/>
          <w:bCs w:val="1"/>
          <w:color w:val="auto"/>
        </w:rPr>
        <w:t xml:space="preserve"> </w:t>
      </w:r>
      <w:r>
        <w:rPr>
          <w:rFonts w:ascii="Arial" w:cs="Arial" w:eastAsia="Arial" w:hAnsi="Arial"/>
          <w:sz w:val="19"/>
          <w:szCs w:val="19"/>
          <w:color w:val="auto"/>
        </w:rPr>
        <w:t>calendar quarter, payable in accordance with the Company’s standard payroll practices, as an advance payment against Executive’s anticipated Annual Bonus that would otherwise be payable in 2025 with respect to 2024 performance (the “</w:t>
      </w:r>
      <w:r>
        <w:rPr>
          <w:rFonts w:ascii="Arial" w:cs="Arial" w:eastAsia="Arial" w:hAnsi="Arial"/>
          <w:sz w:val="19"/>
          <w:szCs w:val="19"/>
          <w:b w:val="1"/>
          <w:bCs w:val="1"/>
          <w:color w:val="auto"/>
        </w:rPr>
        <w:t>2024 Bonus</w:t>
      </w:r>
      <w:r>
        <w:rPr>
          <w:rFonts w:ascii="Arial" w:cs="Arial" w:eastAsia="Arial" w:hAnsi="Arial"/>
          <w:sz w:val="19"/>
          <w:szCs w:val="19"/>
          <w:color w:val="auto"/>
        </w:rPr>
        <w:t>”). Upon final determination by the Board of the 2024 Bonus amount actually earned and payable, (a) if such 2024 Bonus amount actually payable exceeds $200,000, then Executive shall be paid the amount of such excess at the same time and in the same manner as other similarly-situated executives of the Company; and (b) if the 2024 Bonus amount actually payable is less than $200,000, then the amount of such shortfall will be deducted on a ratable basis from remaining payments otherwise payable to Executive during calendar year 2025. Notwithstanding the foregoing, if Executive’s employment with the Company terminates prior to the Compensation Committee’s final determination of the 2024 Bonus amount, then Executive shall only be entitled to retain pre-paid Annual Bonus amounts, if any, on a pro-rated basis based upon days worked during the 2024 Bonus performance period, and subject to adjustment upon final determination of the 2024 Bonus amount as set forth in the preceding sentence.</w:t>
      </w:r>
    </w:p>
    <w:p>
      <w:pPr>
        <w:spacing w:after="0" w:line="197" w:lineRule="exact"/>
        <w:rPr>
          <w:rFonts w:ascii="Arial" w:cs="Arial" w:eastAsia="Arial" w:hAnsi="Arial"/>
          <w:sz w:val="19"/>
          <w:szCs w:val="19"/>
          <w:b w:val="1"/>
          <w:bCs w:val="1"/>
          <w:color w:val="auto"/>
        </w:rPr>
      </w:pPr>
    </w:p>
    <w:p>
      <w:pPr>
        <w:jc w:val="both"/>
        <w:ind w:left="520" w:firstLine="1504"/>
        <w:spacing w:after="0" w:line="259" w:lineRule="auto"/>
        <w:tabs>
          <w:tab w:leader="none" w:pos="245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Shares</w:t>
      </w:r>
      <w:r>
        <w:rPr>
          <w:rFonts w:ascii="Arial" w:cs="Arial" w:eastAsia="Arial" w:hAnsi="Arial"/>
          <w:sz w:val="20"/>
          <w:szCs w:val="20"/>
          <w:color w:val="auto"/>
        </w:rPr>
        <w:t>. As a material inducement to Executive to enter into and undertake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this Agreement, upon the Start Date, the Executive will receive a grant of restricted stock units (“</w:t>
      </w:r>
      <w:r>
        <w:rPr>
          <w:rFonts w:ascii="Arial" w:cs="Arial" w:eastAsia="Arial" w:hAnsi="Arial"/>
          <w:sz w:val="20"/>
          <w:szCs w:val="20"/>
          <w:b w:val="1"/>
          <w:bCs w:val="1"/>
          <w:color w:val="auto"/>
        </w:rPr>
        <w:t>RSUs</w:t>
      </w:r>
      <w:r>
        <w:rPr>
          <w:rFonts w:ascii="Arial" w:cs="Arial" w:eastAsia="Arial" w:hAnsi="Arial"/>
          <w:sz w:val="20"/>
          <w:szCs w:val="20"/>
          <w:color w:val="auto"/>
        </w:rPr>
        <w:t>”) in Parent pursuant to the Definitive Healthcare Corp. 2021 Equity Incentive Plan or the Definitive Healthcare Corp. 2023 Inducement Plan (as applicable, the “</w:t>
      </w:r>
      <w:r>
        <w:rPr>
          <w:rFonts w:ascii="Arial" w:cs="Arial" w:eastAsia="Arial" w:hAnsi="Arial"/>
          <w:sz w:val="20"/>
          <w:szCs w:val="20"/>
          <w:b w:val="1"/>
          <w:bCs w:val="1"/>
          <w:color w:val="auto"/>
        </w:rPr>
        <w:t>Equity Plan</w:t>
      </w:r>
      <w:r>
        <w:rPr>
          <w:rFonts w:ascii="Arial" w:cs="Arial" w:eastAsia="Arial" w:hAnsi="Arial"/>
          <w:sz w:val="20"/>
          <w:szCs w:val="20"/>
          <w:color w:val="auto"/>
        </w:rPr>
        <w:t>”) and the applicable award agreement thereunder (the “</w:t>
      </w:r>
      <w:r>
        <w:rPr>
          <w:rFonts w:ascii="Arial" w:cs="Arial" w:eastAsia="Arial" w:hAnsi="Arial"/>
          <w:sz w:val="20"/>
          <w:szCs w:val="20"/>
          <w:b w:val="1"/>
          <w:bCs w:val="1"/>
          <w:color w:val="auto"/>
        </w:rPr>
        <w:t>Initial</w:t>
      </w:r>
      <w:r>
        <w:rPr>
          <w:rFonts w:ascii="Arial" w:cs="Arial" w:eastAsia="Arial" w:hAnsi="Arial"/>
          <w:sz w:val="20"/>
          <w:szCs w:val="20"/>
          <w:color w:val="auto"/>
        </w:rPr>
        <w:t xml:space="preserve"> </w:t>
      </w:r>
      <w:r>
        <w:rPr>
          <w:rFonts w:ascii="Arial" w:cs="Arial" w:eastAsia="Arial" w:hAnsi="Arial"/>
          <w:sz w:val="20"/>
          <w:szCs w:val="20"/>
          <w:b w:val="1"/>
          <w:bCs w:val="1"/>
          <w:color w:val="auto"/>
        </w:rPr>
        <w:t>RSU Grant</w:t>
      </w:r>
      <w:r>
        <w:rPr>
          <w:rFonts w:ascii="Arial" w:cs="Arial" w:eastAsia="Arial" w:hAnsi="Arial"/>
          <w:sz w:val="20"/>
          <w:szCs w:val="20"/>
          <w:color w:val="auto"/>
        </w:rPr>
        <w:t>”). The Initial RSU Grant will have a target value at grant of $2,750,000, and the number of RSUs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Initial RSU Grant will be determined by dividing such target grant value by the average closing price of a share of Parent common stock over the thirty (30) trading days immediately preceding (and not including) the Start Date. Subject to Executive’s continued employment through each such vesting date, the Initial RSU Grant will vest as follows: (i) 25% of the shares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382" w:right="719" w:bottom="1440" w:gutter="0" w:footer="0" w:header="0"/>
        </w:sectPr>
      </w:pPr>
    </w:p>
    <w:bookmarkStart w:id="55" w:name="page56"/>
    <w:bookmarkEnd w:id="55"/>
    <w:p>
      <w:pPr>
        <w:jc w:val="both"/>
        <w:ind w:left="520" w:right="80"/>
        <w:spacing w:after="0" w:line="259" w:lineRule="auto"/>
        <w:rPr>
          <w:sz w:val="20"/>
          <w:szCs w:val="20"/>
          <w:color w:val="auto"/>
        </w:rPr>
      </w:pPr>
      <w:r>
        <w:rPr>
          <w:rFonts w:ascii="Arial" w:cs="Arial" w:eastAsia="Arial" w:hAnsi="Arial"/>
          <w:sz w:val="20"/>
          <w:szCs w:val="20"/>
          <w:color w:val="auto"/>
        </w:rPr>
        <w:t>subject to the Initial RSU Grant shall vest on the 1-year anniversary of the Start Date; and (ii) quarterly vesting of 6.25% of the shares subject to the Initial RSU Grant per quarter until fully vested, over the subsequent three (3) years. The Company understands that Executive would not accept employment with the Company but for the granting of the Initial RSU Grant. The Initial RSU Grant will be granted pursuant to the “inducement grant exception” provided under Nasdaq Listing Rule 5635(c)(4) and Nasdaq IM-5635-1 and will be subject to the terms and conditions set forth in the applicable equity plan and award agreement governing the Initial RSU Grant. Executive is expected to comply with the minimum stockholding guidelines applicable to executive officers as adopted by the Compensation Committee, as the same may be amended from time to time.</w:t>
      </w:r>
    </w:p>
    <w:p>
      <w:pPr>
        <w:spacing w:after="0" w:line="206" w:lineRule="exact"/>
        <w:rPr>
          <w:sz w:val="20"/>
          <w:szCs w:val="20"/>
          <w:color w:val="auto"/>
        </w:rPr>
      </w:pPr>
    </w:p>
    <w:p>
      <w:pPr>
        <w:jc w:val="both"/>
        <w:ind w:left="520" w:right="100" w:firstLine="1504"/>
        <w:spacing w:after="0" w:line="236" w:lineRule="auto"/>
        <w:tabs>
          <w:tab w:leader="none" w:pos="245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Benefits</w:t>
      </w:r>
      <w:r>
        <w:rPr>
          <w:rFonts w:ascii="Arial" w:cs="Arial" w:eastAsia="Arial" w:hAnsi="Arial"/>
          <w:sz w:val="22"/>
          <w:szCs w:val="22"/>
          <w:color w:val="auto"/>
        </w:rPr>
        <w:t>. In addition to the Base Salary and the compensation set forth above,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entitled to participate in Company benefit plans that are generally available to the Company’s executive employees in accordance with and subject to the then existing terms and conditions of such plans. The Company may modify or terminate such benefit programs at any time in its sole discretion. If the Executive chooses to participate in a Company-sponsored medical insurance plan, the Company will cover 100% of the costs of the premiums of such plan.</w:t>
      </w:r>
    </w:p>
    <w:p>
      <w:pPr>
        <w:spacing w:after="0" w:line="206" w:lineRule="exact"/>
        <w:rPr>
          <w:rFonts w:ascii="Arial" w:cs="Arial" w:eastAsia="Arial" w:hAnsi="Arial"/>
          <w:sz w:val="22"/>
          <w:szCs w:val="22"/>
          <w:b w:val="1"/>
          <w:bCs w:val="1"/>
          <w:color w:val="auto"/>
        </w:rPr>
      </w:pPr>
    </w:p>
    <w:p>
      <w:pPr>
        <w:jc w:val="both"/>
        <w:ind w:left="520" w:right="80" w:firstLine="1504"/>
        <w:spacing w:after="0" w:line="243" w:lineRule="auto"/>
        <w:tabs>
          <w:tab w:leader="none" w:pos="245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Severance Plan. </w:t>
      </w:r>
      <w:r>
        <w:rPr>
          <w:rFonts w:ascii="Arial" w:cs="Arial" w:eastAsia="Arial" w:hAnsi="Arial"/>
          <w:sz w:val="22"/>
          <w:szCs w:val="22"/>
          <w:color w:val="auto"/>
        </w:rPr>
        <w:t>Executive shall be entitled to participate as an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in the Definitive Healthcare Corp. Change in Control Severance Plan for Executives, as such may be amended from time to time.</w:t>
      </w:r>
    </w:p>
    <w:p>
      <w:pPr>
        <w:spacing w:after="0" w:line="202" w:lineRule="exact"/>
        <w:rPr>
          <w:rFonts w:ascii="Arial" w:cs="Arial" w:eastAsia="Arial" w:hAnsi="Arial"/>
          <w:sz w:val="22"/>
          <w:szCs w:val="22"/>
          <w:b w:val="1"/>
          <w:bCs w:val="1"/>
          <w:color w:val="auto"/>
        </w:rPr>
      </w:pPr>
    </w:p>
    <w:p>
      <w:pPr>
        <w:ind w:left="520" w:right="100" w:firstLine="1504"/>
        <w:spacing w:after="0" w:line="305" w:lineRule="auto"/>
        <w:tabs>
          <w:tab w:leader="none" w:pos="2450" w:val="left"/>
        </w:tabs>
        <w:numPr>
          <w:ilvl w:val="1"/>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w:t>
      </w:r>
      <w:r>
        <w:rPr>
          <w:rFonts w:ascii="Arial" w:cs="Arial" w:eastAsia="Arial" w:hAnsi="Arial"/>
          <w:sz w:val="20"/>
          <w:szCs w:val="20"/>
          <w:color w:val="auto"/>
        </w:rPr>
        <w:t>. The Company shall withhold from compensation payable to the Executive all</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federal, state and local withholding taxes required to be withheld by the Company under applicable law.</w:t>
      </w:r>
    </w:p>
    <w:p>
      <w:pPr>
        <w:spacing w:after="0" w:line="157" w:lineRule="exact"/>
        <w:rPr>
          <w:rFonts w:ascii="Arial" w:cs="Arial" w:eastAsia="Arial" w:hAnsi="Arial"/>
          <w:sz w:val="20"/>
          <w:szCs w:val="20"/>
          <w:b w:val="1"/>
          <w:bCs w:val="1"/>
          <w:color w:val="auto"/>
        </w:rPr>
      </w:pPr>
    </w:p>
    <w:p>
      <w:pPr>
        <w:ind w:left="520" w:right="100" w:firstLine="1504"/>
        <w:spacing w:after="0" w:line="305" w:lineRule="auto"/>
        <w:tabs>
          <w:tab w:leader="none" w:pos="2450" w:val="left"/>
        </w:tabs>
        <w:numPr>
          <w:ilvl w:val="1"/>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D&amp;O Insurance</w:t>
      </w:r>
      <w:r>
        <w:rPr>
          <w:rFonts w:ascii="Arial" w:cs="Arial" w:eastAsia="Arial" w:hAnsi="Arial"/>
          <w:sz w:val="20"/>
          <w:szCs w:val="20"/>
          <w:color w:val="auto"/>
        </w:rPr>
        <w:t>. The Company will maintain a directors and officers liability policy covering</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with coverage comparable or equal to that provided to other senior executives of the Company.</w:t>
      </w:r>
    </w:p>
    <w:p>
      <w:pPr>
        <w:spacing w:after="0" w:line="157" w:lineRule="exact"/>
        <w:rPr>
          <w:rFonts w:ascii="Arial" w:cs="Arial" w:eastAsia="Arial" w:hAnsi="Arial"/>
          <w:sz w:val="20"/>
          <w:szCs w:val="20"/>
          <w:b w:val="1"/>
          <w:bCs w:val="1"/>
          <w:color w:val="auto"/>
        </w:rPr>
      </w:pPr>
    </w:p>
    <w:p>
      <w:pPr>
        <w:ind w:left="520" w:right="100" w:firstLine="756"/>
        <w:spacing w:after="0" w:line="334" w:lineRule="auto"/>
        <w:tabs>
          <w:tab w:leader="none" w:pos="1442"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Confidentiality; Intellectual Property</w:t>
      </w:r>
      <w:r>
        <w:rPr>
          <w:rFonts w:ascii="Arial" w:cs="Arial" w:eastAsia="Arial" w:hAnsi="Arial"/>
          <w:sz w:val="19"/>
          <w:szCs w:val="19"/>
          <w:color w:val="auto"/>
        </w:rPr>
        <w:t>. The Executive agrees that during the Executive’s employment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business relationship with the Company, whether or not under this Agreement, and at all times thereafter:</w:t>
      </w:r>
    </w:p>
    <w:p>
      <w:pPr>
        <w:spacing w:after="0" w:line="179" w:lineRule="exact"/>
        <w:rPr>
          <w:rFonts w:ascii="Arial" w:cs="Arial" w:eastAsia="Arial" w:hAnsi="Arial"/>
          <w:sz w:val="19"/>
          <w:szCs w:val="19"/>
          <w:b w:val="1"/>
          <w:bCs w:val="1"/>
          <w:color w:val="auto"/>
        </w:rPr>
      </w:pPr>
    </w:p>
    <w:p>
      <w:pPr>
        <w:jc w:val="both"/>
        <w:ind w:left="520" w:firstLine="1504"/>
        <w:spacing w:after="0" w:line="257" w:lineRule="auto"/>
        <w:tabs>
          <w:tab w:leader="none" w:pos="2454"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Executive will not at any time, directly or indirectly, disclose or divulge any Confidential Information, except as required in connection with the performance of the Executive’s duties for the Company, and except to the extent required by law (but only after the Executive has provided the Company with reasonable notice and opportunity to take action against any legally required disclosure). As used herein,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xml:space="preserve">” means all trade secrets and all other information of a business, financial, marketing, technical or other nature relating to the business of the Company including, without limitation, any customer or vendor lists, prospective customer names, financial statements and projections, know-how, pricing policies, operational methods, methods of doing business, technical processes, formulae, designs and design projects, inventions, computer hardware, software programs, business plans and projects pertaining to the Company and including any information of others that the Company has agreed to keep confidential; </w:t>
      </w:r>
      <w:r>
        <w:rPr>
          <w:rFonts w:ascii="Arial" w:cs="Arial" w:eastAsia="Arial" w:hAnsi="Arial"/>
          <w:sz w:val="20"/>
          <w:szCs w:val="20"/>
          <w:i w:val="1"/>
          <w:iCs w:val="1"/>
          <w:color w:val="auto"/>
        </w:rPr>
        <w:t>provided</w:t>
      </w:r>
      <w:r>
        <w:rPr>
          <w:rFonts w:ascii="Arial" w:cs="Arial" w:eastAsia="Arial" w:hAnsi="Arial"/>
          <w:sz w:val="20"/>
          <w:szCs w:val="20"/>
          <w:color w:val="auto"/>
        </w:rPr>
        <w:t>, that Confidential Information shall not include any information that has entered or enters the public domain through no fault of the Executive.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00" w:top="334" w:right="639" w:bottom="1440" w:gutter="0" w:footer="0" w:header="0"/>
        </w:sectPr>
      </w:pPr>
    </w:p>
    <w:bookmarkStart w:id="56" w:name="page57"/>
    <w:bookmarkEnd w:id="56"/>
    <w:p>
      <w:pPr>
        <w:jc w:val="both"/>
        <w:ind w:left="520" w:right="20" w:firstLine="1504"/>
        <w:spacing w:after="0"/>
        <w:tabs>
          <w:tab w:leader="none" w:pos="245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Executive shall make no use whatsoever, directly or indirectly, of any Confidential Information at any time, except as required in connection with the performance of the Executive’s duties for the Company.</w:t>
      </w:r>
    </w:p>
    <w:p>
      <w:pPr>
        <w:spacing w:after="0" w:line="211" w:lineRule="exact"/>
        <w:rPr>
          <w:rFonts w:ascii="Arial" w:cs="Arial" w:eastAsia="Arial" w:hAnsi="Arial"/>
          <w:sz w:val="22"/>
          <w:szCs w:val="22"/>
          <w:color w:val="auto"/>
        </w:rPr>
      </w:pPr>
    </w:p>
    <w:p>
      <w:pPr>
        <w:jc w:val="both"/>
        <w:ind w:left="520" w:right="20" w:firstLine="1504"/>
        <w:spacing w:after="0"/>
        <w:tabs>
          <w:tab w:leader="none" w:pos="2450" w:val="left"/>
        </w:tabs>
        <w:numPr>
          <w:ilvl w:val="0"/>
          <w:numId w:val="13"/>
        </w:numPr>
        <w:rPr>
          <w:rFonts w:ascii="Arial" w:cs="Arial" w:eastAsia="Arial" w:hAnsi="Arial"/>
          <w:sz w:val="22"/>
          <w:szCs w:val="22"/>
          <w:color w:val="auto"/>
        </w:rPr>
      </w:pPr>
      <w:r>
        <w:rPr>
          <w:rFonts w:ascii="Arial" w:cs="Arial" w:eastAsia="Arial" w:hAnsi="Arial"/>
          <w:sz w:val="22"/>
          <w:szCs w:val="22"/>
          <w:color w:val="auto"/>
        </w:rPr>
        <w:t>Upon the Company’s request following termination of employment, the Executive shall immediately deliver to the Company all materials (including all soft and hard copies) in the Executive’s possession or control which contain or relate to Confidential Information.</w:t>
      </w:r>
    </w:p>
    <w:p>
      <w:pPr>
        <w:spacing w:after="0" w:line="184" w:lineRule="exact"/>
        <w:rPr>
          <w:rFonts w:ascii="Arial" w:cs="Arial" w:eastAsia="Arial" w:hAnsi="Arial"/>
          <w:sz w:val="22"/>
          <w:szCs w:val="22"/>
          <w:color w:val="auto"/>
        </w:rPr>
      </w:pPr>
    </w:p>
    <w:p>
      <w:pPr>
        <w:jc w:val="both"/>
        <w:ind w:left="520" w:firstLine="1504"/>
        <w:spacing w:after="0" w:line="257" w:lineRule="auto"/>
        <w:tabs>
          <w:tab w:leader="none" w:pos="245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All inventions, modifications, discoveries, designs, developments, improvements, processes, software programs, works of authorship, documentation, formulae, data, techniques, know-how, secrets or intellectual property rights or any interest therein (collectively, “</w:t>
      </w:r>
      <w:r>
        <w:rPr>
          <w:rFonts w:ascii="Arial" w:cs="Arial" w:eastAsia="Arial" w:hAnsi="Arial"/>
          <w:sz w:val="20"/>
          <w:szCs w:val="20"/>
          <w:b w:val="1"/>
          <w:bCs w:val="1"/>
          <w:color w:val="auto"/>
        </w:rPr>
        <w:t>Developments</w:t>
      </w:r>
      <w:r>
        <w:rPr>
          <w:rFonts w:ascii="Arial" w:cs="Arial" w:eastAsia="Arial" w:hAnsi="Arial"/>
          <w:sz w:val="20"/>
          <w:szCs w:val="20"/>
          <w:color w:val="auto"/>
        </w:rPr>
        <w:t>”) made by the Executive in connection with his employment with the Company, either alone or in conjunction with others, at any time or at any place during the Executive’s employment or other business relationship with the Company, whether or not under this Agreement and whether or not reduced to writing or practice during such period of employment, which relate to the business in which the Company is engaged or any actual or demonstrably anticipated research or development of the Company, shall be and hereby are the exclusive property of the Company without any further compensation to the Executive. In addition, without limiting the generality of the prior sentence, all Developments which are copyrightable work by the Executive are intended to be “work made for hire” as defined in Section 101 of the Copyright Act of 1976, as amended, and shall be and hereby are the property of the Company.</w:t>
      </w:r>
    </w:p>
    <w:p>
      <w:pPr>
        <w:spacing w:after="0" w:line="217" w:lineRule="exact"/>
        <w:rPr>
          <w:rFonts w:ascii="Arial" w:cs="Arial" w:eastAsia="Arial" w:hAnsi="Arial"/>
          <w:sz w:val="20"/>
          <w:szCs w:val="20"/>
          <w:color w:val="auto"/>
        </w:rPr>
      </w:pPr>
    </w:p>
    <w:p>
      <w:pPr>
        <w:jc w:val="both"/>
        <w:ind w:left="520" w:firstLine="1504"/>
        <w:spacing w:after="0" w:line="271" w:lineRule="auto"/>
        <w:tabs>
          <w:tab w:leader="none" w:pos="245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Executive shall promptly disclose any Developments to the Company. If any Development is not the property of the Company by operation of law, this Agreement or otherwise, the Executive will, and hereby does, assign to the Company all right, title and interest in such Development, without further consideration, and will assist the Company and its nominees in every way, at the Company’s expense, to secure, maintain and defend the Company’s rights in such Development. The Executive shall sign all instruments reasonably necessary for the filing and prosecution of any applications for, or extension or renewals of, letters patent (or other intellectual property registrations or filings) of the United States or any foreign country which the Company desires to file and relates to any Development. The Executive hereby irrevocably designates and appoints the Company and its duly authorized officers and agents as the Executive’s agent and attorney-in-fact (which designation and appointment shall be deemed coupled with an interest and shall survive the Executive’s death or incapacity), to act for and in the Executive’s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w:t>
      </w:r>
    </w:p>
    <w:p>
      <w:pPr>
        <w:spacing w:after="0" w:line="238" w:lineRule="exact"/>
        <w:rPr>
          <w:rFonts w:ascii="Arial" w:cs="Arial" w:eastAsia="Arial" w:hAnsi="Arial"/>
          <w:sz w:val="19"/>
          <w:szCs w:val="19"/>
          <w:color w:val="auto"/>
        </w:rPr>
      </w:pPr>
    </w:p>
    <w:p>
      <w:pPr>
        <w:ind w:left="2780" w:hanging="756"/>
        <w:spacing w:after="0"/>
        <w:tabs>
          <w:tab w:leader="none" w:pos="27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Protected Disclosures and Other Protected Actions.</w:t>
      </w:r>
    </w:p>
    <w:p>
      <w:pPr>
        <w:spacing w:after="0" w:line="246" w:lineRule="exact"/>
        <w:rPr>
          <w:sz w:val="20"/>
          <w:szCs w:val="20"/>
          <w:color w:val="auto"/>
        </w:rPr>
      </w:pPr>
    </w:p>
    <w:p>
      <w:pPr>
        <w:jc w:val="both"/>
        <w:ind w:left="520" w:right="20" w:firstLine="2246"/>
        <w:spacing w:after="0" w:line="239" w:lineRule="auto"/>
        <w:rPr>
          <w:sz w:val="20"/>
          <w:szCs w:val="20"/>
          <w:color w:val="auto"/>
        </w:rPr>
      </w:pPr>
      <w:r>
        <w:rPr>
          <w:rFonts w:ascii="Arial" w:cs="Arial" w:eastAsia="Arial" w:hAnsi="Arial"/>
          <w:sz w:val="22"/>
          <w:szCs w:val="22"/>
          <w:b w:val="1"/>
          <w:bCs w:val="1"/>
          <w:color w:val="auto"/>
        </w:rPr>
        <w:t xml:space="preserve">(i)Government Agencies. </w:t>
      </w:r>
      <w:r>
        <w:rPr>
          <w:rFonts w:ascii="Arial" w:cs="Arial" w:eastAsia="Arial" w:hAnsi="Arial"/>
          <w:sz w:val="22"/>
          <w:szCs w:val="22"/>
          <w:color w:val="auto"/>
        </w:rPr>
        <w:t>Nothing contained in this Agreement limits Executive’s ability to</w:t>
      </w:r>
      <w:r>
        <w:rPr>
          <w:rFonts w:ascii="Arial" w:cs="Arial" w:eastAsia="Arial" w:hAnsi="Arial"/>
          <w:sz w:val="22"/>
          <w:szCs w:val="22"/>
          <w:b w:val="1"/>
          <w:bCs w:val="1"/>
          <w:color w:val="auto"/>
        </w:rPr>
        <w:t xml:space="preserve"> </w:t>
      </w:r>
      <w:r>
        <w:rPr>
          <w:rFonts w:ascii="Arial" w:cs="Arial" w:eastAsia="Arial" w:hAnsi="Arial"/>
          <w:sz w:val="22"/>
          <w:szCs w:val="22"/>
          <w:color w:val="auto"/>
        </w:rPr>
        <w:t>file a charge or complaint with the Equal Employment Opportunity Commission, the National Labor Relations Board, the Occupational Safety and Health Administration, the Securities and Exchange Commission or any other federal, state, or local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590" w:right="719" w:bottom="1440" w:gutter="0" w:footer="0" w:header="0"/>
        </w:sectPr>
      </w:pPr>
    </w:p>
    <w:bookmarkStart w:id="57" w:name="page58"/>
    <w:bookmarkEnd w:id="57"/>
    <w:p>
      <w:pPr>
        <w:jc w:val="both"/>
        <w:ind w:left="520"/>
        <w:spacing w:after="0" w:line="235" w:lineRule="auto"/>
        <w:rPr>
          <w:sz w:val="20"/>
          <w:szCs w:val="20"/>
          <w:color w:val="auto"/>
        </w:rPr>
      </w:pPr>
      <w:r>
        <w:rPr>
          <w:rFonts w:ascii="Arial" w:cs="Arial" w:eastAsia="Arial" w:hAnsi="Arial"/>
          <w:sz w:val="22"/>
          <w:szCs w:val="22"/>
          <w:color w:val="auto"/>
        </w:rPr>
        <w:t>governmental agency or commission (“Government Agencies”). Executive further understand that this Agreement does not limit Executive’s ability to communicate with any Government Agencies or otherwise participate in any investigation or proceeding that may be conducted by any Government Agencies, including providing documents or other information, without notice to the Company. This Agreement does not limit Executive’s right to receive an award from a whistleblower award program administered by any Government Agencies for providing information to any Government Agencies.</w:t>
      </w:r>
    </w:p>
    <w:p>
      <w:pPr>
        <w:spacing w:after="0" w:line="220" w:lineRule="exact"/>
        <w:rPr>
          <w:sz w:val="20"/>
          <w:szCs w:val="20"/>
          <w:color w:val="auto"/>
        </w:rPr>
      </w:pPr>
    </w:p>
    <w:p>
      <w:pPr>
        <w:jc w:val="both"/>
        <w:ind w:left="520" w:firstLine="2246"/>
        <w:spacing w:after="0" w:line="236" w:lineRule="auto"/>
        <w:rPr>
          <w:sz w:val="20"/>
          <w:szCs w:val="20"/>
          <w:color w:val="auto"/>
        </w:rPr>
      </w:pPr>
      <w:r>
        <w:rPr>
          <w:rFonts w:ascii="Arial" w:cs="Arial" w:eastAsia="Arial" w:hAnsi="Arial"/>
          <w:sz w:val="22"/>
          <w:szCs w:val="22"/>
          <w:b w:val="1"/>
          <w:bCs w:val="1"/>
          <w:color w:val="auto"/>
        </w:rPr>
        <w:t xml:space="preserve">(ii)Immunity under Defend Trade Secrets Act. </w:t>
      </w:r>
      <w:r>
        <w:rPr>
          <w:rFonts w:ascii="Arial" w:cs="Arial" w:eastAsia="Arial" w:hAnsi="Arial"/>
          <w:sz w:val="22"/>
          <w:szCs w:val="22"/>
          <w:color w:val="auto"/>
        </w:rPr>
        <w:t>In accordance with the Defend Trade</w:t>
      </w:r>
      <w:r>
        <w:rPr>
          <w:rFonts w:ascii="Arial" w:cs="Arial" w:eastAsia="Arial" w:hAnsi="Arial"/>
          <w:sz w:val="22"/>
          <w:szCs w:val="22"/>
          <w:b w:val="1"/>
          <w:bCs w:val="1"/>
          <w:color w:val="auto"/>
        </w:rPr>
        <w:t xml:space="preserve"> </w:t>
      </w:r>
      <w:r>
        <w:rPr>
          <w:rFonts w:ascii="Arial" w:cs="Arial" w:eastAsia="Arial" w:hAnsi="Arial"/>
          <w:sz w:val="22"/>
          <w:szCs w:val="22"/>
          <w:color w:val="auto"/>
        </w:rPr>
        <w:t>Secrets Act of 2016, no employee will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the law; or (b) is made in a complaint or other document that is filed under seal in a lawsuit or other proceeding.</w:t>
      </w:r>
    </w:p>
    <w:p>
      <w:pPr>
        <w:spacing w:after="0" w:line="206" w:lineRule="exact"/>
        <w:rPr>
          <w:sz w:val="20"/>
          <w:szCs w:val="20"/>
          <w:color w:val="auto"/>
        </w:rPr>
      </w:pPr>
    </w:p>
    <w:p>
      <w:pPr>
        <w:jc w:val="both"/>
        <w:ind w:left="520" w:right="20" w:firstLine="756"/>
        <w:spacing w:after="0" w:line="300" w:lineRule="auto"/>
        <w:tabs>
          <w:tab w:leader="none" w:pos="1442"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Nonsolicitation</w:t>
      </w:r>
      <w:r>
        <w:rPr>
          <w:rFonts w:ascii="Arial" w:cs="Arial" w:eastAsia="Arial" w:hAnsi="Arial"/>
          <w:sz w:val="19"/>
          <w:szCs w:val="19"/>
          <w:color w:val="auto"/>
        </w:rPr>
        <w:t>. The Executive agrees that during the Executive’s employment or other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relationship with the Company, whether or not under this Agreement, and for a period of two years thereafter (the “</w:t>
      </w:r>
      <w:r>
        <w:rPr>
          <w:rFonts w:ascii="Arial" w:cs="Arial" w:eastAsia="Arial" w:hAnsi="Arial"/>
          <w:sz w:val="19"/>
          <w:szCs w:val="19"/>
          <w:b w:val="1"/>
          <w:bCs w:val="1"/>
          <w:color w:val="auto"/>
        </w:rPr>
        <w:t>Restricted Period</w:t>
      </w:r>
      <w:r>
        <w:rPr>
          <w:rFonts w:ascii="Arial" w:cs="Arial" w:eastAsia="Arial" w:hAnsi="Arial"/>
          <w:sz w:val="19"/>
          <w:szCs w:val="19"/>
          <w:color w:val="auto"/>
        </w:rPr>
        <w:t>”):</w:t>
      </w:r>
    </w:p>
    <w:p>
      <w:pPr>
        <w:spacing w:after="0" w:line="171" w:lineRule="exact"/>
        <w:rPr>
          <w:rFonts w:ascii="Arial" w:cs="Arial" w:eastAsia="Arial" w:hAnsi="Arial"/>
          <w:sz w:val="19"/>
          <w:szCs w:val="19"/>
          <w:b w:val="1"/>
          <w:bCs w:val="1"/>
          <w:color w:val="auto"/>
        </w:rPr>
      </w:pPr>
    </w:p>
    <w:p>
      <w:pPr>
        <w:jc w:val="both"/>
        <w:ind w:left="520" w:firstLine="1504"/>
        <w:spacing w:after="0" w:line="235" w:lineRule="auto"/>
        <w:tabs>
          <w:tab w:leader="none" w:pos="245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Executive will not, directly or indirectly, individually or as a consultant to, or an executive, officer, director, manager, stockholder, partner, member or other owner or participant in any business entice away from the Company, reduce the amount of business conducted with the Company by or otherwise materially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226" w:lineRule="exact"/>
        <w:rPr>
          <w:rFonts w:ascii="Arial" w:cs="Arial" w:eastAsia="Arial" w:hAnsi="Arial"/>
          <w:sz w:val="22"/>
          <w:szCs w:val="22"/>
          <w:color w:val="auto"/>
        </w:rPr>
      </w:pPr>
    </w:p>
    <w:p>
      <w:pPr>
        <w:jc w:val="both"/>
        <w:ind w:left="520" w:right="20" w:firstLine="1504"/>
        <w:spacing w:after="0" w:line="268" w:lineRule="auto"/>
        <w:tabs>
          <w:tab w:leader="none" w:pos="2450"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Executive will not, directly or indirectly, individually or as a consultant to, or an executive, officer, director, manager, stockholder, partner, member or other owner or participant in any business entity offer employment to or otherwise interfere with the business relationship of the Company with any person or entity who is, or was within the one-year period immediately prior thereto, employed by the Company.</w:t>
      </w:r>
    </w:p>
    <w:p>
      <w:pPr>
        <w:spacing w:after="0" w:line="234" w:lineRule="exact"/>
        <w:rPr>
          <w:sz w:val="20"/>
          <w:szCs w:val="20"/>
          <w:color w:val="auto"/>
        </w:rPr>
      </w:pPr>
    </w:p>
    <w:p>
      <w:pPr>
        <w:jc w:val="both"/>
        <w:ind w:left="520" w:firstLine="749"/>
        <w:spacing w:after="0" w:line="258" w:lineRule="auto"/>
        <w:rPr>
          <w:sz w:val="20"/>
          <w:szCs w:val="20"/>
          <w:color w:val="auto"/>
        </w:rPr>
      </w:pPr>
      <w:r>
        <w:rPr>
          <w:rFonts w:ascii="Arial" w:cs="Arial" w:eastAsia="Arial" w:hAnsi="Arial"/>
          <w:sz w:val="20"/>
          <w:szCs w:val="20"/>
          <w:b w:val="1"/>
          <w:bCs w:val="1"/>
          <w:color w:val="auto"/>
        </w:rPr>
        <w:t>7.Non-Competition</w:t>
      </w:r>
      <w:r>
        <w:rPr>
          <w:rFonts w:ascii="Arial" w:cs="Arial" w:eastAsia="Arial" w:hAnsi="Arial"/>
          <w:sz w:val="20"/>
          <w:szCs w:val="20"/>
          <w:color w:val="auto"/>
        </w:rPr>
        <w:t>. The Executive agrees that, from the Non-Competition Covenant Effective Date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the Restricted Period, the Executive will not directly or indirectly provide services, whether as an owner, officer, director, partner, member, employee, agent, consultant, advisor or developer or in any similar capacity, to any other business entity that is engaged or seeks to become engaged in any line of business conducted by the Company or its affiliates, or which the Company or its affiliates have active plans to conduct, in each case, in any state of the United States and any country outside the United States in which the Company or any of its affiliates conducts its business (provided that the Executive shall not be prohibited from owning up to five percent (5%) of the outstanding stock of a corporation which is publicly traded, so long as the Executive has no active participation in the business of such corporation). The post- employment restrictions in this Section 7 shall not apply in the case of a termination of the Executive’s employment by the Company without Cause. The Executive acknowledges and agrees that the compensation, including the Initial RSU Grant, provided to the Executive by the Company under this Agreement constitute fair and reasonable, mutually agreed upon consideration for the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334" w:right="719" w:bottom="1440" w:gutter="0" w:footer="0" w:header="0"/>
        </w:sectPr>
      </w:pPr>
    </w:p>
    <w:bookmarkStart w:id="58" w:name="page59"/>
    <w:bookmarkEnd w:id="58"/>
    <w:p>
      <w:pPr>
        <w:jc w:val="both"/>
        <w:ind w:left="520"/>
        <w:spacing w:after="0" w:line="262" w:lineRule="auto"/>
        <w:rPr>
          <w:sz w:val="20"/>
          <w:szCs w:val="20"/>
          <w:color w:val="auto"/>
        </w:rPr>
      </w:pPr>
      <w:r>
        <w:rPr>
          <w:rFonts w:ascii="Arial" w:cs="Arial" w:eastAsia="Arial" w:hAnsi="Arial"/>
          <w:sz w:val="20"/>
          <w:szCs w:val="20"/>
          <w:color w:val="auto"/>
        </w:rPr>
        <w:t>restrictions contained in this Agreement, including, without limitation, in this Section 7. If the Executive has unlawfully taken, physically or electronically, property belonging to the Company, or has breached any fiduciary duties owed to the Company, the duration of the post- service restrictions in this Section 7 shall be extended to two years following the termination of the Executive’s employment. The Executive acknowledges that he has been provided notice of this Section 7 at least 10 business days prior to this Section 7 becoming effective, and that he or she has the right to consult with counsel prior to signing this Agreement.</w:t>
      </w:r>
    </w:p>
    <w:p>
      <w:pPr>
        <w:spacing w:after="0" w:line="200" w:lineRule="exact"/>
        <w:rPr>
          <w:sz w:val="20"/>
          <w:szCs w:val="20"/>
          <w:color w:val="auto"/>
        </w:rPr>
      </w:pPr>
    </w:p>
    <w:p>
      <w:pPr>
        <w:jc w:val="both"/>
        <w:ind w:left="520" w:firstLine="756"/>
        <w:spacing w:after="0" w:line="275" w:lineRule="auto"/>
        <w:tabs>
          <w:tab w:leader="none" w:pos="1442"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Remedies</w:t>
      </w:r>
      <w:r>
        <w:rPr>
          <w:rFonts w:ascii="Arial" w:cs="Arial" w:eastAsia="Arial" w:hAnsi="Arial"/>
          <w:sz w:val="19"/>
          <w:szCs w:val="19"/>
          <w:color w:val="auto"/>
        </w:rPr>
        <w:t>. Without limiting the remedies available to the Company, the Executive acknowledges that a</w:t>
      </w:r>
      <w:r>
        <w:rPr>
          <w:rFonts w:ascii="Arial" w:cs="Arial" w:eastAsia="Arial" w:hAnsi="Arial"/>
          <w:sz w:val="19"/>
          <w:szCs w:val="19"/>
          <w:b w:val="1"/>
          <w:bCs w:val="1"/>
          <w:color w:val="auto"/>
        </w:rPr>
        <w:t xml:space="preserve"> </w:t>
      </w:r>
      <w:r>
        <w:rPr>
          <w:rFonts w:ascii="Arial" w:cs="Arial" w:eastAsia="Arial" w:hAnsi="Arial"/>
          <w:sz w:val="19"/>
          <w:szCs w:val="19"/>
          <w:color w:val="auto"/>
        </w:rPr>
        <w:t>breach of any of the covenants contained in Sections 5, 6 or 7 hereof could result in irreparable injury to the Company for which there might be no adequate remedy at law, and that, in the event of such a breach or threat thereof, the Company shall be entitled to obtain a temporary restraining order and/or a preliminary injunction and a permanent injunction restraining the Executive from engaging in any activities prohibited by Sections 5, 6 or 7 hereof or such other equitable relief as may be required to enforce specifically any of the covenants contained in Sections 5, 6 or 7 hereof. The foregoing provisions and the provisions of Sections 5, 6 or 7 hereof shall survive the termination of the Executive’s employment with the Company, and shall continue thereafter in full force and effect in accordance with their terms.</w:t>
      </w:r>
    </w:p>
    <w:p>
      <w:pPr>
        <w:spacing w:after="0" w:line="200" w:lineRule="exact"/>
        <w:rPr>
          <w:rFonts w:ascii="Arial" w:cs="Arial" w:eastAsia="Arial" w:hAnsi="Arial"/>
          <w:sz w:val="19"/>
          <w:szCs w:val="19"/>
          <w:b w:val="1"/>
          <w:bCs w:val="1"/>
          <w:color w:val="auto"/>
        </w:rPr>
      </w:pPr>
    </w:p>
    <w:p>
      <w:pPr>
        <w:spacing w:after="0" w:line="224" w:lineRule="exact"/>
        <w:rPr>
          <w:rFonts w:ascii="Arial" w:cs="Arial" w:eastAsia="Arial" w:hAnsi="Arial"/>
          <w:sz w:val="19"/>
          <w:szCs w:val="19"/>
          <w:b w:val="1"/>
          <w:bCs w:val="1"/>
          <w:color w:val="auto"/>
        </w:rPr>
      </w:pPr>
    </w:p>
    <w:p>
      <w:pPr>
        <w:jc w:val="both"/>
        <w:ind w:left="520" w:right="20" w:firstLine="756"/>
        <w:spacing w:after="0" w:line="300" w:lineRule="auto"/>
        <w:tabs>
          <w:tab w:leader="none" w:pos="1442"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Applicability to Related Companies</w:t>
      </w:r>
      <w:r>
        <w:rPr>
          <w:rFonts w:ascii="Arial" w:cs="Arial" w:eastAsia="Arial" w:hAnsi="Arial"/>
          <w:sz w:val="19"/>
          <w:szCs w:val="19"/>
          <w:color w:val="auto"/>
        </w:rPr>
        <w:t>. For purposes of Sections 5, 6, 7 and 8 of this Agreement,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include the Company and Parent and each of their respective affiliates, whether now existing or hereinafter created, and their respective successors and assigns.</w:t>
      </w:r>
    </w:p>
    <w:p>
      <w:pPr>
        <w:spacing w:after="0" w:line="165" w:lineRule="exact"/>
        <w:rPr>
          <w:sz w:val="20"/>
          <w:szCs w:val="20"/>
          <w:color w:val="auto"/>
        </w:rPr>
      </w:pPr>
    </w:p>
    <w:p>
      <w:pPr>
        <w:jc w:val="both"/>
        <w:ind w:left="520" w:right="20" w:firstLine="749"/>
        <w:spacing w:after="0" w:line="236" w:lineRule="auto"/>
        <w:rPr>
          <w:sz w:val="20"/>
          <w:szCs w:val="20"/>
          <w:color w:val="auto"/>
        </w:rPr>
      </w:pPr>
      <w:r>
        <w:rPr>
          <w:rFonts w:ascii="Arial" w:cs="Arial" w:eastAsia="Arial" w:hAnsi="Arial"/>
          <w:sz w:val="22"/>
          <w:szCs w:val="22"/>
          <w:b w:val="1"/>
          <w:bCs w:val="1"/>
          <w:color w:val="auto"/>
        </w:rPr>
        <w:t>10.Review of Agreement; Reasonable Restrictions</w:t>
      </w:r>
      <w:r>
        <w:rPr>
          <w:rFonts w:ascii="Arial" w:cs="Arial" w:eastAsia="Arial" w:hAnsi="Arial"/>
          <w:sz w:val="22"/>
          <w:szCs w:val="22"/>
          <w:color w:val="auto"/>
        </w:rPr>
        <w:t>. The Executive (a) has carefully read and understands</w:t>
      </w:r>
      <w:r>
        <w:rPr>
          <w:rFonts w:ascii="Arial" w:cs="Arial" w:eastAsia="Arial" w:hAnsi="Arial"/>
          <w:sz w:val="22"/>
          <w:szCs w:val="22"/>
          <w:b w:val="1"/>
          <w:bCs w:val="1"/>
          <w:color w:val="auto"/>
        </w:rPr>
        <w:t xml:space="preserve"> </w:t>
      </w:r>
      <w:r>
        <w:rPr>
          <w:rFonts w:ascii="Arial" w:cs="Arial" w:eastAsia="Arial" w:hAnsi="Arial"/>
          <w:sz w:val="22"/>
          <w:szCs w:val="22"/>
          <w:color w:val="auto"/>
        </w:rPr>
        <w:t>all of the provisions of this Agreement and has had the opportunity for this Agreement to be reviewed by counsel, (b) acknowledges that the duration, scope and subject matter of Sections 5 through 9 of this Agreement are reasonable and necessary to protect the goodwill, customer relationships, legitimate business interests and Confidential Information of the Company and its affiliates, and (c) will be able to earn a satisfactory livelihood without violating this Agreement.</w:t>
      </w:r>
    </w:p>
    <w:p>
      <w:pPr>
        <w:spacing w:after="0" w:line="206" w:lineRule="exact"/>
        <w:rPr>
          <w:sz w:val="20"/>
          <w:szCs w:val="20"/>
          <w:color w:val="auto"/>
        </w:rPr>
      </w:pPr>
    </w:p>
    <w:p>
      <w:pPr>
        <w:jc w:val="both"/>
        <w:ind w:left="520" w:firstLine="749"/>
        <w:spacing w:after="0" w:line="273" w:lineRule="auto"/>
        <w:rPr>
          <w:sz w:val="20"/>
          <w:szCs w:val="20"/>
          <w:color w:val="auto"/>
        </w:rPr>
      </w:pPr>
      <w:r>
        <w:rPr>
          <w:rFonts w:ascii="Arial" w:cs="Arial" w:eastAsia="Arial" w:hAnsi="Arial"/>
          <w:sz w:val="19"/>
          <w:szCs w:val="19"/>
          <w:b w:val="1"/>
          <w:bCs w:val="1"/>
          <w:color w:val="auto"/>
        </w:rPr>
        <w:t>11. At-will Employment; Other Conditions</w:t>
      </w:r>
      <w:r>
        <w:rPr>
          <w:rFonts w:ascii="Arial" w:cs="Arial" w:eastAsia="Arial" w:hAnsi="Arial"/>
          <w:sz w:val="19"/>
          <w:szCs w:val="19"/>
          <w:color w:val="auto"/>
        </w:rPr>
        <w:t>. Executive’s employment and the right to compensation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set forth in this Agreement are continent upon successful completion of pre-employment background checks. As part of the Company’s onboarding process, Executive will need to establish identify and authorization to work as required by the Immigration Reform and Control Act of 1986 (IRCA). In addition, as a condition of employment, Executive will be required to complete the Company’s standard onboarding process applicable to other similarly-situated employees, including acknowledgement of the Parent’s Code of Business Conduct &amp; Ethics. Without limiting the foregoing, Executive’s employment with the Company will be for no specific period of time. Rather, Executive’s employment will be at-will, meaning that Executive or the Company may terminate the employment relationship at any time, with or without cause, and with or without notice and for any reason or no particular reason. Although compensation and benefits may change from time to time, the at-will nature of Executive’s employment may only be changed by an express written agreement signed by an authorized officer of the Company.</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12.Survival</w:t>
      </w:r>
      <w:r>
        <w:rPr>
          <w:rFonts w:ascii="Arial" w:cs="Arial" w:eastAsia="Arial" w:hAnsi="Arial"/>
          <w:sz w:val="22"/>
          <w:szCs w:val="22"/>
          <w:color w:val="auto"/>
        </w:rPr>
        <w:t>. The provisions of Sections 5 through 28 of this Agreement shall survive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388" w:right="719" w:bottom="1440" w:gutter="0" w:footer="0" w:header="0"/>
        </w:sectPr>
      </w:pPr>
    </w:p>
    <w:bookmarkStart w:id="59" w:name="page60"/>
    <w:bookmarkEnd w:id="59"/>
    <w:p>
      <w:pPr>
        <w:jc w:val="both"/>
        <w:ind w:left="520" w:right="20"/>
        <w:spacing w:after="0" w:line="250" w:lineRule="auto"/>
        <w:rPr>
          <w:sz w:val="20"/>
          <w:szCs w:val="20"/>
          <w:color w:val="auto"/>
        </w:rPr>
      </w:pPr>
      <w:r>
        <w:rPr>
          <w:rFonts w:ascii="Arial" w:cs="Arial" w:eastAsia="Arial" w:hAnsi="Arial"/>
          <w:sz w:val="22"/>
          <w:szCs w:val="22"/>
          <w:color w:val="auto"/>
        </w:rPr>
        <w:t>the termination of the Executive’s employment with the Company, and shall continue thereafter in full force and effect in accordance with their terms.</w:t>
      </w:r>
    </w:p>
    <w:p>
      <w:pPr>
        <w:spacing w:after="0" w:line="209" w:lineRule="exact"/>
        <w:rPr>
          <w:sz w:val="20"/>
          <w:szCs w:val="20"/>
          <w:color w:val="auto"/>
        </w:rPr>
      </w:pPr>
    </w:p>
    <w:p>
      <w:pPr>
        <w:jc w:val="both"/>
        <w:ind w:left="520" w:right="20" w:firstLine="749"/>
        <w:spacing w:after="0" w:line="276" w:lineRule="auto"/>
        <w:rPr>
          <w:sz w:val="20"/>
          <w:szCs w:val="20"/>
          <w:color w:val="auto"/>
        </w:rPr>
      </w:pPr>
      <w:r>
        <w:rPr>
          <w:rFonts w:ascii="Arial" w:cs="Arial" w:eastAsia="Arial" w:hAnsi="Arial"/>
          <w:sz w:val="19"/>
          <w:szCs w:val="19"/>
          <w:b w:val="1"/>
          <w:bCs w:val="1"/>
          <w:color w:val="auto"/>
        </w:rPr>
        <w:t>13.Section 409A</w:t>
      </w:r>
      <w:r>
        <w:rPr>
          <w:rFonts w:ascii="Arial" w:cs="Arial" w:eastAsia="Arial" w:hAnsi="Arial"/>
          <w:sz w:val="19"/>
          <w:szCs w:val="19"/>
          <w:color w:val="auto"/>
        </w:rPr>
        <w:t>. This Agreement is intended to comply with the requirements of Section 409A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thereunder. To the extent that any provision in this Agreement is ambiguous as to its compliance with Section 409A of the Code, the provision shall be interpreted in a manner so that no payment due to Executive shall be subject to an “additional tax” within the meaning of Section 409A(a)(1)(B) of the Code. To the extent that any provision in the Agreement is ambiguous as to its compliance with Section 409A of the Code, or to the extent any provision in the Agreement must be modified to comply with Section 409A of the Code, such provision shall be read, or shall be modified (with the mutual consent of the parties), as the case may be, in such a manner so that no payment due to Executive shall be subject to an “additional tax” within the meaning of Section 409A(a)(1)(B) of the Code.</w:t>
      </w:r>
    </w:p>
    <w:p>
      <w:pPr>
        <w:spacing w:after="0" w:line="288" w:lineRule="exact"/>
        <w:rPr>
          <w:sz w:val="20"/>
          <w:szCs w:val="20"/>
          <w:color w:val="auto"/>
        </w:rPr>
      </w:pPr>
    </w:p>
    <w:p>
      <w:pPr>
        <w:jc w:val="both"/>
        <w:ind w:left="520" w:firstLine="749"/>
        <w:spacing w:after="0" w:line="259" w:lineRule="auto"/>
        <w:rPr>
          <w:sz w:val="20"/>
          <w:szCs w:val="20"/>
          <w:color w:val="auto"/>
        </w:rPr>
      </w:pPr>
      <w:r>
        <w:rPr>
          <w:rFonts w:ascii="Arial" w:cs="Arial" w:eastAsia="Arial" w:hAnsi="Arial"/>
          <w:sz w:val="20"/>
          <w:szCs w:val="20"/>
          <w:color w:val="auto"/>
        </w:rPr>
        <w:t>For purposes of Section 409A of the Code, each payment made under this Agreement shall be treated as a separate payment. In no event may Executive, directly or indirectly, designate the calendar year of any payment. All reimbursements provided under this Agreement shall be made or provided in accordance with the requirements of Section 409A of the Code, including, where applicable, the requirement that (i) any reimbursement be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93" w:lineRule="exact"/>
        <w:rPr>
          <w:sz w:val="20"/>
          <w:szCs w:val="20"/>
          <w:color w:val="auto"/>
        </w:rPr>
      </w:pPr>
    </w:p>
    <w:p>
      <w:pPr>
        <w:jc w:val="both"/>
        <w:ind w:left="520" w:right="20" w:firstLine="749"/>
        <w:spacing w:after="0" w:line="258" w:lineRule="auto"/>
        <w:rPr>
          <w:sz w:val="20"/>
          <w:szCs w:val="20"/>
          <w:color w:val="auto"/>
        </w:rPr>
      </w:pPr>
      <w:r>
        <w:rPr>
          <w:rFonts w:ascii="Arial" w:cs="Arial" w:eastAsia="Arial" w:hAnsi="Arial"/>
          <w:sz w:val="20"/>
          <w:szCs w:val="20"/>
          <w:color w:val="auto"/>
        </w:rPr>
        <w:t>Notwithstanding anything to the contrary herein, if a payment or benefit under this Agreement is due to a “separation from service” for purposes of the rules under Treas. Reg. § 1.409A-3(i)(2) (payments to specified employees upon a separation from service) and Executive is determined to be a “specified employee” (as determined under Treas. Reg. § 1.409A-1(i)), such payment or benefit shall, to the extent necessary to comply with the requirements of Section 409A of the Code, be made or provided on the later of the date specified by the foregoing provisions of this Agreement or the date that is six months after the date of Executive’s separation from service (or, if earlier, the date of Executive’s death). Any installment payments that are delayed pursuant to this Section 13 shall be accumulated and paid in a lump sum on the first day of the seventh month following Executive’s separation from service, and the remaining installment payments shall begin on such date in accordance with the schedule provided in this Agreement.</w:t>
      </w:r>
    </w:p>
    <w:p>
      <w:pPr>
        <w:spacing w:after="0" w:line="259" w:lineRule="exact"/>
        <w:rPr>
          <w:sz w:val="20"/>
          <w:szCs w:val="20"/>
          <w:color w:val="auto"/>
        </w:rPr>
      </w:pPr>
    </w:p>
    <w:p>
      <w:pPr>
        <w:jc w:val="both"/>
        <w:ind w:left="520" w:right="20" w:firstLine="749"/>
        <w:spacing w:after="0" w:line="237" w:lineRule="auto"/>
        <w:rPr>
          <w:sz w:val="20"/>
          <w:szCs w:val="20"/>
          <w:color w:val="auto"/>
        </w:rPr>
      </w:pPr>
      <w:r>
        <w:rPr>
          <w:rFonts w:ascii="Arial" w:cs="Arial" w:eastAsia="Arial" w:hAnsi="Arial"/>
          <w:sz w:val="22"/>
          <w:szCs w:val="22"/>
          <w:b w:val="1"/>
          <w:bCs w:val="1"/>
          <w:color w:val="auto"/>
        </w:rPr>
        <w:t>14.</w:t>
      </w:r>
      <w:r>
        <w:rPr>
          <w:rFonts w:ascii="Arial" w:cs="Arial" w:eastAsia="Arial" w:hAnsi="Arial"/>
          <w:sz w:val="19"/>
          <w:szCs w:val="19"/>
          <w:b w:val="1"/>
          <w:bCs w:val="1"/>
          <w:color w:val="auto"/>
        </w:rPr>
        <w:t>Clawback Provisions</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Any amounts payable under this Agreement, or otherwise pursuant to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are subject to any policy (whether in existence as of the Start Date or later adopted) established by the Company or Parent providing for clawback or recovery of amounts that were paid to the Executive. The Company will make any determination for clawback or recovery in its sole discretion and in accordance with any applicable law or regulation.</w:t>
      </w:r>
    </w:p>
    <w:p>
      <w:pPr>
        <w:spacing w:after="0" w:line="302" w:lineRule="exact"/>
        <w:rPr>
          <w:sz w:val="20"/>
          <w:szCs w:val="20"/>
          <w:color w:val="auto"/>
        </w:rPr>
      </w:pPr>
    </w:p>
    <w:p>
      <w:pPr>
        <w:jc w:val="both"/>
        <w:ind w:left="520" w:right="20" w:firstLine="749"/>
        <w:spacing w:after="0" w:line="256" w:lineRule="auto"/>
        <w:rPr>
          <w:sz w:val="20"/>
          <w:szCs w:val="20"/>
          <w:color w:val="auto"/>
        </w:rPr>
      </w:pPr>
      <w:r>
        <w:rPr>
          <w:rFonts w:ascii="Arial" w:cs="Arial" w:eastAsia="Arial" w:hAnsi="Arial"/>
          <w:sz w:val="22"/>
          <w:szCs w:val="22"/>
          <w:b w:val="1"/>
          <w:bCs w:val="1"/>
          <w:color w:val="auto"/>
        </w:rPr>
        <w:t>15.Limitation on Payments</w:t>
      </w:r>
      <w:r>
        <w:rPr>
          <w:rFonts w:ascii="Arial" w:cs="Arial" w:eastAsia="Arial" w:hAnsi="Arial"/>
          <w:sz w:val="22"/>
          <w:szCs w:val="22"/>
          <w:color w:val="auto"/>
        </w:rPr>
        <w:t>. In the event that any payments provided for in this Agreement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to Executive (i) constitute “parachute payments” within the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334" w:right="719" w:bottom="1440" w:gutter="0" w:footer="0" w:header="0"/>
        </w:sectPr>
      </w:pPr>
    </w:p>
    <w:bookmarkStart w:id="60" w:name="page61"/>
    <w:bookmarkEnd w:id="60"/>
    <w:p>
      <w:pPr>
        <w:jc w:val="both"/>
        <w:ind w:left="520"/>
        <w:spacing w:after="0" w:line="269" w:lineRule="auto"/>
        <w:rPr>
          <w:sz w:val="20"/>
          <w:szCs w:val="20"/>
          <w:color w:val="auto"/>
        </w:rPr>
      </w:pPr>
      <w:r>
        <w:rPr>
          <w:rFonts w:ascii="Arial" w:cs="Arial" w:eastAsia="Arial" w:hAnsi="Arial"/>
          <w:sz w:val="19"/>
          <w:szCs w:val="19"/>
          <w:color w:val="auto"/>
        </w:rPr>
        <w:t>meaning of Section 280G of the Code and (ii) but for this Section 15, would be subject to the excise tax imposed by Section 4999 of the Code, then such payments will be either: (a) delivered in full, or (b) delivered as to such lesser extent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such payments, notwithstanding that all or some portion of such payments may be taxable under Section 4999 of the Code. If a reduction in such payments constituting “parachute payments” is necessary so that no portion of such benefits is subject to the excise tax under Section 4999 of the Code, the reduction shall occur in the following order: (1) reduction of any cash severance payments, in the order that such payments would otherwise have been paid; (2) cancellation of accelerated vesting of equity awards that vest, in whole or in part, based on the achievement of performance criteria, in the reverse order that such awards would have vested; (3) cancellation of accelerated vesting of equity awards that vest based solely on continued service, in the order of the percentage of the fair market value of such awards that constitutes a parachute payment (commencing with the largest percentage); and (4) reduction of continued employee benefits. Notwithstanding the foregoing, to the extent the Company submits any payment or benefit payable to Executive under this Agreement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Executive and in the order prescribed by this Section 15. Unless the Company and Executive otherwise agree in writing, any determination required under this Section 15 will be made in writing by an independent firm (the “Firm”), whose determination will be conclusive and binding upon Executive and the Company for all purposes. For purposes of making the calculations required by this Section 15,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15. The Company will bear the fees of the Firm and all costs the Firm may reasonably incur in connection with any calculations contemplated by this Section 15.</w:t>
      </w:r>
    </w:p>
    <w:p>
      <w:pPr>
        <w:spacing w:after="0" w:line="200" w:lineRule="exact"/>
        <w:rPr>
          <w:sz w:val="20"/>
          <w:szCs w:val="20"/>
          <w:color w:val="auto"/>
        </w:rPr>
      </w:pPr>
    </w:p>
    <w:p>
      <w:pPr>
        <w:spacing w:after="0" w:line="236" w:lineRule="exact"/>
        <w:rPr>
          <w:sz w:val="20"/>
          <w:szCs w:val="20"/>
          <w:color w:val="auto"/>
        </w:rPr>
      </w:pPr>
    </w:p>
    <w:p>
      <w:pPr>
        <w:jc w:val="both"/>
        <w:ind w:left="520" w:firstLine="749"/>
        <w:spacing w:after="0" w:line="235" w:lineRule="auto"/>
        <w:rPr>
          <w:sz w:val="20"/>
          <w:szCs w:val="20"/>
          <w:color w:val="auto"/>
        </w:rPr>
      </w:pPr>
      <w:r>
        <w:rPr>
          <w:rFonts w:ascii="Arial" w:cs="Arial" w:eastAsia="Arial" w:hAnsi="Arial"/>
          <w:sz w:val="22"/>
          <w:szCs w:val="22"/>
          <w:b w:val="1"/>
          <w:bCs w:val="1"/>
          <w:color w:val="auto"/>
        </w:rPr>
        <w:t>16.Enforceability, Etc</w:t>
      </w:r>
      <w:r>
        <w:rPr>
          <w:rFonts w:ascii="Arial" w:cs="Arial" w:eastAsia="Arial" w:hAnsi="Arial"/>
          <w:sz w:val="22"/>
          <w:szCs w:val="22"/>
          <w:color w:val="auto"/>
        </w:rPr>
        <w:t>. This Agreement shall be interpreted in such a manner as to be effective and valid</w:t>
      </w:r>
      <w:r>
        <w:rPr>
          <w:rFonts w:ascii="Arial" w:cs="Arial" w:eastAsia="Arial" w:hAnsi="Arial"/>
          <w:sz w:val="22"/>
          <w:szCs w:val="22"/>
          <w:b w:val="1"/>
          <w:bCs w:val="1"/>
          <w:color w:val="auto"/>
        </w:rPr>
        <w:t xml:space="preserve"> </w:t>
      </w:r>
      <w:r>
        <w:rPr>
          <w:rFonts w:ascii="Arial" w:cs="Arial" w:eastAsia="Arial" w:hAnsi="Arial"/>
          <w:sz w:val="22"/>
          <w:szCs w:val="22"/>
          <w:color w:val="auto"/>
        </w:rPr>
        <w:t>under applicable law, but if any 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208" w:lineRule="exact"/>
        <w:rPr>
          <w:sz w:val="20"/>
          <w:szCs w:val="20"/>
          <w:color w:val="auto"/>
        </w:rPr>
      </w:pPr>
    </w:p>
    <w:p>
      <w:pPr>
        <w:jc w:val="both"/>
        <w:ind w:left="520" w:right="20" w:firstLine="749"/>
        <w:spacing w:after="0" w:line="237" w:lineRule="auto"/>
        <w:rPr>
          <w:sz w:val="20"/>
          <w:szCs w:val="20"/>
          <w:color w:val="auto"/>
        </w:rPr>
      </w:pPr>
      <w:r>
        <w:rPr>
          <w:rFonts w:ascii="Arial" w:cs="Arial" w:eastAsia="Arial" w:hAnsi="Arial"/>
          <w:sz w:val="22"/>
          <w:szCs w:val="22"/>
          <w:b w:val="1"/>
          <w:bCs w:val="1"/>
          <w:color w:val="auto"/>
        </w:rPr>
        <w:t>17.Notices</w:t>
      </w:r>
      <w:r>
        <w:rPr>
          <w:rFonts w:ascii="Arial" w:cs="Arial" w:eastAsia="Arial" w:hAnsi="Arial"/>
          <w:sz w:val="22"/>
          <w:szCs w:val="22"/>
          <w:color w:val="auto"/>
        </w:rPr>
        <w:t>. All notices and other communications given or made pursuant to this Agreement shall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deemed effectively given: (i) upon personal delivery to the party to be notified; (ii) when sent by confirmed facsimile if sent during normal business hours of the recipient, and if not so confirmed, then on the next business day; (iii) five days after having been sent by registered or certified mail, return receipt requested, postage prepaid; or (iv) one day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388" w:right="719" w:bottom="1440" w:gutter="0" w:footer="0" w:header="0"/>
        </w:sectPr>
      </w:pPr>
    </w:p>
    <w:bookmarkStart w:id="61" w:name="page62"/>
    <w:bookmarkEnd w:id="61"/>
    <w:p>
      <w:pPr>
        <w:jc w:val="both"/>
        <w:ind w:left="520" w:right="280"/>
        <w:spacing w:after="0" w:line="276" w:lineRule="auto"/>
        <w:rPr>
          <w:sz w:val="20"/>
          <w:szCs w:val="20"/>
          <w:color w:val="auto"/>
        </w:rPr>
      </w:pPr>
      <w:r>
        <w:rPr>
          <w:rFonts w:ascii="Arial" w:cs="Arial" w:eastAsia="Arial" w:hAnsi="Arial"/>
          <w:sz w:val="20"/>
          <w:szCs w:val="20"/>
          <w:color w:val="auto"/>
        </w:rPr>
        <w:t>after deposit with a nationally recognized overnight courier, specifying next day delivery, with written verification of receipt. All communications shall be sent to the respective parties at their address as set forth below, or to such facsimile number or address as subsequently modified by written notice given in accordance with this Section 17.</w:t>
      </w:r>
    </w:p>
    <w:p>
      <w:pPr>
        <w:spacing w:after="0" w:line="191" w:lineRule="exact"/>
        <w:rPr>
          <w:sz w:val="20"/>
          <w:szCs w:val="20"/>
          <w:color w:val="auto"/>
        </w:rPr>
      </w:pPr>
    </w:p>
    <w:p>
      <w:pPr>
        <w:ind w:left="2780" w:hanging="756"/>
        <w:spacing w:after="0"/>
        <w:tabs>
          <w:tab w:leader="none" w:pos="27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If to the Executive, to the most recent address reflected in the Company’s</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records.</w:t>
      </w:r>
    </w:p>
    <w:p>
      <w:pPr>
        <w:spacing w:after="0" w:line="201" w:lineRule="exact"/>
        <w:rPr>
          <w:sz w:val="20"/>
          <w:szCs w:val="20"/>
          <w:color w:val="auto"/>
        </w:rPr>
      </w:pPr>
    </w:p>
    <w:p>
      <w:pPr>
        <w:ind w:left="2780" w:hanging="756"/>
        <w:spacing w:after="0"/>
        <w:tabs>
          <w:tab w:leader="none" w:pos="27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to the Company, to the Company’s principal place of business.</w:t>
      </w:r>
    </w:p>
    <w:p>
      <w:pPr>
        <w:spacing w:after="0" w:line="226" w:lineRule="exact"/>
        <w:rPr>
          <w:sz w:val="20"/>
          <w:szCs w:val="20"/>
          <w:color w:val="auto"/>
        </w:rPr>
      </w:pPr>
    </w:p>
    <w:p>
      <w:pPr>
        <w:jc w:val="both"/>
        <w:ind w:left="520" w:right="20" w:firstLine="749"/>
        <w:spacing w:after="0" w:line="256" w:lineRule="auto"/>
        <w:rPr>
          <w:sz w:val="20"/>
          <w:szCs w:val="20"/>
          <w:color w:val="auto"/>
        </w:rPr>
      </w:pPr>
      <w:r>
        <w:rPr>
          <w:rFonts w:ascii="Arial" w:cs="Arial" w:eastAsia="Arial" w:hAnsi="Arial"/>
          <w:sz w:val="22"/>
          <w:szCs w:val="22"/>
          <w:b w:val="1"/>
          <w:bCs w:val="1"/>
          <w:color w:val="auto"/>
        </w:rPr>
        <w:t>18.Governing Law</w:t>
      </w:r>
      <w:r>
        <w:rPr>
          <w:rFonts w:ascii="Arial" w:cs="Arial" w:eastAsia="Arial" w:hAnsi="Arial"/>
          <w:sz w:val="22"/>
          <w:szCs w:val="22"/>
          <w:color w:val="auto"/>
        </w:rPr>
        <w:t>. This Agreement shall be governed by and construed in accordance with the internal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Commonwealth of Massachusetts, without regard to its choice of law provisions.</w:t>
      </w:r>
    </w:p>
    <w:p>
      <w:pPr>
        <w:spacing w:after="0" w:line="188" w:lineRule="exact"/>
        <w:rPr>
          <w:sz w:val="20"/>
          <w:szCs w:val="20"/>
          <w:color w:val="auto"/>
        </w:rPr>
      </w:pPr>
    </w:p>
    <w:p>
      <w:pPr>
        <w:jc w:val="both"/>
        <w:ind w:left="520" w:firstLine="749"/>
        <w:spacing w:after="0" w:line="260" w:lineRule="auto"/>
        <w:rPr>
          <w:sz w:val="20"/>
          <w:szCs w:val="20"/>
          <w:color w:val="auto"/>
        </w:rPr>
      </w:pPr>
      <w:r>
        <w:rPr>
          <w:rFonts w:ascii="Arial" w:cs="Arial" w:eastAsia="Arial" w:hAnsi="Arial"/>
          <w:sz w:val="20"/>
          <w:szCs w:val="20"/>
          <w:b w:val="1"/>
          <w:bCs w:val="1"/>
          <w:color w:val="auto"/>
        </w:rPr>
        <w:t xml:space="preserve">19.Jurisdiction. </w:t>
      </w:r>
      <w:r>
        <w:rPr>
          <w:rFonts w:ascii="Arial" w:cs="Arial" w:eastAsia="Arial" w:hAnsi="Arial"/>
          <w:sz w:val="20"/>
          <w:szCs w:val="20"/>
          <w:color w:val="auto"/>
        </w:rPr>
        <w:t>The parties hereby agree that any suit, action or proceeding seeking to enforce any provision of,</w:t>
      </w:r>
      <w:r>
        <w:rPr>
          <w:rFonts w:ascii="Arial" w:cs="Arial" w:eastAsia="Arial" w:hAnsi="Arial"/>
          <w:sz w:val="20"/>
          <w:szCs w:val="20"/>
          <w:b w:val="1"/>
          <w:bCs w:val="1"/>
          <w:color w:val="auto"/>
        </w:rPr>
        <w:t xml:space="preserve"> </w:t>
      </w:r>
      <w:r>
        <w:rPr>
          <w:rFonts w:ascii="Arial" w:cs="Arial" w:eastAsia="Arial" w:hAnsi="Arial"/>
          <w:sz w:val="20"/>
          <w:szCs w:val="20"/>
          <w:color w:val="auto"/>
        </w:rPr>
        <w:t>or based on any matter arising out of or in connection with, this Agreement shall only be brought in the State or Federal courts located in the Commonwealth of Massachusetts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w:t>
      </w:r>
    </w:p>
    <w:p>
      <w:pPr>
        <w:spacing w:after="0" w:line="205" w:lineRule="exact"/>
        <w:rPr>
          <w:sz w:val="20"/>
          <w:szCs w:val="20"/>
          <w:color w:val="auto"/>
        </w:rPr>
      </w:pPr>
    </w:p>
    <w:p>
      <w:pPr>
        <w:jc w:val="both"/>
        <w:ind w:left="520" w:right="300" w:firstLine="749"/>
        <w:spacing w:after="0" w:line="235" w:lineRule="auto"/>
        <w:rPr>
          <w:sz w:val="20"/>
          <w:szCs w:val="20"/>
          <w:color w:val="auto"/>
        </w:rPr>
      </w:pPr>
      <w:r>
        <w:rPr>
          <w:rFonts w:ascii="Arial" w:cs="Arial" w:eastAsia="Arial" w:hAnsi="Arial"/>
          <w:sz w:val="22"/>
          <w:szCs w:val="22"/>
          <w:b w:val="1"/>
          <w:bCs w:val="1"/>
          <w:color w:val="auto"/>
        </w:rPr>
        <w:t xml:space="preserve">20.Waiver of Jury Trial. </w:t>
      </w:r>
      <w:r>
        <w:rPr>
          <w:rFonts w:ascii="Arial" w:cs="Arial" w:eastAsia="Arial" w:hAnsi="Arial"/>
          <w:sz w:val="22"/>
          <w:szCs w:val="22"/>
          <w:color w:val="auto"/>
        </w:rPr>
        <w:t>EACH PARTY HERETO ACKNOWLEDGES AND AGREES THAT ANY</w:t>
      </w:r>
      <w:r>
        <w:rPr>
          <w:rFonts w:ascii="Arial" w:cs="Arial" w:eastAsia="Arial" w:hAnsi="Arial"/>
          <w:sz w:val="22"/>
          <w:szCs w:val="22"/>
          <w:b w:val="1"/>
          <w:bCs w:val="1"/>
          <w:color w:val="auto"/>
        </w:rPr>
        <w:t xml:space="preserve"> </w:t>
      </w:r>
      <w:r>
        <w:rPr>
          <w:rFonts w:ascii="Arial" w:cs="Arial" w:eastAsia="Arial" w:hAnsi="Arial"/>
          <w:sz w:val="22"/>
          <w:szCs w:val="22"/>
          <w:color w:val="auto"/>
        </w:rPr>
        <w:t>CONTROVERSY WHICH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AND ANY OF THE AGREEMENTS DELIVERED IN CONNECTION HEREWITH OR THE TRANSACTIONS CONTEMPLATED HEREBY OR THEREBY.</w:t>
      </w:r>
    </w:p>
    <w:p>
      <w:pPr>
        <w:spacing w:after="0" w:line="221" w:lineRule="exact"/>
        <w:rPr>
          <w:sz w:val="20"/>
          <w:szCs w:val="20"/>
          <w:color w:val="auto"/>
        </w:rPr>
      </w:pPr>
    </w:p>
    <w:p>
      <w:pPr>
        <w:jc w:val="both"/>
        <w:ind w:left="520" w:right="300" w:firstLine="749"/>
        <w:spacing w:after="0" w:line="235" w:lineRule="auto"/>
        <w:rPr>
          <w:sz w:val="20"/>
          <w:szCs w:val="20"/>
          <w:color w:val="auto"/>
        </w:rPr>
      </w:pPr>
      <w:r>
        <w:rPr>
          <w:rFonts w:ascii="Arial" w:cs="Arial" w:eastAsia="Arial" w:hAnsi="Arial"/>
          <w:sz w:val="22"/>
          <w:szCs w:val="22"/>
          <w:b w:val="1"/>
          <w:bCs w:val="1"/>
          <w:color w:val="auto"/>
        </w:rPr>
        <w:t>21.Amendments and Waivers</w:t>
      </w:r>
      <w:r>
        <w:rPr>
          <w:rFonts w:ascii="Arial" w:cs="Arial" w:eastAsia="Arial" w:hAnsi="Arial"/>
          <w:sz w:val="22"/>
          <w:szCs w:val="22"/>
          <w:color w:val="auto"/>
        </w:rPr>
        <w:t>. This Agreement may be amended or modified only by a written instrument</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the Company (at the direction of the Management Board) and the Executive.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208" w:lineRule="exact"/>
        <w:rPr>
          <w:sz w:val="20"/>
          <w:szCs w:val="20"/>
          <w:color w:val="auto"/>
        </w:rPr>
      </w:pPr>
    </w:p>
    <w:p>
      <w:pPr>
        <w:jc w:val="both"/>
        <w:ind w:left="520" w:right="280" w:firstLine="749"/>
        <w:spacing w:after="0" w:line="289" w:lineRule="auto"/>
        <w:rPr>
          <w:sz w:val="20"/>
          <w:szCs w:val="20"/>
          <w:color w:val="auto"/>
        </w:rPr>
      </w:pPr>
      <w:r>
        <w:rPr>
          <w:rFonts w:ascii="Arial" w:cs="Arial" w:eastAsia="Arial" w:hAnsi="Arial"/>
          <w:sz w:val="19"/>
          <w:szCs w:val="19"/>
          <w:b w:val="1"/>
          <w:bCs w:val="1"/>
          <w:color w:val="auto"/>
        </w:rPr>
        <w:t>22.Binding Effect</w:t>
      </w:r>
      <w:r>
        <w:rPr>
          <w:rFonts w:ascii="Arial" w:cs="Arial" w:eastAsia="Arial" w:hAnsi="Arial"/>
          <w:sz w:val="19"/>
          <w:szCs w:val="19"/>
          <w:color w:val="auto"/>
        </w:rPr>
        <w:t>. This Agreement shall be binding on and inure to the benefit of the parties hereto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heirs, executors and administrators, successors and assigns, except that the rights and obligations of the Executive hereunder are personal and may not be assigned without the Company’s prior written consent. Any assignment of this Agreement by the Company shall not be considered a termination of the Executive’s employment.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334" w:right="439" w:bottom="1440" w:gutter="0" w:footer="0" w:header="0"/>
        </w:sectPr>
      </w:pPr>
    </w:p>
    <w:bookmarkStart w:id="62" w:name="page63"/>
    <w:bookmarkEnd w:id="62"/>
    <w:p>
      <w:pPr>
        <w:jc w:val="both"/>
        <w:ind w:left="520" w:right="20" w:firstLine="749"/>
        <w:spacing w:after="0" w:line="243" w:lineRule="auto"/>
        <w:rPr>
          <w:sz w:val="20"/>
          <w:szCs w:val="20"/>
          <w:color w:val="auto"/>
        </w:rPr>
      </w:pPr>
      <w:r>
        <w:rPr>
          <w:rFonts w:ascii="Arial" w:cs="Arial" w:eastAsia="Arial" w:hAnsi="Arial"/>
          <w:sz w:val="22"/>
          <w:szCs w:val="22"/>
          <w:b w:val="1"/>
          <w:bCs w:val="1"/>
          <w:color w:val="auto"/>
        </w:rPr>
        <w:t>23.Entire Agreement</w:t>
      </w:r>
      <w:r>
        <w:rPr>
          <w:rFonts w:ascii="Arial" w:cs="Arial" w:eastAsia="Arial" w:hAnsi="Arial"/>
          <w:sz w:val="22"/>
          <w:szCs w:val="22"/>
          <w:color w:val="auto"/>
        </w:rPr>
        <w:t>. This Agreement constitutes the final and entire agreement of the parties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matters covered hereby and replaces and supersedes all other agreements and understandings relating hereto and to the Executive’s employment.</w:t>
      </w:r>
    </w:p>
    <w:p>
      <w:pPr>
        <w:spacing w:after="0" w:line="202" w:lineRule="exact"/>
        <w:rPr>
          <w:sz w:val="20"/>
          <w:szCs w:val="20"/>
          <w:color w:val="auto"/>
        </w:rPr>
      </w:pPr>
    </w:p>
    <w:p>
      <w:pPr>
        <w:jc w:val="both"/>
        <w:ind w:left="520" w:firstLine="749"/>
        <w:spacing w:after="0" w:line="264" w:lineRule="auto"/>
        <w:rPr>
          <w:sz w:val="20"/>
          <w:szCs w:val="20"/>
          <w:color w:val="auto"/>
        </w:rPr>
      </w:pPr>
      <w:r>
        <w:rPr>
          <w:rFonts w:ascii="Arial" w:cs="Arial" w:eastAsia="Arial" w:hAnsi="Arial"/>
          <w:sz w:val="20"/>
          <w:szCs w:val="20"/>
          <w:b w:val="1"/>
          <w:bCs w:val="1"/>
          <w:color w:val="auto"/>
        </w:rPr>
        <w:t>24.Counterparts</w:t>
      </w:r>
      <w:r>
        <w:rPr>
          <w:rFonts w:ascii="Arial" w:cs="Arial" w:eastAsia="Arial" w:hAnsi="Arial"/>
          <w:sz w:val="20"/>
          <w:szCs w:val="20"/>
          <w:color w:val="auto"/>
        </w:rPr>
        <w:t>. This Agreement may be executed in any number of counterparts, all of which together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for all purposes constitute one Agreement. Counterpart signature pages to this Agreement transmitted by facsimile transmission, by electronic mail in “portable document format” or “.pdf” form, or by any other electronic means intended to preserve the original graphic and pictorial appearance of a document, will have the same effect as physical delivery of the paper document bearing an original signature.</w:t>
      </w:r>
    </w:p>
    <w:p>
      <w:pPr>
        <w:spacing w:after="0" w:line="3" w:lineRule="exact"/>
        <w:rPr>
          <w:sz w:val="20"/>
          <w:szCs w:val="20"/>
          <w:color w:val="auto"/>
        </w:rPr>
      </w:pPr>
    </w:p>
    <w:p>
      <w:pPr>
        <w:jc w:val="both"/>
        <w:ind w:left="520" w:right="20" w:firstLine="749"/>
        <w:spacing w:after="0" w:line="239" w:lineRule="auto"/>
        <w:rPr>
          <w:sz w:val="20"/>
          <w:szCs w:val="20"/>
          <w:color w:val="auto"/>
        </w:rPr>
      </w:pPr>
      <w:r>
        <w:rPr>
          <w:rFonts w:ascii="Arial" w:cs="Arial" w:eastAsia="Arial" w:hAnsi="Arial"/>
          <w:sz w:val="22"/>
          <w:szCs w:val="22"/>
          <w:b w:val="1"/>
          <w:bCs w:val="1"/>
          <w:color w:val="auto"/>
        </w:rPr>
        <w:t>25.No Conflicting Agreements</w:t>
      </w:r>
      <w:r>
        <w:rPr>
          <w:rFonts w:ascii="Arial" w:cs="Arial" w:eastAsia="Arial" w:hAnsi="Arial"/>
          <w:sz w:val="22"/>
          <w:szCs w:val="22"/>
          <w:color w:val="auto"/>
        </w:rPr>
        <w:t>. The Executive represents and warrants to the Company that the Executive is</w:t>
      </w:r>
      <w:r>
        <w:rPr>
          <w:rFonts w:ascii="Arial" w:cs="Arial" w:eastAsia="Arial" w:hAnsi="Arial"/>
          <w:sz w:val="22"/>
          <w:szCs w:val="22"/>
          <w:b w:val="1"/>
          <w:bCs w:val="1"/>
          <w:color w:val="auto"/>
        </w:rPr>
        <w:t xml:space="preserve"> </w:t>
      </w:r>
      <w:r>
        <w:rPr>
          <w:rFonts w:ascii="Arial" w:cs="Arial" w:eastAsia="Arial" w:hAnsi="Arial"/>
          <w:sz w:val="22"/>
          <w:szCs w:val="22"/>
          <w:color w:val="auto"/>
        </w:rPr>
        <w:t>not a party to or bound by any confidentiality, noncompetition, nonsolicitation, employment, consulting or other agreement or restriction which could conflict with, or be violated by, the performance of the Executive’s duties to the Company or obligations under this Agreement.</w:t>
      </w:r>
    </w:p>
    <w:p>
      <w:pPr>
        <w:spacing w:after="0" w:line="219" w:lineRule="exact"/>
        <w:rPr>
          <w:sz w:val="20"/>
          <w:szCs w:val="20"/>
          <w:color w:val="auto"/>
        </w:rPr>
      </w:pPr>
    </w:p>
    <w:p>
      <w:pPr>
        <w:jc w:val="both"/>
        <w:ind w:left="520" w:right="20" w:firstLine="749"/>
        <w:spacing w:after="0" w:line="256" w:lineRule="auto"/>
        <w:rPr>
          <w:sz w:val="20"/>
          <w:szCs w:val="20"/>
          <w:color w:val="auto"/>
        </w:rPr>
      </w:pPr>
      <w:r>
        <w:rPr>
          <w:rFonts w:ascii="Arial" w:cs="Arial" w:eastAsia="Arial" w:hAnsi="Arial"/>
          <w:sz w:val="22"/>
          <w:szCs w:val="22"/>
          <w:b w:val="1"/>
          <w:bCs w:val="1"/>
          <w:color w:val="auto"/>
        </w:rPr>
        <w:t>26.Captions</w:t>
      </w:r>
      <w:r>
        <w:rPr>
          <w:rFonts w:ascii="Arial" w:cs="Arial" w:eastAsia="Arial" w:hAnsi="Arial"/>
          <w:sz w:val="22"/>
          <w:szCs w:val="22"/>
          <w:color w:val="auto"/>
        </w:rPr>
        <w:t>. The captions of the sections of this Agreement are for convenience of reference only and in no</w:t>
      </w:r>
      <w:r>
        <w:rPr>
          <w:rFonts w:ascii="Arial" w:cs="Arial" w:eastAsia="Arial" w:hAnsi="Arial"/>
          <w:sz w:val="22"/>
          <w:szCs w:val="22"/>
          <w:b w:val="1"/>
          <w:bCs w:val="1"/>
          <w:color w:val="auto"/>
        </w:rPr>
        <w:t xml:space="preserve"> </w:t>
      </w:r>
      <w:r>
        <w:rPr>
          <w:rFonts w:ascii="Arial" w:cs="Arial" w:eastAsia="Arial" w:hAnsi="Arial"/>
          <w:sz w:val="22"/>
          <w:szCs w:val="22"/>
          <w:color w:val="auto"/>
        </w:rPr>
        <w:t>way define, limit or affect the scope or substance of any section of this Agreement.</w:t>
      </w:r>
    </w:p>
    <w:p>
      <w:pPr>
        <w:spacing w:after="0" w:line="202" w:lineRule="exact"/>
        <w:rPr>
          <w:sz w:val="20"/>
          <w:szCs w:val="20"/>
          <w:color w:val="auto"/>
        </w:rPr>
      </w:pPr>
    </w:p>
    <w:p>
      <w:pPr>
        <w:jc w:val="both"/>
        <w:ind w:left="520" w:right="20" w:firstLine="749"/>
        <w:spacing w:after="0" w:line="237" w:lineRule="auto"/>
        <w:rPr>
          <w:sz w:val="20"/>
          <w:szCs w:val="20"/>
          <w:color w:val="auto"/>
        </w:rPr>
      </w:pPr>
      <w:r>
        <w:rPr>
          <w:rFonts w:ascii="Arial" w:cs="Arial" w:eastAsia="Arial" w:hAnsi="Arial"/>
          <w:sz w:val="22"/>
          <w:szCs w:val="22"/>
          <w:b w:val="1"/>
          <w:bCs w:val="1"/>
          <w:color w:val="auto"/>
        </w:rPr>
        <w:t>27.No Strict Construction</w:t>
      </w:r>
      <w:r>
        <w:rPr>
          <w:rFonts w:ascii="Arial" w:cs="Arial" w:eastAsia="Arial" w:hAnsi="Arial"/>
          <w:sz w:val="22"/>
          <w:szCs w:val="22"/>
          <w:color w:val="auto"/>
        </w:rPr>
        <w:t>. The parties hereto have participated jointly in the negotiation and drafting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the event an 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207" w:lineRule="exact"/>
        <w:rPr>
          <w:sz w:val="20"/>
          <w:szCs w:val="20"/>
          <w:color w:val="auto"/>
        </w:rPr>
      </w:pPr>
    </w:p>
    <w:p>
      <w:pPr>
        <w:jc w:val="both"/>
        <w:ind w:left="520" w:right="20" w:firstLine="749"/>
        <w:spacing w:after="0" w:line="243" w:lineRule="auto"/>
        <w:rPr>
          <w:sz w:val="20"/>
          <w:szCs w:val="20"/>
          <w:color w:val="auto"/>
        </w:rPr>
      </w:pPr>
      <w:r>
        <w:rPr>
          <w:rFonts w:ascii="Arial" w:cs="Arial" w:eastAsia="Arial" w:hAnsi="Arial"/>
          <w:sz w:val="22"/>
          <w:szCs w:val="22"/>
          <w:b w:val="1"/>
          <w:bCs w:val="1"/>
          <w:color w:val="auto"/>
        </w:rPr>
        <w:t>28.Notification of New Employer</w:t>
      </w:r>
      <w:r>
        <w:rPr>
          <w:rFonts w:ascii="Arial" w:cs="Arial" w:eastAsia="Arial" w:hAnsi="Arial"/>
          <w:sz w:val="22"/>
          <w:szCs w:val="22"/>
          <w:color w:val="auto"/>
        </w:rPr>
        <w:t>. In the event that the Executive is no longer an Executive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consents to notification by the Company to the Executive’s new employer or its agents regarding the Executive’s obligations under Sections 5, 6 and 7 of this Agreement.</w:t>
      </w:r>
    </w:p>
    <w:p>
      <w:pPr>
        <w:spacing w:after="0" w:line="222" w:lineRule="exact"/>
        <w:rPr>
          <w:sz w:val="20"/>
          <w:szCs w:val="20"/>
          <w:color w:val="auto"/>
        </w:rPr>
      </w:pPr>
    </w:p>
    <w:p>
      <w:pPr>
        <w:ind w:left="3380" w:hanging="126"/>
        <w:spacing w:after="0"/>
        <w:tabs>
          <w:tab w:leader="none" w:pos="3380" w:val="left"/>
        </w:tabs>
        <w:numPr>
          <w:ilvl w:val="0"/>
          <w:numId w:val="18"/>
        </w:numPr>
        <w:rPr>
          <w:rFonts w:ascii="Arial" w:cs="Arial" w:eastAsia="Arial" w:hAnsi="Arial"/>
          <w:sz w:val="22"/>
          <w:szCs w:val="22"/>
          <w:color w:val="auto"/>
        </w:rPr>
      </w:pP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584" w:right="719" w:bottom="1440" w:gutter="0" w:footer="0" w:header="0"/>
        </w:sectPr>
      </w:pPr>
    </w:p>
    <w:bookmarkStart w:id="63" w:name="page64"/>
    <w:bookmarkEnd w:id="63"/>
    <w:p>
      <w:pPr>
        <w:ind w:firstLine="749"/>
        <w:spacing w:after="0" w:line="250" w:lineRule="auto"/>
        <w:rPr>
          <w:sz w:val="20"/>
          <w:szCs w:val="20"/>
          <w:color w:val="auto"/>
        </w:rPr>
      </w:pPr>
      <w:r>
        <w:rPr>
          <w:rFonts w:ascii="Arial" w:cs="Arial" w:eastAsia="Arial" w:hAnsi="Arial"/>
          <w:sz w:val="22"/>
          <w:szCs w:val="22"/>
          <w:color w:val="auto"/>
        </w:rPr>
        <w:t>IN WITNESS WHEREOF, this Agreement has been executed and delivered as a sealed instrument as of the date first above written.</w:t>
      </w:r>
    </w:p>
    <w:p>
      <w:pPr>
        <w:spacing w:after="0" w:line="200" w:lineRule="exact"/>
        <w:rPr>
          <w:sz w:val="20"/>
          <w:szCs w:val="20"/>
          <w:color w:val="auto"/>
        </w:rPr>
      </w:pPr>
    </w:p>
    <w:p>
      <w:pPr>
        <w:spacing w:after="0" w:line="21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DEFINITIVE HEALTHCARE, LLC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Robert Musslewhite</w:t>
      </w:r>
      <w:r>
        <w:rPr>
          <w:rFonts w:ascii="Arial" w:cs="Arial" w:eastAsia="Arial" w:hAnsi="Arial"/>
          <w:sz w:val="22"/>
          <w:szCs w:val="22"/>
          <w:color w:val="auto"/>
        </w:rPr>
        <w:t>_______________</w:t>
      </w:r>
    </w:p>
    <w:p>
      <w:pPr>
        <w:ind w:left="4480"/>
        <w:spacing w:after="0" w:line="237" w:lineRule="auto"/>
        <w:rPr>
          <w:sz w:val="20"/>
          <w:szCs w:val="20"/>
          <w:color w:val="auto"/>
        </w:rPr>
      </w:pPr>
      <w:r>
        <w:rPr>
          <w:rFonts w:ascii="Arial" w:cs="Arial" w:eastAsia="Arial" w:hAnsi="Arial"/>
          <w:sz w:val="22"/>
          <w:szCs w:val="22"/>
          <w:color w:val="auto"/>
        </w:rPr>
        <w:t>Name: Robert Musslewhite Title: Chief</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/s/ Carrie Lazorchak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-17780</wp:posOffset>
            </wp:positionV>
            <wp:extent cx="13696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26"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Executive: Carrie Lazorchak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78740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940" w:top="388" w:right="4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Robert Musslewhite,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Definitive Healthcare Corp.;</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640" w:val="left"/>
          <w:tab w:leader="none" w:pos="664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6"/>
          <w:szCs w:val="16"/>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23495</wp:posOffset>
            </wp:positionV>
            <wp:extent cx="30397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303974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186055</wp:posOffset>
            </wp:positionV>
            <wp:extent cx="291973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2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Musslewhite</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Richard Booth,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Definitive Healthcare Corp.;</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68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2023</w:t>
      </w:r>
      <w:r>
        <w:rPr>
          <w:sz w:val="20"/>
          <w:szCs w:val="20"/>
          <w:color w:val="auto"/>
        </w:rPr>
        <w:tab/>
      </w:r>
      <w:r>
        <w:rPr>
          <w:rFonts w:ascii="Arial" w:cs="Arial" w:eastAsia="Arial" w:hAnsi="Arial"/>
          <w:sz w:val="16"/>
          <w:szCs w:val="16"/>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23495</wp:posOffset>
            </wp:positionV>
            <wp:extent cx="3125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312547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186055</wp:posOffset>
            </wp:positionV>
            <wp:extent cx="29197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2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Booth</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In connection with the Quarterly Report on Form 10-Q of Definitive Healthcare Corp. (the “Company”) for the quarterly period ended September 30, 2023 as filed with the Securities and Exchange Commission on the date hereof (the “Report”), Robert Musslewhite, as Chief Executive Officer of the Company, and Richard Booth, as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w:t>
      </w:r>
    </w:p>
    <w:p>
      <w:pPr>
        <w:spacing w:after="0" w:line="175"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4" w:lineRule="exact"/>
        <w:rPr>
          <w:rFonts w:ascii="Arial" w:cs="Arial" w:eastAsia="Arial" w:hAnsi="Arial"/>
          <w:sz w:val="18"/>
          <w:szCs w:val="18"/>
          <w:color w:val="auto"/>
        </w:rPr>
      </w:pPr>
    </w:p>
    <w:p>
      <w:pPr>
        <w:ind w:left="1020" w:right="560" w:hanging="504"/>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9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23495</wp:posOffset>
            </wp:positionV>
            <wp:extent cx="28340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8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Robert Musslewhite</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23495</wp:posOffset>
            </wp:positionV>
            <wp:extent cx="28340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8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Richard Booth</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7"/>
    </w:lvl>
    <w:lvl w:ilvl="1">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decimal"/>
      <w:start w:val="1"/>
    </w:lvl>
    <w:lvl w:ilvl="1">
      <w:lvlJc w:val="left"/>
      <w:lvlText w:val="(%2)"/>
      <w:numFmt w:val="lowerLetter"/>
      <w:start w:val="5"/>
    </w:lvl>
  </w:abstractNum>
  <w:abstractNum w:abstractNumId="11">
    <w:nsid w:val="4E6AFB66"/>
    <w:multiLevelType w:val="hybridMultilevel"/>
    <w:lvl w:ilvl="0">
      <w:lvlJc w:val="left"/>
      <w:lvlText w:val="%1."/>
      <w:numFmt w:val="decimal"/>
      <w:start w:val="5"/>
    </w:lvl>
    <w:lvl w:ilvl="1">
      <w:lvlJc w:val="left"/>
      <w:lvlText w:val="(%2)"/>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6"/>
    </w:lvl>
    <w:lvl w:ilvl="1">
      <w:lvlJc w:val="left"/>
      <w:lvlText w:val="(%2)"/>
      <w:numFmt w:val="lowerLetter"/>
      <w:start w:val="1"/>
    </w:lvl>
  </w:abstractNum>
  <w:abstractNum w:abstractNumId="14">
    <w:nsid w:val="431BD7B7"/>
    <w:multiLevelType w:val="hybridMultilevel"/>
    <w:lvl w:ilvl="0">
      <w:lvlJc w:val="left"/>
      <w:lvlText w:val="%1."/>
      <w:numFmt w:val="decimal"/>
      <w:start w:val="8"/>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33" Type="http://schemas.openxmlformats.org/officeDocument/2006/relationships/hyperlink" Target="https://www.sec.gov/Archives/edgar/data/1861795/000095017021003484/dh-ex3_1.htm" TargetMode="External"/><Relationship Id="rId334" Type="http://schemas.openxmlformats.org/officeDocument/2006/relationships/hyperlink" Target="https://www.sec.gov/Archives/edgar/data/1861795/000095017021003484/dh-ex3_2.htm" TargetMode="External"/><Relationship Id="rId335" Type="http://schemas.openxmlformats.org/officeDocument/2006/relationships/hyperlink" Target="https://www.sec.gov/Archives/edgar/data/1861795/000119312523229619/d501211dex991.htm" TargetMode="External"/><Relationship Id="rId336" Type="http://schemas.openxmlformats.org/officeDocument/2006/relationships/hyperlink" Target="https://www.sec.gov/Archives/edgar/data/1861795/000119312523229619/d501211dex992.htm" TargetMode="External"/><Relationship Id="rId337" Type="http://schemas.openxmlformats.org/officeDocument/2006/relationships/hyperlink" Target="https://www.sec.gov/Archives/edgar/data/1861795/000119312523229619/d501211dex993.htm" TargetMode="External"/><Relationship Id="rId338" Type="http://schemas.openxmlformats.org/officeDocument/2006/relationships/hyperlink" Target="https://www.sec.gov/Archives/edgar/data/1861795/000095017023052203/dh-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2023-11-02T15:44:55Z</dcterms:created>
  <dcterms:modified xsi:type="dcterms:W3CDTF">2023-11-02T15:44:55Z</dcterms:modified>
</cp:coreProperties>
</file>