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sz w:val="24"/>
        </w:rPr>
      </w:pPr>
      <w:bookmarkStart w:id="0" w:name="dh-20260909.htm"/>
      <w:bookmarkStart w:id="1" w:name="ksdh20260909"/>
      <w:bookmarkEnd w:id="0"/>
      <w:bookmarkEnd w:id="1"/>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bidi w:val="0"/>
        <w:spacing w:before="120" w:after="283"/>
        <w:jc w:val="center"/>
        <w:rPr>
          <w:rFonts w:ascii="Times New Roman" w:hAnsi="Times New Roman"/>
          <w:b/>
          <w:color w:val="000000"/>
          <w:sz w:val="34"/>
        </w:rPr>
      </w:pPr>
      <w:r>
        <w:rPr>
          <w:rFonts w:ascii="Times New Roman" w:hAnsi="Times New Roman"/>
          <w:b/>
          <w:color w:val="000000"/>
          <w:sz w:val="34"/>
        </w:rPr>
        <w:t>FORM 8-K</w:t>
      </w:r>
    </w:p>
    <w:p>
      <w:pPr>
        <w:pStyle w:val="TextBody"/>
        <w:pBdr>
          <w:bottom w:val="single" w:sz="6" w:space="1" w:color="000000"/>
        </w:pBdr>
        <w:bidi w:val="0"/>
        <w:jc w:val="center"/>
        <w:rPr/>
      </w:pPr>
      <w:r>
        <w:rPr/>
        <w:t> </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sz w:val="24"/>
        </w:rPr>
      </w:pPr>
      <w:r>
        <w:rPr>
          <w:rFonts w:ascii="Times New Roman" w:hAnsi="Times New Roman"/>
          <w:b/>
          <w:color w:val="000000"/>
          <w:sz w:val="24"/>
        </w:rPr>
        <w:t>Pursuant to Section 13 or 15(d)</w:t>
      </w:r>
      <w:r>
        <w:rPr>
          <w:rFonts w:ascii="Times New Roman" w:hAnsi="Times New Roman"/>
          <w:color w:val="000000"/>
          <w:sz w:val="24"/>
        </w:rPr>
        <w:t xml:space="preserve"> </w:t>
      </w:r>
    </w:p>
    <w:p>
      <w:pPr>
        <w:pStyle w:val="TextBody"/>
        <w:bidi w:val="0"/>
        <w:jc w:val="center"/>
        <w:rPr>
          <w:rFonts w:ascii="Times New Roman" w:hAnsi="Times New Roman"/>
          <w:b/>
          <w:color w:val="000000"/>
          <w:sz w:val="24"/>
        </w:rPr>
      </w:pPr>
      <w:r>
        <w:rPr>
          <w:rFonts w:ascii="Times New Roman" w:hAnsi="Times New Roman"/>
          <w:b/>
          <w:color w:val="000000"/>
          <w:sz w:val="24"/>
        </w:rPr>
        <w:t>of the Securities Exchange Act of 1934</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Date of Report (Date of earliest event reported):</w:t>
      </w:r>
    </w:p>
    <w:p>
      <w:pPr>
        <w:pStyle w:val="TextBody"/>
        <w:bidi w:val="0"/>
        <w:jc w:val="center"/>
        <w:rPr>
          <w:rFonts w:ascii="Times New Roman" w:hAnsi="Times New Roman"/>
          <w:b/>
          <w:color w:val="000000"/>
          <w:sz w:val="24"/>
        </w:rPr>
      </w:pPr>
      <w:r>
        <w:rPr>
          <w:rFonts w:ascii="Times New Roman" w:hAnsi="Times New Roman"/>
          <w:b/>
          <w:color w:val="000000"/>
          <w:sz w:val="24"/>
        </w:rPr>
        <w:t>September 9, 2026</w:t>
      </w:r>
    </w:p>
    <w:p>
      <w:pPr>
        <w:pStyle w:val="TextBody"/>
        <w:pBdr>
          <w:top w:val="single" w:sz="6" w:space="1" w:color="000000"/>
        </w:pBdr>
        <w:bidi w:val="0"/>
        <w:spacing w:before="240" w:after="283"/>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Definitive Healthcare Corp.</w:t>
      </w:r>
    </w:p>
    <w:p>
      <w:pPr>
        <w:pStyle w:val="TextBody"/>
        <w:bidi w:val="0"/>
        <w:jc w:val="center"/>
        <w:rPr>
          <w:rFonts w:ascii="Times New Roman" w:hAnsi="Times New Roman"/>
          <w:b/>
          <w:color w:val="000000"/>
          <w:sz w:val="15"/>
        </w:rPr>
      </w:pPr>
      <w:r>
        <w:rPr>
          <w:rFonts w:ascii="Times New Roman" w:hAnsi="Times New Roman"/>
          <w:b/>
          <w:color w:val="000000"/>
          <w:sz w:val="15"/>
        </w:rPr>
        <w:t>(Exact name of Registrant as Specified in Its Charter)</w:t>
      </w:r>
    </w:p>
    <w:tbl>
      <w:tblPr>
        <w:tblW w:w="7128" w:type="dxa"/>
        <w:jc w:val="left"/>
        <w:tblInd w:w="0" w:type="dxa"/>
        <w:tblLayout w:type="fixed"/>
        <w:tblCellMar>
          <w:top w:w="28" w:type="dxa"/>
          <w:left w:w="28" w:type="dxa"/>
          <w:bottom w:w="28" w:type="dxa"/>
          <w:right w:w="28" w:type="dxa"/>
        </w:tblCellMar>
      </w:tblPr>
      <w:tblGrid>
        <w:gridCol w:w="1636"/>
        <w:gridCol w:w="3136"/>
        <w:gridCol w:w="2356"/>
      </w:tblGrid>
      <w:tr>
        <w:trPr/>
        <w:tc>
          <w:tcPr>
            <w:tcW w:w="1636" w:type="dxa"/>
            <w:tcBorders/>
            <w:vAlign w:val="center"/>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r>
      <w:tr>
        <w:trPr/>
        <w:tc>
          <w:tcPr>
            <w:tcW w:w="7128"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Commission File Number 001-40815</w:t>
            </w:r>
          </w:p>
        </w:tc>
      </w:tr>
      <w:tr>
        <w:trPr/>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35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31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86-3988281</w:t>
            </w:r>
          </w:p>
        </w:tc>
      </w:tr>
      <w:tr>
        <w:trPr/>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of Incorporation)</w:t>
            </w:r>
          </w:p>
        </w:tc>
        <w:tc>
          <w:tcPr>
            <w:tcW w:w="31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 Identification No.)</w:t>
            </w:r>
          </w:p>
        </w:tc>
      </w:tr>
      <w:tr>
        <w:trPr/>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492 Old Connecticut Path, Suite 401</w:t>
            </w:r>
          </w:p>
        </w:tc>
        <w:tc>
          <w:tcPr>
            <w:tcW w:w="235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Framingham, Massachusetts</w:t>
            </w:r>
            <w:r>
              <w:rPr>
                <w:rFonts w:ascii="Times New Roman" w:hAnsi="Times New Roman"/>
                <w:color w:val="000000"/>
                <w:sz w:val="20"/>
              </w:rPr>
              <w:t xml:space="preserve"> </w:t>
            </w:r>
            <w:r>
              <w:rPr>
                <w:rFonts w:ascii="Times New Roman" w:hAnsi="Times New Roman"/>
                <w:b/>
                <w:color w:val="000000"/>
                <w:sz w:val="20"/>
              </w:rPr>
              <w:t>01701</w:t>
            </w:r>
          </w:p>
        </w:tc>
        <w:tc>
          <w:tcPr>
            <w:tcW w:w="235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15"/>
              </w:rPr>
              <w:t>(Address of Principal Executive Offices)</w:t>
            </w:r>
            <w:r>
              <w:rPr>
                <w:rFonts w:ascii="Times New Roman" w:hAnsi="Times New Roman"/>
                <w:color w:val="000000"/>
                <w:sz w:val="20"/>
              </w:rPr>
              <w:t xml:space="preserve"> </w:t>
            </w:r>
          </w:p>
        </w:tc>
        <w:tc>
          <w:tcPr>
            <w:tcW w:w="2356" w:type="dxa"/>
            <w:tcBorders/>
            <w:tcMar>
              <w:top w:w="0" w:type="dxa"/>
              <w:left w:w="0" w:type="dxa"/>
              <w:bottom w:w="0" w:type="dxa"/>
              <w:right w:w="0" w:type="dxa"/>
            </w:tcMar>
            <w:vAlign w:val="center"/>
          </w:tcPr>
          <w:p>
            <w:pPr>
              <w:pStyle w:val="TableContents"/>
              <w:bidi w:val="0"/>
              <w:spacing w:before="0" w:after="283"/>
              <w:jc w:val="center"/>
              <w:rPr/>
            </w:pPr>
            <w:r>
              <w:rPr/>
              <w:t> </w:t>
            </w:r>
          </w:p>
        </w:tc>
      </w:tr>
    </w:tbl>
    <w:tbl>
      <w:tblPr>
        <w:tblW w:w="3511" w:type="dxa"/>
        <w:jc w:val="left"/>
        <w:tblInd w:w="0" w:type="dxa"/>
        <w:tblLayout w:type="fixed"/>
        <w:tblCellMar>
          <w:top w:w="28" w:type="dxa"/>
          <w:left w:w="28" w:type="dxa"/>
          <w:bottom w:w="28" w:type="dxa"/>
          <w:right w:w="28" w:type="dxa"/>
        </w:tblCellMar>
      </w:tblPr>
      <w:tblGrid>
        <w:gridCol w:w="3511"/>
      </w:tblGrid>
      <w:tr>
        <w:trPr/>
        <w:tc>
          <w:tcPr>
            <w:tcW w:w="3511" w:type="dxa"/>
            <w:tcBorders/>
            <w:vAlign w:val="center"/>
          </w:tcPr>
          <w:p>
            <w:pPr>
              <w:pStyle w:val="TableContents"/>
              <w:bidi w:val="0"/>
              <w:spacing w:before="0" w:after="283"/>
              <w:jc w:val="left"/>
              <w:rPr>
                <w:sz w:val="4"/>
                <w:szCs w:val="4"/>
              </w:rPr>
            </w:pPr>
            <w:r>
              <w:rPr>
                <w:sz w:val="4"/>
                <w:szCs w:val="4"/>
              </w:rPr>
            </w:r>
          </w:p>
        </w:tc>
      </w:tr>
      <w:tr>
        <w:trPr/>
        <w:tc>
          <w:tcPr>
            <w:tcW w:w="3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(508)</w:t>
            </w:r>
            <w:r>
              <w:rPr>
                <w:rFonts w:ascii="Times New Roman" w:hAnsi="Times New Roman"/>
                <w:color w:val="000000"/>
                <w:sz w:val="20"/>
              </w:rPr>
              <w:t xml:space="preserve"> </w:t>
            </w:r>
            <w:r>
              <w:rPr>
                <w:rFonts w:ascii="Times New Roman" w:hAnsi="Times New Roman"/>
                <w:b/>
                <w:color w:val="000000"/>
                <w:sz w:val="20"/>
              </w:rPr>
              <w:t>720-4224</w:t>
            </w:r>
          </w:p>
        </w:tc>
      </w:tr>
      <w:tr>
        <w:trPr/>
        <w:tc>
          <w:tcPr>
            <w:tcW w:w="3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Registrant’s telephone number, including area code</w:t>
            </w:r>
          </w:p>
        </w:tc>
      </w:tr>
    </w:tbl>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bidi w:val="0"/>
        <w:spacing w:before="200"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0" w:after="60"/>
        <w:jc w:val="left"/>
        <w:rPr/>
      </w:pPr>
      <w:r>
        <w:rPr>
          <w:color w:val="000000"/>
        </w:rPr>
        <w:t xml:space="preserve">☐ </w:t>
      </w:r>
      <w:r>
        <w:rPr>
          <w:rFonts w:ascii="Times New Roman" w:hAnsi="Times New Roman"/>
          <w:color w:val="000000"/>
          <w:sz w:val="20"/>
        </w:rPr>
        <w:t>Written communications pursuant to Rule 425 under the Securities Act (17 CFR 230.425)</w:t>
      </w:r>
    </w:p>
    <w:p>
      <w:pPr>
        <w:pStyle w:val="TextBody"/>
        <w:bidi w:val="0"/>
        <w:spacing w:before="0" w:after="60"/>
        <w:jc w:val="left"/>
        <w:rPr/>
      </w:pPr>
      <w:r>
        <w:rPr>
          <w:color w:val="000000"/>
        </w:rPr>
        <w:t xml:space="preserve">☐ </w:t>
      </w:r>
      <w:r>
        <w:rPr>
          <w:rFonts w:ascii="Times New Roman" w:hAnsi="Times New Roman"/>
          <w:color w:val="000000"/>
          <w:sz w:val="20"/>
        </w:rPr>
        <w:t>Soliciting material pursuant to Rule 14a-12 under the Exchange Act (17 CFR 240.14a-12)</w:t>
      </w:r>
    </w:p>
    <w:p>
      <w:pPr>
        <w:pStyle w:val="TextBody"/>
        <w:bidi w:val="0"/>
        <w:spacing w:before="0" w:after="60"/>
        <w:jc w:val="left"/>
        <w:rPr/>
      </w:pPr>
      <w:r>
        <w:rPr>
          <w:color w:val="000000"/>
        </w:rPr>
        <w:t xml:space="preserve">☐ </w:t>
      </w:r>
      <w:r>
        <w:rPr>
          <w:rFonts w:ascii="Times New Roman" w:hAnsi="Times New Roman"/>
          <w:color w:val="000000"/>
          <w:sz w:val="20"/>
        </w:rPr>
        <w:t>Pre-commencement communications pursuant to Rule 14d-2(b) under the Exchange Act (17 CFR 240.14d-2(b))</w:t>
      </w:r>
    </w:p>
    <w:p>
      <w:pPr>
        <w:pStyle w:val="TextBody"/>
        <w:bidi w:val="0"/>
        <w:spacing w:before="0" w:after="60"/>
        <w:jc w:val="left"/>
        <w:rPr/>
      </w:pPr>
      <w:r>
        <w:rPr>
          <w:color w:val="000000"/>
        </w:rPr>
        <w:t xml:space="preserve">☐ </w:t>
      </w:r>
      <w:r>
        <w:rPr>
          <w:rFonts w:ascii="Times New Roman" w:hAnsi="Times New Roman"/>
          <w:color w:val="000000"/>
          <w:sz w:val="20"/>
        </w:rPr>
        <w:t>Pre-commencement communications pursuant to Rule 13e-4(c) under the Exchange Act (17 CFR 240.13e-4(c))</w:t>
      </w:r>
    </w:p>
    <w:p>
      <w:pPr>
        <w:pStyle w:val="TextBody"/>
        <w:bidi w:val="0"/>
        <w:spacing w:before="100" w:after="160"/>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7586" w:type="dxa"/>
        <w:jc w:val="left"/>
        <w:tblInd w:w="0" w:type="dxa"/>
        <w:tblLayout w:type="fixed"/>
        <w:tblCellMar>
          <w:top w:w="28" w:type="dxa"/>
          <w:left w:w="28" w:type="dxa"/>
          <w:bottom w:w="28" w:type="dxa"/>
          <w:right w:w="28" w:type="dxa"/>
        </w:tblCellMar>
      </w:tblPr>
      <w:tblGrid>
        <w:gridCol w:w="3601"/>
        <w:gridCol w:w="109"/>
        <w:gridCol w:w="646"/>
        <w:gridCol w:w="109"/>
        <w:gridCol w:w="3121"/>
      </w:tblGrid>
      <w:tr>
        <w:trPr/>
        <w:tc>
          <w:tcPr>
            <w:tcW w:w="3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rPr/>
        <w:tc>
          <w:tcPr>
            <w:tcW w:w="360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Title of Each Class</w:t>
            </w:r>
          </w:p>
        </w:tc>
        <w:tc>
          <w:tcPr>
            <w:tcW w:w="109" w:type="dxa"/>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Trading</w:t>
              <w:br/>
              <w:t>Symbol</w:t>
            </w:r>
          </w:p>
        </w:tc>
        <w:tc>
          <w:tcPr>
            <w:tcW w:w="109" w:type="dxa"/>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2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Name of Each Exchange on Which Registered</w:t>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Class A Common Stock, $0.001 par value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DH</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 Nasdaq Stock Market LLC</w:t>
            </w:r>
          </w:p>
        </w:tc>
      </w:tr>
    </w:tbl>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60" w:after="283"/>
        <w:jc w:val="left"/>
        <w:rPr>
          <w:rFonts w:ascii="Times New Roman" w:hAnsi="Times New Roman"/>
          <w:sz w:val="18"/>
        </w:rPr>
      </w:pPr>
      <w:r>
        <w:rPr>
          <w:rFonts w:ascii="Times New Roman" w:hAnsi="Times New Roman"/>
          <w:color w:val="000000"/>
          <w:sz w:val="20"/>
        </w:rPr>
        <w:t xml:space="preserve">Emerging growth company </w:t>
      </w:r>
      <w:r>
        <w:rPr>
          <w:rFonts w:ascii="Times New Roman" w:hAnsi="Times New Roman"/>
          <w:color w:val="000000"/>
          <w:sz w:val="18"/>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240" w:after="240"/>
        <w:jc w:val="left"/>
        <w:rPr>
          <w:rFonts w:ascii="Times New Roman" w:hAnsi="Times New Roman"/>
          <w:color w:val="000000"/>
          <w:sz w:val="2"/>
        </w:rPr>
      </w:pPr>
      <w:r>
        <w:rPr>
          <w:rFonts w:ascii="Times New Roman" w:hAnsi="Times New Roman"/>
          <w:color w:val="000000"/>
          <w:sz w:val="2"/>
        </w:rPr>
        <w:br/>
        <w:t> </w:t>
      </w:r>
    </w:p>
    <w:p>
      <w:pPr>
        <w:pStyle w:val="HorizontalLine"/>
        <w:pBdr>
          <w:bottom w:val="double" w:sz="2" w:space="0" w:color="808080"/>
        </w:pBdr>
        <w:bidi w:val="0"/>
        <w:spacing w:before="0" w:after="283"/>
        <w:jc w:val="left"/>
        <w:rPr/>
      </w:pPr>
      <w:r>
        <w:rPr/>
      </w:r>
    </w:p>
    <w:p>
      <w:pPr>
        <w:pStyle w:val="TextBody"/>
        <w:bidi w:val="0"/>
        <w:spacing w:before="240" w:after="240"/>
        <w:jc w:val="both"/>
        <w:rPr>
          <w:rFonts w:ascii="Times New Roman" w:hAnsi="Times New Roman"/>
          <w:b/>
          <w:color w:val="000000"/>
          <w:sz w:val="20"/>
        </w:rPr>
      </w:pPr>
      <w:r>
        <w:rPr>
          <w:rFonts w:ascii="Times New Roman" w:hAnsi="Times New Roman"/>
          <w:b/>
          <w:color w:val="000000"/>
          <w:sz w:val="20"/>
        </w:rPr>
        <w:t>Item 7.01 Regulation FD Disclosure.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As previously disclosed, Definitive Healthcare Corp. (the “Company”) is party to a tax receivable agreement, dated as of September 14, 2021 (the “TRA”), with AIDH TopCo, LLC, certain affiliates of Advent International, L.P. (collectively, “Advent”), certain affiliates of Spectrum Equity Management, L.P. (collectively, “Spectrum Equity”), certain affiliates of 22C Capital LLC (collectively, “22C Capital”), Jason Krantz (“Mr. Krantz”), and certain other parties thereto (together with Advent, Spectrum Equity, 22C Capital, and Mr. Krantz, the “TRA Holders”). The Company is voluntarily disclosing that representatives of the TRA Holders, acting on behalf of the applicable TRA Holders, have irrevocably waived, pursuant to written agreements between the TRA Holders, the right of such TRA Holders to receive an Early Termination Payment (as defined in the TRA) pursuant to Section 4.1(c) of the TRA in connection with any Change of Control (as defined in the TRA) for which the definitive merger agreement is executed on or prior to December 31, 2026 (a “Qualifying Change of Control”) and, upon the consummation of a Qualifying Change of Control, the TRA will terminate in accordance with its terms and the TRA Parties agree to take such actions as are reasonably necessary to effect such termination upon the consummation of a Qualifying Change of Control (the “Waiver”). Except for this limited Waiver, the TRA Holders’ rights under the TRA, including rights to tax benefit payments with respect to taxable years ending prior to, with, or including the consummation of any such transaction, remain unaffected. The Company is not a party to the Waiver.</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information furnished in this Item 7.01 on this Current Report on Form 8-K shall not be deemed “filed” for purposes of Section 18 of the Securities Exchange Act of 1934, as amended (the “Exchange Act”), or otherwise subject to the liabilities of that section, nor shall it be deemed incorporated by reference into any filing under the Securities Act of 1933, as amended, or the Exchange Act, regardless of any general incorporation language in such filing. Furthermore, the furnishing of information in this Item 7.01 on this Current Report on Form 8-K is not intended to constitute a determination by the Company that the information contained herein is material or that the dissemination of such information is required by Regulation FD.</w:t>
      </w:r>
    </w:p>
    <w:p>
      <w:pPr>
        <w:pStyle w:val="TextBody"/>
        <w:bidi w:val="0"/>
        <w:jc w:val="left"/>
        <w:rPr/>
      </w:pPr>
      <w:r>
        <w:rPr/>
        <w:t> </w:t>
      </w:r>
    </w:p>
    <w:p>
      <w:pPr>
        <w:pStyle w:val="TextBody"/>
        <w:bidi w:val="0"/>
        <w:spacing w:before="360" w:after="240"/>
        <w:jc w:val="both"/>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 Exhibits.</w:t>
      </w:r>
    </w:p>
    <w:tbl>
      <w:tblPr>
        <w:tblW w:w="7082" w:type="dxa"/>
        <w:jc w:val="left"/>
        <w:tblInd w:w="0" w:type="dxa"/>
        <w:tblLayout w:type="fixed"/>
        <w:tblCellMar>
          <w:top w:w="28" w:type="dxa"/>
          <w:left w:w="28" w:type="dxa"/>
          <w:bottom w:w="28" w:type="dxa"/>
          <w:right w:w="28" w:type="dxa"/>
        </w:tblCellMar>
      </w:tblPr>
      <w:tblGrid>
        <w:gridCol w:w="436"/>
        <w:gridCol w:w="6646"/>
      </w:tblGrid>
      <w:tr>
        <w:trPr/>
        <w:tc>
          <w:tcPr>
            <w:tcW w:w="436"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4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p>
      <w:pPr>
        <w:pStyle w:val="TextBody"/>
        <w:bidi w:val="0"/>
        <w:jc w:val="left"/>
        <w:rPr/>
      </w:pPr>
      <w:r>
        <w:rPr/>
        <w:t> </w:t>
      </w:r>
    </w:p>
    <w:tbl>
      <w:tblPr>
        <w:tblW w:w="5142" w:type="dxa"/>
        <w:jc w:val="left"/>
        <w:tblInd w:w="0" w:type="dxa"/>
        <w:tblLayout w:type="fixed"/>
        <w:tblCellMar>
          <w:top w:w="28" w:type="dxa"/>
          <w:left w:w="28" w:type="dxa"/>
          <w:bottom w:w="28" w:type="dxa"/>
          <w:right w:w="28" w:type="dxa"/>
        </w:tblCellMar>
      </w:tblPr>
      <w:tblGrid>
        <w:gridCol w:w="1636"/>
        <w:gridCol w:w="146"/>
        <w:gridCol w:w="802"/>
        <w:gridCol w:w="2558"/>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558"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6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DEFINITIVE HEALTHCARE CORP.</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tcMar>
              <w:top w:w="0" w:type="dxa"/>
              <w:left w:w="0" w:type="dxa"/>
              <w:bottom w:w="0" w:type="dxa"/>
              <w:right w:w="0" w:type="dxa"/>
            </w:tcMar>
            <w:vAlign w:val="center"/>
          </w:tcPr>
          <w:p>
            <w:pPr>
              <w:pStyle w:val="TableContents"/>
              <w:bidi w:val="0"/>
              <w:spacing w:before="0" w:after="283"/>
              <w:jc w:val="left"/>
              <w:rPr/>
            </w:pPr>
            <w:r>
              <w:rPr/>
              <w:t> </w:t>
            </w:r>
          </w:p>
        </w:tc>
        <w:tc>
          <w:tcPr>
            <w:tcW w:w="255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9, 2026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58"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Casey Heller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5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Casey Heller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5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753</Words>
  <Characters>4110</Characters>
  <CharactersWithSpaces>4845</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