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-05032024_080512.xml.htm"/>
      <w:bookmarkStart w:id="1" w:name="ksform405032024_080512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60"/>
        <w:gridCol w:w="1888"/>
        <w:gridCol w:w="5968"/>
        <w:gridCol w:w="1989"/>
      </w:tblGrid>
      <w:tr>
        <w:trPr/>
        <w:tc>
          <w:tcPr>
            <w:tcW w:w="2248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68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89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69"/>
            </w:tblGrid>
            <w:tr>
              <w:trPr/>
              <w:tc>
                <w:tcPr>
                  <w:tcW w:w="1869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5"/>
                    <w:gridCol w:w="668"/>
                  </w:tblGrid>
                  <w:tr>
                    <w:trPr/>
                    <w:tc>
                      <w:tcPr>
                        <w:tcW w:w="1145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3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5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69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6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52400" cy="152400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8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68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89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51"/>
        <w:gridCol w:w="3551"/>
        <w:gridCol w:w="2943"/>
        <w:gridCol w:w="160"/>
      </w:tblGrid>
      <w:tr>
        <w:trPr/>
        <w:tc>
          <w:tcPr>
            <w:tcW w:w="355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31"/>
            </w:tblGrid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3">
                    <w:r>
                      <w:rPr>
                        <w:rStyle w:val="InternetLink"/>
                      </w:rPr>
                      <w:t>Moschella William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31"/>
            </w:tblGrid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DEFINITIVE HEALTHCARE CORP.</w:t>
                  </w:r>
                </w:p>
              </w:tc>
            </w:tr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492 OLD CONNECTICUT PATH, SUITE 401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FRAMINGHAM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MA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01701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51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4">
              <w:r>
                <w:rPr>
                  <w:rStyle w:val="InternetLink"/>
                </w:rPr>
                <w:t>Definitive Healthcare Corp.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DH</w:t>
            </w:r>
            <w:r>
              <w:rPr/>
              <w:t xml:space="preserve"> ] </w:t>
            </w:r>
          </w:p>
        </w:tc>
        <w:tc>
          <w:tcPr>
            <w:tcW w:w="2943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23"/>
              <w:gridCol w:w="988"/>
              <w:gridCol w:w="423"/>
              <w:gridCol w:w="989"/>
            </w:tblGrid>
            <w:tr>
              <w:trPr/>
              <w:tc>
                <w:tcPr>
                  <w:tcW w:w="42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2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2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X</w:t>
                  </w:r>
                </w:p>
              </w:tc>
              <w:tc>
                <w:tcPr>
                  <w:tcW w:w="98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2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823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/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Product &amp; Tech Officer</w:t>
                  </w:r>
                  <w:r>
                    <w:rPr/>
                    <w:t xml:space="preserve"> 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0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05/01/2024</w:t>
            </w:r>
            <w:r>
              <w:rPr/>
              <w:t xml:space="preserve"> </w:t>
            </w:r>
          </w:p>
        </w:tc>
        <w:tc>
          <w:tcPr>
            <w:tcW w:w="294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29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22"/>
              <w:gridCol w:w="2401"/>
            </w:tblGrid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X</w:t>
                  </w:r>
                </w:p>
              </w:tc>
              <w:tc>
                <w:tcPr>
                  <w:tcW w:w="24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4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654" w:type="dxa"/>
            <w:gridSpan w:val="3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tbl>
            <w:tblPr>
              <w:tblW w:w="5000" w:type="pct"/>
              <w:jc w:val="left"/>
              <w:tblInd w:w="0" w:type="dxa"/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6534"/>
            </w:tblGrid>
            <w:tr>
              <w:trPr/>
              <w:tc>
                <w:tcPr>
                  <w:tcW w:w="653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t>Rule 10b5-1(c) Transaction Indication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179"/>
              <w:gridCol w:w="6355"/>
            </w:tblGrid>
            <w:tr>
              <w:trPr/>
              <w:tc>
                <w:tcPr>
                  <w:tcW w:w="179" w:type="dxa"/>
                  <w:tcBorders/>
                  <w:vAlign w:val="center"/>
                </w:tcPr>
                <w:tbl>
                  <w:tblPr>
                    <w:tblW w:w="266" w:type="dxa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266"/>
                  </w:tblGrid>
                  <w:tr>
                    <w:trPr/>
                    <w:tc>
                      <w:tcPr>
                        <w:tcW w:w="266" w:type="dxa"/>
                        <w:tcBorders>
                          <w:top w:val="single" w:sz="2" w:space="0" w:color="000000"/>
                          <w:left w:val="single" w:sz="2" w:space="0" w:color="000000"/>
                          <w:bottom w:val="single" w:sz="2" w:space="0" w:color="000000"/>
                          <w:right w:val="single" w:sz="2" w:space="0" w:color="000000"/>
                        </w:tcBorders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color w:val="0000FF"/>
                            <w:shd w:fill="FFFFFF" w:val="clear"/>
                          </w:rPr>
                        </w:pPr>
                        <w:r>
                          <w:rPr>
                            <w:color w:val="0000FF"/>
                            <w:shd w:fill="FFFFFF" w:val="clear"/>
                          </w:rPr>
                          <w:t>  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6355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14"/>
                    </w:rPr>
                  </w:pPr>
                  <w:r>
                    <w:rPr>
                      <w:rFonts w:ascii="arial;helvetica;sans-serif" w:hAnsi="arial;helvetica;sans-serif"/>
                      <w:sz w:val="14"/>
                    </w:rPr>
                    <w:t>Check this box to indicate that a transaction was made pursuant to a contract, instruction or written plan that is intended to satisfy the affirmative defense conditions of Rule 10b5-1(c). See Instruction 10.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64"/>
        <w:gridCol w:w="905"/>
        <w:gridCol w:w="774"/>
        <w:gridCol w:w="601"/>
        <w:gridCol w:w="348"/>
        <w:gridCol w:w="1059"/>
        <w:gridCol w:w="454"/>
        <w:gridCol w:w="616"/>
        <w:gridCol w:w="1163"/>
        <w:gridCol w:w="996"/>
        <w:gridCol w:w="925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64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29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64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10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1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64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05/01/2024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297,686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45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1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116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496,912</w:t>
            </w:r>
          </w:p>
        </w:tc>
        <w:tc>
          <w:tcPr>
            <w:tcW w:w="99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Represents restricted stock units ("RSUs"), each representing a contingent right to receive one share of the Issuer's Class A Common Stock, par value $0.001, consisting of (i) 154,356 RSUs and (ii) 143,330 RSUs, in each case vesting over a four-year period, with 25% of the RSUs vesting on February 1, 2025, followed by vesting of 6.25% every three months thereafter over the subsequent three years, in each case subject to the Reporting Person's continued service with the Issuer through each such vesting date.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Matthew Ruderman,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05/03/2024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insider-checkbox.png" TargetMode="External"/><Relationship Id="rId3" Type="http://schemas.openxmlformats.org/officeDocument/2006/relationships/hyperlink" Target="http://www.sec.gov/cgi-bin/browse-edgar?action=getcompany&amp;CIK=0002017865" TargetMode="External"/><Relationship Id="rId4" Type="http://schemas.openxmlformats.org/officeDocument/2006/relationships/hyperlink" Target="http://www.sec.gov/cgi-bin/browse-edgar?action=getcompany&amp;CIK=0001861795" TargetMode="Externa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648</Words>
  <Characters>3532</Characters>
  <CharactersWithSpaces>4120</CharactersWithSpaces>
  <Paragraphs>97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