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No. )*</w:t>
      </w:r>
    </w:p>
    <w:p>
      <w:pPr>
        <w:spacing w:after="0" w:line="1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Definitive Healthcare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Class A Common Stock, $0.001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24477E103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(CUSIP Number)</w:t>
      </w: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September 30,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13G is filed:</w:t>
      </w:r>
    </w:p>
    <w:p>
      <w:pPr>
        <w:spacing w:after="0" w:line="225" w:lineRule="exact"/>
        <w:rPr>
          <w:sz w:val="24"/>
          <w:szCs w:val="24"/>
          <w:color w:val="auto"/>
        </w:rPr>
      </w:pPr>
    </w:p>
    <w:p>
      <w:pPr>
        <w:jc w:val="both"/>
        <w:ind w:left="660" w:right="9360" w:hanging="4"/>
        <w:spacing w:after="0" w:line="232" w:lineRule="exact"/>
        <w:tabs>
          <w:tab w:leader="none" w:pos="867" w:val="left"/>
        </w:tabs>
        <w:numPr>
          <w:ilvl w:val="1"/>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 xml:space="preserve">Rule 13d-1(b)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Rule 13d-1(c)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Rule 13d-1(d)</w:t>
      </w:r>
    </w:p>
    <w:p>
      <w:pPr>
        <w:spacing w:after="0" w:line="170" w:lineRule="exact"/>
        <w:rPr>
          <w:rFonts w:ascii="MS PGothic" w:cs="MS PGothic" w:eastAsia="MS PGothic" w:hAnsi="MS PGothic"/>
          <w:sz w:val="17"/>
          <w:szCs w:val="17"/>
          <w:color w:val="auto"/>
        </w:rPr>
      </w:pPr>
    </w:p>
    <w:p>
      <w:pPr>
        <w:spacing w:after="0" w:line="282" w:lineRule="auto"/>
        <w:rPr>
          <w:rFonts w:ascii="MS PGothic" w:cs="MS PGothic" w:eastAsia="MS PGothic" w:hAnsi="MS PGothic"/>
          <w:sz w:val="17"/>
          <w:szCs w:val="17"/>
          <w:color w:val="auto"/>
        </w:rPr>
      </w:pPr>
      <w:r>
        <w:rPr>
          <w:rFonts w:ascii="Times New Roman" w:cs="Times New Roman" w:eastAsia="Times New Roman" w:hAnsi="Times New Roman"/>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43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466090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CUSIP No. 24477E103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 w:lineRule="exact"/>
        <w:rPr>
          <w:sz w:val="20"/>
          <w:szCs w:val="20"/>
          <w:color w:val="auto"/>
        </w:rPr>
      </w:pPr>
    </w:p>
    <w:p>
      <w:pPr>
        <w:ind w:left="340" w:right="8680" w:hanging="332"/>
        <w:spacing w:after="0" w:line="297" w:lineRule="auto"/>
        <w:tabs>
          <w:tab w:leader="none" w:pos="271"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Names of Reporting Persons Irenic Capital Management LP</w:t>
      </w:r>
    </w:p>
    <w:tbl>
      <w:tblPr>
        <w:tblLayout w:type="fixed"/>
        <w:tblInd w:w="0" w:type="dxa"/>
        <w:tblCellMar>
          <w:top w:w="0" w:type="dxa"/>
          <w:left w:w="0" w:type="dxa"/>
          <w:bottom w:w="0" w:type="dxa"/>
          <w:right w:w="0" w:type="dxa"/>
        </w:tblCellMar>
      </w:tblPr>
      <w:tr>
        <w:trPr>
          <w:trHeight w:val="158"/>
        </w:trPr>
        <w:tc>
          <w:tcPr>
            <w:tcW w:w="7800" w:type="dxa"/>
            <w:vAlign w:val="bottom"/>
            <w:tcBorders>
              <w:top w:val="single" w:sz="8" w:color="auto"/>
            </w:tcBorders>
            <w:gridSpan w:val="3"/>
          </w:tcPr>
          <w:p>
            <w:pPr>
              <w:spacing w:after="0" w:line="157" w:lineRule="exact"/>
              <w:rPr>
                <w:sz w:val="20"/>
                <w:szCs w:val="20"/>
                <w:color w:val="auto"/>
              </w:rPr>
            </w:pPr>
            <w:r>
              <w:rPr>
                <w:rFonts w:ascii="Times New Roman" w:cs="Times New Roman" w:eastAsia="Times New Roman" w:hAnsi="Times New Roman"/>
                <w:sz w:val="18"/>
                <w:szCs w:val="18"/>
                <w:color w:val="auto"/>
              </w:rPr>
              <w:t>(2) Check the Appropriate Box if a Member of a Group</w:t>
            </w:r>
          </w:p>
        </w:tc>
        <w:tc>
          <w:tcPr>
            <w:tcW w:w="3440" w:type="dxa"/>
            <w:vAlign w:val="bottom"/>
            <w:tcBorders>
              <w:top w:val="single" w:sz="8" w:color="auto"/>
            </w:tcBorders>
          </w:tcPr>
          <w:p>
            <w:pPr>
              <w:ind w:left="2800"/>
              <w:spacing w:after="0" w:line="15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20" w:type="dxa"/>
            <w:vAlign w:val="bottom"/>
          </w:tcPr>
          <w:p>
            <w:pPr>
              <w:spacing w:after="0"/>
              <w:rPr>
                <w:sz w:val="13"/>
                <w:szCs w:val="13"/>
                <w:color w:val="auto"/>
              </w:rPr>
            </w:pPr>
          </w:p>
        </w:tc>
      </w:tr>
      <w:tr>
        <w:trPr>
          <w:trHeight w:val="275"/>
        </w:trPr>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40" w:type="dxa"/>
            <w:vAlign w:val="bottom"/>
          </w:tcPr>
          <w:p>
            <w:pPr>
              <w:spacing w:after="0"/>
              <w:rPr>
                <w:sz w:val="23"/>
                <w:szCs w:val="23"/>
                <w:color w:val="auto"/>
              </w:rPr>
            </w:pPr>
          </w:p>
        </w:tc>
        <w:tc>
          <w:tcPr>
            <w:tcW w:w="3460" w:type="dxa"/>
            <w:vAlign w:val="bottom"/>
            <w:gridSpan w:val="2"/>
          </w:tcPr>
          <w:p>
            <w:pPr>
              <w:ind w:left="280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r>
      <w:tr>
        <w:trPr>
          <w:trHeight w:val="223"/>
        </w:trPr>
        <w:tc>
          <w:tcPr>
            <w:tcW w:w="7800" w:type="dxa"/>
            <w:vAlign w:val="bottom"/>
            <w:tcBorders>
              <w:top w:val="single" w:sz="8" w:color="auto"/>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(3) SEC Use Only</w:t>
            </w:r>
          </w:p>
        </w:tc>
        <w:tc>
          <w:tcPr>
            <w:tcW w:w="3440" w:type="dxa"/>
            <w:vAlign w:val="bottom"/>
            <w:tcBorders>
              <w:top w:val="single" w:sz="8" w:color="auto"/>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18"/>
        </w:trPr>
        <w:tc>
          <w:tcPr>
            <w:tcW w:w="7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(4) Citizenship or Place of Organization</w:t>
            </w:r>
          </w:p>
        </w:tc>
        <w:tc>
          <w:tcPr>
            <w:tcW w:w="34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340" w:type="dxa"/>
            <w:vAlign w:val="bottom"/>
            <w:tcBorders>
              <w:bottom w:val="single" w:sz="8" w:color="auto"/>
            </w:tcBorders>
          </w:tcPr>
          <w:p>
            <w:pPr>
              <w:spacing w:after="0"/>
              <w:rPr>
                <w:sz w:val="20"/>
                <w:szCs w:val="20"/>
                <w:color w:val="auto"/>
              </w:rPr>
            </w:pPr>
          </w:p>
        </w:tc>
        <w:tc>
          <w:tcPr>
            <w:tcW w:w="74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34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18"/>
        </w:trPr>
        <w:tc>
          <w:tcPr>
            <w:tcW w:w="7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Number of Shares Beneficially Owned By Each Reporting Person With</w:t>
            </w:r>
          </w:p>
        </w:tc>
        <w:tc>
          <w:tcPr>
            <w:tcW w:w="34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3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20"/>
                <w:szCs w:val="20"/>
                <w:color w:val="auto"/>
              </w:rPr>
            </w:pPr>
          </w:p>
        </w:tc>
      </w:tr>
      <w:tr>
        <w:trPr>
          <w:trHeight w:val="223"/>
        </w:trPr>
        <w:tc>
          <w:tcPr>
            <w:tcW w:w="3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5"/>
              </w:rPr>
              <w:t>(6)</w:t>
            </w:r>
          </w:p>
        </w:tc>
        <w:tc>
          <w:tcPr>
            <w:tcW w:w="72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3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6,413,185*</w:t>
            </w:r>
          </w:p>
        </w:tc>
        <w:tc>
          <w:tcPr>
            <w:tcW w:w="20" w:type="dxa"/>
            <w:vAlign w:val="bottom"/>
          </w:tcPr>
          <w:p>
            <w:pPr>
              <w:spacing w:after="0"/>
              <w:rPr>
                <w:sz w:val="19"/>
                <w:szCs w:val="19"/>
                <w:color w:val="auto"/>
              </w:rPr>
            </w:pPr>
          </w:p>
        </w:tc>
      </w:tr>
      <w:tr>
        <w:trPr>
          <w:trHeight w:val="223"/>
        </w:trPr>
        <w:tc>
          <w:tcPr>
            <w:tcW w:w="340" w:type="dxa"/>
            <w:vAlign w:val="bottom"/>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5"/>
              </w:rPr>
              <w:t>(7)</w:t>
            </w:r>
          </w:p>
        </w:tc>
        <w:tc>
          <w:tcPr>
            <w:tcW w:w="7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Sole Dispositive Power:</w:t>
            </w:r>
          </w:p>
        </w:tc>
        <w:tc>
          <w:tcPr>
            <w:tcW w:w="3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19"/>
                <w:szCs w:val="19"/>
                <w:color w:val="auto"/>
              </w:rPr>
            </w:pPr>
          </w:p>
        </w:tc>
      </w:tr>
      <w:tr>
        <w:trPr>
          <w:trHeight w:val="228"/>
        </w:trPr>
        <w:tc>
          <w:tcPr>
            <w:tcW w:w="34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5"/>
              </w:rPr>
              <w:t>(8)</w:t>
            </w:r>
          </w:p>
        </w:tc>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3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6,413,185*</w:t>
            </w: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660" w:right="6180" w:hanging="652"/>
        <w:spacing w:after="0" w:line="273" w:lineRule="auto"/>
        <w:tabs>
          <w:tab w:leader="none" w:pos="26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6,413,185*</w:t>
      </w:r>
    </w:p>
    <w:p>
      <w:pPr>
        <w:spacing w:after="0" w:line="1"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(9) Excludes Certain Shares (See Instructions):</w:t>
      </w:r>
    </w:p>
    <w:p>
      <w:pPr>
        <w:spacing w:after="0" w:line="27" w:lineRule="exact"/>
        <w:rPr>
          <w:rFonts w:ascii="Times New Roman" w:cs="Times New Roman" w:eastAsia="Times New Roman" w:hAnsi="Times New Roman"/>
          <w:sz w:val="18"/>
          <w:szCs w:val="18"/>
          <w:color w:val="auto"/>
        </w:rPr>
      </w:pPr>
    </w:p>
    <w:p>
      <w:pPr>
        <w:ind w:left="66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7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66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See Item 4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CUSIP No. 24477E103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Names of Reporting Persons</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Irenic Capital Evergreen Master Fund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0"/>
          <w:szCs w:val="20"/>
          <w:color w:val="auto"/>
        </w:rPr>
      </w:pPr>
    </w:p>
    <w:p>
      <w:pPr>
        <w:spacing w:after="0" w:line="207" w:lineRule="exact"/>
        <w:tabs>
          <w:tab w:leader="none" w:pos="10580" w:val="left"/>
        </w:tabs>
        <w:rPr>
          <w:sz w:val="20"/>
          <w:szCs w:val="20"/>
          <w:color w:val="auto"/>
        </w:rPr>
      </w:pPr>
      <w:r>
        <w:rPr>
          <w:rFonts w:ascii="Times New Roman" w:cs="Times New Roman" w:eastAsia="Times New Roman" w:hAnsi="Times New Roman"/>
          <w:sz w:val="18"/>
          <w:szCs w:val="18"/>
          <w:color w:val="auto"/>
        </w:rPr>
        <w:t>(2) Check the Appropriate Box if a Member of a Group</w:t>
      </w:r>
      <w:r>
        <w:rPr>
          <w:sz w:val="20"/>
          <w:szCs w:val="20"/>
          <w:color w:val="auto"/>
        </w:rPr>
        <w:tab/>
      </w:r>
      <w:r>
        <w:rPr>
          <w:rFonts w:ascii="Times New Roman" w:cs="Times New Roman" w:eastAsia="Times New Roman" w:hAnsi="Times New Roman"/>
          <w:sz w:val="16"/>
          <w:szCs w:val="16"/>
          <w:color w:val="auto"/>
        </w:rPr>
        <w:t xml:space="preserve">(a) </w:t>
      </w:r>
      <w:r>
        <w:rPr>
          <w:rFonts w:ascii="MS PGothic" w:cs="MS PGothic" w:eastAsia="MS PGothic" w:hAnsi="MS PGothic"/>
          <w:sz w:val="16"/>
          <w:szCs w:val="16"/>
          <w:color w:val="auto"/>
        </w:rPr>
        <w:t>☐</w:t>
      </w:r>
    </w:p>
    <w:p>
      <w:pPr>
        <w:spacing w:after="0" w:line="45" w:lineRule="exact"/>
        <w:rPr>
          <w:sz w:val="20"/>
          <w:szCs w:val="20"/>
          <w:color w:val="auto"/>
        </w:rPr>
      </w:pPr>
    </w:p>
    <w:p>
      <w:pPr>
        <w:jc w:val="right"/>
        <w:ind w:right="24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 w:lineRule="exact"/>
        <w:rPr>
          <w:sz w:val="20"/>
          <w:szCs w:val="20"/>
          <w:color w:val="auto"/>
        </w:rPr>
      </w:pPr>
    </w:p>
    <w:p>
      <w:pPr>
        <w:ind w:left="260" w:hanging="252"/>
        <w:spacing w:after="0"/>
        <w:tabs>
          <w:tab w:leader="none" w:pos="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16" w:lineRule="exact"/>
        <w:rPr>
          <w:rFonts w:ascii="Times New Roman" w:cs="Times New Roman" w:eastAsia="Times New Roman" w:hAnsi="Times New Roman"/>
          <w:sz w:val="18"/>
          <w:szCs w:val="18"/>
          <w:color w:val="auto"/>
        </w:rPr>
      </w:pPr>
    </w:p>
    <w:p>
      <w:pPr>
        <w:ind w:left="340" w:right="8360" w:hanging="332"/>
        <w:spacing w:after="0" w:line="280" w:lineRule="auto"/>
        <w:tabs>
          <w:tab w:leader="none" w:pos="27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Cayman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-311785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9"/>
        </w:trPr>
        <w:tc>
          <w:tcPr>
            <w:tcW w:w="7800" w:type="dxa"/>
            <w:vAlign w:val="bottom"/>
            <w:tcBorders>
              <w:top w:val="single" w:sz="8" w:color="auto"/>
            </w:tcBorders>
            <w:gridSpan w:val="3"/>
          </w:tcPr>
          <w:p>
            <w:pPr>
              <w:spacing w:after="0" w:line="199" w:lineRule="exact"/>
              <w:rPr>
                <w:sz w:val="20"/>
                <w:szCs w:val="20"/>
                <w:color w:val="auto"/>
              </w:rPr>
            </w:pPr>
            <w:r>
              <w:rPr>
                <w:rFonts w:ascii="Times New Roman" w:cs="Times New Roman" w:eastAsia="Times New Roman" w:hAnsi="Times New Roman"/>
                <w:sz w:val="18"/>
                <w:szCs w:val="18"/>
                <w:color w:val="auto"/>
              </w:rPr>
              <w:t>Number of Shares Beneficially Owned By Each Reporting Person With</w:t>
            </w:r>
          </w:p>
        </w:tc>
        <w:tc>
          <w:tcPr>
            <w:tcW w:w="34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34"/>
        </w:trPr>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3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20"/>
                <w:szCs w:val="20"/>
                <w:color w:val="auto"/>
              </w:rPr>
            </w:pPr>
          </w:p>
        </w:tc>
      </w:tr>
      <w:tr>
        <w:trPr>
          <w:trHeight w:val="223"/>
        </w:trPr>
        <w:tc>
          <w:tcPr>
            <w:tcW w:w="3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5"/>
              </w:rPr>
              <w:t>(6)</w:t>
            </w:r>
          </w:p>
        </w:tc>
        <w:tc>
          <w:tcPr>
            <w:tcW w:w="72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3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6,413,185*</w:t>
            </w:r>
          </w:p>
        </w:tc>
        <w:tc>
          <w:tcPr>
            <w:tcW w:w="20" w:type="dxa"/>
            <w:vAlign w:val="bottom"/>
          </w:tcPr>
          <w:p>
            <w:pPr>
              <w:spacing w:after="0"/>
              <w:rPr>
                <w:sz w:val="19"/>
                <w:szCs w:val="19"/>
                <w:color w:val="auto"/>
              </w:rPr>
            </w:pPr>
          </w:p>
        </w:tc>
      </w:tr>
      <w:tr>
        <w:trPr>
          <w:trHeight w:val="223"/>
        </w:trPr>
        <w:tc>
          <w:tcPr>
            <w:tcW w:w="340" w:type="dxa"/>
            <w:vAlign w:val="bottom"/>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5"/>
              </w:rPr>
              <w:t>(7)</w:t>
            </w:r>
          </w:p>
        </w:tc>
        <w:tc>
          <w:tcPr>
            <w:tcW w:w="7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Sole Dispositive Power:</w:t>
            </w:r>
          </w:p>
        </w:tc>
        <w:tc>
          <w:tcPr>
            <w:tcW w:w="3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19"/>
                <w:szCs w:val="19"/>
                <w:color w:val="auto"/>
              </w:rPr>
            </w:pPr>
          </w:p>
        </w:tc>
      </w:tr>
      <w:tr>
        <w:trPr>
          <w:trHeight w:val="228"/>
        </w:trPr>
        <w:tc>
          <w:tcPr>
            <w:tcW w:w="34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5"/>
              </w:rPr>
              <w:t>(8)</w:t>
            </w:r>
          </w:p>
        </w:tc>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3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6,413,185*</w:t>
            </w: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660" w:right="6180" w:hanging="652"/>
        <w:spacing w:after="0" w:line="273" w:lineRule="auto"/>
        <w:tabs>
          <w:tab w:leader="none" w:pos="25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6,413,185*</w:t>
      </w:r>
    </w:p>
    <w:p>
      <w:pPr>
        <w:spacing w:after="0" w:line="1"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(9) Excludes Certain Shares (See Instructions):</w:t>
      </w:r>
    </w:p>
    <w:p>
      <w:pPr>
        <w:spacing w:after="0" w:line="27" w:lineRule="exact"/>
        <w:rPr>
          <w:rFonts w:ascii="Times New Roman" w:cs="Times New Roman" w:eastAsia="Times New Roman" w:hAnsi="Times New Roman"/>
          <w:sz w:val="18"/>
          <w:szCs w:val="18"/>
          <w:color w:val="auto"/>
        </w:rPr>
      </w:pPr>
    </w:p>
    <w:p>
      <w:pPr>
        <w:ind w:left="66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7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66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0"/>
          <w:szCs w:val="20"/>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See Item 4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CUSIP No. 24477E103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 w:lineRule="exact"/>
        <w:rPr>
          <w:sz w:val="20"/>
          <w:szCs w:val="20"/>
          <w:color w:val="auto"/>
        </w:rPr>
      </w:pPr>
    </w:p>
    <w:p>
      <w:pPr>
        <w:ind w:left="340" w:right="8920" w:hanging="332"/>
        <w:spacing w:after="0" w:line="280" w:lineRule="auto"/>
        <w:tabs>
          <w:tab w:leader="none" w:pos="27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 Adam Katz</w:t>
      </w:r>
    </w:p>
    <w:tbl>
      <w:tblPr>
        <w:tblLayout w:type="fixed"/>
        <w:tblInd w:w="0" w:type="dxa"/>
        <w:tblCellMar>
          <w:top w:w="0" w:type="dxa"/>
          <w:left w:w="0" w:type="dxa"/>
          <w:bottom w:w="0" w:type="dxa"/>
          <w:right w:w="0" w:type="dxa"/>
        </w:tblCellMar>
      </w:tblPr>
      <w:tr>
        <w:trPr>
          <w:trHeight w:val="158"/>
        </w:trPr>
        <w:tc>
          <w:tcPr>
            <w:tcW w:w="7800" w:type="dxa"/>
            <w:vAlign w:val="bottom"/>
            <w:tcBorders>
              <w:top w:val="single" w:sz="8" w:color="auto"/>
            </w:tcBorders>
            <w:gridSpan w:val="3"/>
          </w:tcPr>
          <w:p>
            <w:pPr>
              <w:spacing w:after="0" w:line="158" w:lineRule="exact"/>
              <w:rPr>
                <w:sz w:val="20"/>
                <w:szCs w:val="20"/>
                <w:color w:val="auto"/>
              </w:rPr>
            </w:pPr>
            <w:r>
              <w:rPr>
                <w:rFonts w:ascii="Times New Roman" w:cs="Times New Roman" w:eastAsia="Times New Roman" w:hAnsi="Times New Roman"/>
                <w:sz w:val="18"/>
                <w:szCs w:val="18"/>
                <w:color w:val="auto"/>
              </w:rPr>
              <w:t>(2) Check the Appropriate Box if a Member of a Group</w:t>
            </w:r>
          </w:p>
        </w:tc>
        <w:tc>
          <w:tcPr>
            <w:tcW w:w="3440" w:type="dxa"/>
            <w:vAlign w:val="bottom"/>
            <w:tcBorders>
              <w:top w:val="single" w:sz="8" w:color="auto"/>
            </w:tcBorders>
          </w:tcPr>
          <w:p>
            <w:pPr>
              <w:ind w:left="2800"/>
              <w:spacing w:after="0" w:line="158"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20" w:type="dxa"/>
            <w:vAlign w:val="bottom"/>
          </w:tcPr>
          <w:p>
            <w:pPr>
              <w:spacing w:after="0"/>
              <w:rPr>
                <w:sz w:val="13"/>
                <w:szCs w:val="13"/>
                <w:color w:val="auto"/>
              </w:rPr>
            </w:pPr>
          </w:p>
        </w:tc>
      </w:tr>
      <w:tr>
        <w:trPr>
          <w:trHeight w:val="275"/>
        </w:trPr>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40" w:type="dxa"/>
            <w:vAlign w:val="bottom"/>
          </w:tcPr>
          <w:p>
            <w:pPr>
              <w:spacing w:after="0"/>
              <w:rPr>
                <w:sz w:val="23"/>
                <w:szCs w:val="23"/>
                <w:color w:val="auto"/>
              </w:rPr>
            </w:pPr>
          </w:p>
        </w:tc>
        <w:tc>
          <w:tcPr>
            <w:tcW w:w="3460" w:type="dxa"/>
            <w:vAlign w:val="bottom"/>
            <w:gridSpan w:val="2"/>
          </w:tcPr>
          <w:p>
            <w:pPr>
              <w:ind w:left="280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r>
      <w:tr>
        <w:trPr>
          <w:trHeight w:val="223"/>
        </w:trPr>
        <w:tc>
          <w:tcPr>
            <w:tcW w:w="7800" w:type="dxa"/>
            <w:vAlign w:val="bottom"/>
            <w:tcBorders>
              <w:top w:val="single" w:sz="8" w:color="auto"/>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(3) SEC Use Only</w:t>
            </w:r>
          </w:p>
        </w:tc>
        <w:tc>
          <w:tcPr>
            <w:tcW w:w="3440" w:type="dxa"/>
            <w:vAlign w:val="bottom"/>
            <w:tcBorders>
              <w:top w:val="single" w:sz="8" w:color="auto"/>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18"/>
        </w:trPr>
        <w:tc>
          <w:tcPr>
            <w:tcW w:w="7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(4) Citizenship or Place of Organization</w:t>
            </w:r>
          </w:p>
        </w:tc>
        <w:tc>
          <w:tcPr>
            <w:tcW w:w="34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340" w:type="dxa"/>
            <w:vAlign w:val="bottom"/>
            <w:tcBorders>
              <w:bottom w:val="single" w:sz="8" w:color="auto"/>
            </w:tcBorders>
          </w:tcPr>
          <w:p>
            <w:pPr>
              <w:spacing w:after="0"/>
              <w:rPr>
                <w:sz w:val="20"/>
                <w:szCs w:val="20"/>
                <w:color w:val="auto"/>
              </w:rPr>
            </w:pPr>
          </w:p>
        </w:tc>
        <w:tc>
          <w:tcPr>
            <w:tcW w:w="74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United States of America</w:t>
            </w:r>
          </w:p>
        </w:tc>
        <w:tc>
          <w:tcPr>
            <w:tcW w:w="34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18"/>
        </w:trPr>
        <w:tc>
          <w:tcPr>
            <w:tcW w:w="7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Number of Shares Beneficially Owned By Each Reporting Person With</w:t>
            </w:r>
          </w:p>
        </w:tc>
        <w:tc>
          <w:tcPr>
            <w:tcW w:w="34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3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20"/>
                <w:szCs w:val="20"/>
                <w:color w:val="auto"/>
              </w:rPr>
            </w:pPr>
          </w:p>
        </w:tc>
      </w:tr>
      <w:tr>
        <w:trPr>
          <w:trHeight w:val="223"/>
        </w:trPr>
        <w:tc>
          <w:tcPr>
            <w:tcW w:w="3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5"/>
              </w:rPr>
              <w:t>(6)</w:t>
            </w:r>
          </w:p>
        </w:tc>
        <w:tc>
          <w:tcPr>
            <w:tcW w:w="72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3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6,413,185*</w:t>
            </w:r>
          </w:p>
        </w:tc>
        <w:tc>
          <w:tcPr>
            <w:tcW w:w="20" w:type="dxa"/>
            <w:vAlign w:val="bottom"/>
          </w:tcPr>
          <w:p>
            <w:pPr>
              <w:spacing w:after="0"/>
              <w:rPr>
                <w:sz w:val="19"/>
                <w:szCs w:val="19"/>
                <w:color w:val="auto"/>
              </w:rPr>
            </w:pPr>
          </w:p>
        </w:tc>
      </w:tr>
      <w:tr>
        <w:trPr>
          <w:trHeight w:val="223"/>
        </w:trPr>
        <w:tc>
          <w:tcPr>
            <w:tcW w:w="340" w:type="dxa"/>
            <w:vAlign w:val="bottom"/>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5"/>
              </w:rPr>
              <w:t>(7)</w:t>
            </w:r>
          </w:p>
        </w:tc>
        <w:tc>
          <w:tcPr>
            <w:tcW w:w="7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Sole Dispositive Power:</w:t>
            </w:r>
          </w:p>
        </w:tc>
        <w:tc>
          <w:tcPr>
            <w:tcW w:w="3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19"/>
                <w:szCs w:val="19"/>
                <w:color w:val="auto"/>
              </w:rPr>
            </w:pPr>
          </w:p>
        </w:tc>
      </w:tr>
      <w:tr>
        <w:trPr>
          <w:trHeight w:val="228"/>
        </w:trPr>
        <w:tc>
          <w:tcPr>
            <w:tcW w:w="34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5"/>
              </w:rPr>
              <w:t>(8)</w:t>
            </w:r>
          </w:p>
        </w:tc>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3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6,413,185*</w:t>
            </w: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660" w:right="6180" w:hanging="652"/>
        <w:spacing w:after="0" w:line="273" w:lineRule="auto"/>
        <w:tabs>
          <w:tab w:leader="none" w:pos="25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6,413,185*</w:t>
      </w:r>
    </w:p>
    <w:p>
      <w:pPr>
        <w:spacing w:after="0" w:line="1"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(9) Excludes Certain Shares (See Instructions):</w:t>
      </w:r>
    </w:p>
    <w:p>
      <w:pPr>
        <w:spacing w:after="0" w:line="27" w:lineRule="exact"/>
        <w:rPr>
          <w:rFonts w:ascii="Times New Roman" w:cs="Times New Roman" w:eastAsia="Times New Roman" w:hAnsi="Times New Roman"/>
          <w:sz w:val="18"/>
          <w:szCs w:val="18"/>
          <w:color w:val="auto"/>
        </w:rPr>
      </w:pPr>
    </w:p>
    <w:p>
      <w:pPr>
        <w:ind w:left="66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7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66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0"/>
          <w:szCs w:val="20"/>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See Item 4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CUSIP No. 24477E103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 w:lineRule="exact"/>
        <w:rPr>
          <w:sz w:val="20"/>
          <w:szCs w:val="20"/>
          <w:color w:val="auto"/>
        </w:rPr>
      </w:pPr>
    </w:p>
    <w:p>
      <w:pPr>
        <w:ind w:left="340" w:right="8920" w:hanging="332"/>
        <w:spacing w:after="0" w:line="280" w:lineRule="auto"/>
        <w:tabs>
          <w:tab w:leader="none" w:pos="27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 Andrew Dodge</w:t>
      </w:r>
    </w:p>
    <w:tbl>
      <w:tblPr>
        <w:tblLayout w:type="fixed"/>
        <w:tblInd w:w="0" w:type="dxa"/>
        <w:tblCellMar>
          <w:top w:w="0" w:type="dxa"/>
          <w:left w:w="0" w:type="dxa"/>
          <w:bottom w:w="0" w:type="dxa"/>
          <w:right w:w="0" w:type="dxa"/>
        </w:tblCellMar>
      </w:tblPr>
      <w:tr>
        <w:trPr>
          <w:trHeight w:val="158"/>
        </w:trPr>
        <w:tc>
          <w:tcPr>
            <w:tcW w:w="7800" w:type="dxa"/>
            <w:vAlign w:val="bottom"/>
            <w:tcBorders>
              <w:top w:val="single" w:sz="8" w:color="auto"/>
            </w:tcBorders>
            <w:gridSpan w:val="3"/>
          </w:tcPr>
          <w:p>
            <w:pPr>
              <w:spacing w:after="0" w:line="158" w:lineRule="exact"/>
              <w:rPr>
                <w:sz w:val="20"/>
                <w:szCs w:val="20"/>
                <w:color w:val="auto"/>
              </w:rPr>
            </w:pPr>
            <w:r>
              <w:rPr>
                <w:rFonts w:ascii="Times New Roman" w:cs="Times New Roman" w:eastAsia="Times New Roman" w:hAnsi="Times New Roman"/>
                <w:sz w:val="18"/>
                <w:szCs w:val="18"/>
                <w:color w:val="auto"/>
              </w:rPr>
              <w:t>(2) Check the Appropriate Box if a Member of a Group</w:t>
            </w:r>
          </w:p>
        </w:tc>
        <w:tc>
          <w:tcPr>
            <w:tcW w:w="3440" w:type="dxa"/>
            <w:vAlign w:val="bottom"/>
            <w:tcBorders>
              <w:top w:val="single" w:sz="8" w:color="auto"/>
            </w:tcBorders>
          </w:tcPr>
          <w:p>
            <w:pPr>
              <w:ind w:left="2800"/>
              <w:spacing w:after="0" w:line="158"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20" w:type="dxa"/>
            <w:vAlign w:val="bottom"/>
          </w:tcPr>
          <w:p>
            <w:pPr>
              <w:spacing w:after="0"/>
              <w:rPr>
                <w:sz w:val="13"/>
                <w:szCs w:val="13"/>
                <w:color w:val="auto"/>
              </w:rPr>
            </w:pPr>
          </w:p>
        </w:tc>
      </w:tr>
      <w:tr>
        <w:trPr>
          <w:trHeight w:val="275"/>
        </w:trPr>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40" w:type="dxa"/>
            <w:vAlign w:val="bottom"/>
          </w:tcPr>
          <w:p>
            <w:pPr>
              <w:spacing w:after="0"/>
              <w:rPr>
                <w:sz w:val="23"/>
                <w:szCs w:val="23"/>
                <w:color w:val="auto"/>
              </w:rPr>
            </w:pPr>
          </w:p>
        </w:tc>
        <w:tc>
          <w:tcPr>
            <w:tcW w:w="3460" w:type="dxa"/>
            <w:vAlign w:val="bottom"/>
            <w:gridSpan w:val="2"/>
          </w:tcPr>
          <w:p>
            <w:pPr>
              <w:ind w:left="280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r>
      <w:tr>
        <w:trPr>
          <w:trHeight w:val="223"/>
        </w:trPr>
        <w:tc>
          <w:tcPr>
            <w:tcW w:w="7800" w:type="dxa"/>
            <w:vAlign w:val="bottom"/>
            <w:tcBorders>
              <w:top w:val="single" w:sz="8" w:color="auto"/>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(3) SEC Use Only</w:t>
            </w:r>
          </w:p>
        </w:tc>
        <w:tc>
          <w:tcPr>
            <w:tcW w:w="3440" w:type="dxa"/>
            <w:vAlign w:val="bottom"/>
            <w:tcBorders>
              <w:top w:val="single" w:sz="8" w:color="auto"/>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18"/>
        </w:trPr>
        <w:tc>
          <w:tcPr>
            <w:tcW w:w="7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(4) Citizenship or Place of Organization</w:t>
            </w:r>
          </w:p>
        </w:tc>
        <w:tc>
          <w:tcPr>
            <w:tcW w:w="34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340" w:type="dxa"/>
            <w:vAlign w:val="bottom"/>
            <w:tcBorders>
              <w:bottom w:val="single" w:sz="8" w:color="auto"/>
            </w:tcBorders>
          </w:tcPr>
          <w:p>
            <w:pPr>
              <w:spacing w:after="0"/>
              <w:rPr>
                <w:sz w:val="20"/>
                <w:szCs w:val="20"/>
                <w:color w:val="auto"/>
              </w:rPr>
            </w:pPr>
          </w:p>
        </w:tc>
        <w:tc>
          <w:tcPr>
            <w:tcW w:w="74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United States of America</w:t>
            </w:r>
          </w:p>
        </w:tc>
        <w:tc>
          <w:tcPr>
            <w:tcW w:w="34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18"/>
        </w:trPr>
        <w:tc>
          <w:tcPr>
            <w:tcW w:w="7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Number of Shares Beneficially Owned By Each Reporting Person With</w:t>
            </w:r>
          </w:p>
        </w:tc>
        <w:tc>
          <w:tcPr>
            <w:tcW w:w="34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3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20"/>
                <w:szCs w:val="20"/>
                <w:color w:val="auto"/>
              </w:rPr>
            </w:pPr>
          </w:p>
        </w:tc>
      </w:tr>
      <w:tr>
        <w:trPr>
          <w:trHeight w:val="223"/>
        </w:trPr>
        <w:tc>
          <w:tcPr>
            <w:tcW w:w="3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5"/>
              </w:rPr>
              <w:t>(6)</w:t>
            </w:r>
          </w:p>
        </w:tc>
        <w:tc>
          <w:tcPr>
            <w:tcW w:w="72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3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6,413,185*</w:t>
            </w:r>
          </w:p>
        </w:tc>
        <w:tc>
          <w:tcPr>
            <w:tcW w:w="20" w:type="dxa"/>
            <w:vAlign w:val="bottom"/>
          </w:tcPr>
          <w:p>
            <w:pPr>
              <w:spacing w:after="0"/>
              <w:rPr>
                <w:sz w:val="19"/>
                <w:szCs w:val="19"/>
                <w:color w:val="auto"/>
              </w:rPr>
            </w:pPr>
          </w:p>
        </w:tc>
      </w:tr>
      <w:tr>
        <w:trPr>
          <w:trHeight w:val="223"/>
        </w:trPr>
        <w:tc>
          <w:tcPr>
            <w:tcW w:w="340" w:type="dxa"/>
            <w:vAlign w:val="bottom"/>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5"/>
              </w:rPr>
              <w:t>(7)</w:t>
            </w:r>
          </w:p>
        </w:tc>
        <w:tc>
          <w:tcPr>
            <w:tcW w:w="7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Sole Dispositive Power:</w:t>
            </w:r>
          </w:p>
        </w:tc>
        <w:tc>
          <w:tcPr>
            <w:tcW w:w="3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19"/>
                <w:szCs w:val="19"/>
                <w:color w:val="auto"/>
              </w:rPr>
            </w:pPr>
          </w:p>
        </w:tc>
      </w:tr>
      <w:tr>
        <w:trPr>
          <w:trHeight w:val="228"/>
        </w:trPr>
        <w:tc>
          <w:tcPr>
            <w:tcW w:w="34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5"/>
              </w:rPr>
              <w:t>(8)</w:t>
            </w:r>
          </w:p>
        </w:tc>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3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6,413,185*</w:t>
            </w: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660" w:right="6180" w:hanging="652"/>
        <w:spacing w:after="0" w:line="273" w:lineRule="auto"/>
        <w:tabs>
          <w:tab w:leader="none" w:pos="25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6,413,185*</w:t>
      </w:r>
    </w:p>
    <w:p>
      <w:pPr>
        <w:spacing w:after="0" w:line="1"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(9) Excludes Certain Shares (See Instructions):</w:t>
      </w:r>
    </w:p>
    <w:p>
      <w:pPr>
        <w:spacing w:after="0" w:line="27" w:lineRule="exact"/>
        <w:rPr>
          <w:rFonts w:ascii="Times New Roman" w:cs="Times New Roman" w:eastAsia="Times New Roman" w:hAnsi="Times New Roman"/>
          <w:sz w:val="18"/>
          <w:szCs w:val="18"/>
          <w:color w:val="auto"/>
        </w:rPr>
      </w:pPr>
    </w:p>
    <w:p>
      <w:pPr>
        <w:ind w:left="66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7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66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0"/>
          <w:szCs w:val="20"/>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See Item 4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Item 1(a). Name Of Issuer: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Definitive Healthcare Corp. (the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Address of Issuer’s Principal Executive Offices: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492 Old Connecticut Path, Suite 401</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Framingham, MA 01701</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2(a). Name of Person Filing:</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report on Schedule 13G (this “</w:t>
      </w:r>
      <w:r>
        <w:rPr>
          <w:rFonts w:ascii="Times New Roman" w:cs="Times New Roman" w:eastAsia="Times New Roman" w:hAnsi="Times New Roman"/>
          <w:sz w:val="18"/>
          <w:szCs w:val="18"/>
          <w:u w:val="single" w:color="auto"/>
          <w:color w:val="auto"/>
        </w:rPr>
        <w:t>Schedule 13G</w:t>
      </w:r>
      <w:r>
        <w:rPr>
          <w:rFonts w:ascii="Times New Roman" w:cs="Times New Roman" w:eastAsia="Times New Roman" w:hAnsi="Times New Roman"/>
          <w:sz w:val="18"/>
          <w:szCs w:val="18"/>
          <w:color w:val="auto"/>
        </w:rPr>
        <w:t>”) is being jointly filed by (i) Irenic Capital Management LP, a Delaware limited partnership (“</w:t>
      </w:r>
      <w:r>
        <w:rPr>
          <w:rFonts w:ascii="Times New Roman" w:cs="Times New Roman" w:eastAsia="Times New Roman" w:hAnsi="Times New Roman"/>
          <w:sz w:val="18"/>
          <w:szCs w:val="18"/>
          <w:u w:val="single" w:color="auto"/>
          <w:color w:val="auto"/>
        </w:rPr>
        <w:t>Irenic Capital</w:t>
      </w:r>
      <w:r>
        <w:rPr>
          <w:rFonts w:ascii="Times New Roman" w:cs="Times New Roman" w:eastAsia="Times New Roman" w:hAnsi="Times New Roman"/>
          <w:sz w:val="18"/>
          <w:szCs w:val="18"/>
          <w:color w:val="auto"/>
        </w:rPr>
        <w:t>”), (ii) Irenic Capital Evergreen Master Fund LP, a Cayman Islands limited partnership (“</w:t>
      </w:r>
      <w:r>
        <w:rPr>
          <w:rFonts w:ascii="Times New Roman" w:cs="Times New Roman" w:eastAsia="Times New Roman" w:hAnsi="Times New Roman"/>
          <w:sz w:val="18"/>
          <w:szCs w:val="18"/>
          <w:u w:val="single" w:color="auto"/>
          <w:color w:val="auto"/>
        </w:rPr>
        <w:t>Irenic Evergreen Master Fund</w:t>
      </w:r>
      <w:r>
        <w:rPr>
          <w:rFonts w:ascii="Times New Roman" w:cs="Times New Roman" w:eastAsia="Times New Roman" w:hAnsi="Times New Roman"/>
          <w:sz w:val="18"/>
          <w:szCs w:val="18"/>
          <w:color w:val="auto"/>
        </w:rPr>
        <w:t>”), (iii) Adam Katz and (iv) Andrew Dodge, with respect to the shares of Class A Common Stock, $0.001 par value (the “</w:t>
      </w:r>
      <w:r>
        <w:rPr>
          <w:rFonts w:ascii="Times New Roman" w:cs="Times New Roman" w:eastAsia="Times New Roman" w:hAnsi="Times New Roman"/>
          <w:sz w:val="18"/>
          <w:szCs w:val="18"/>
          <w:u w:val="single" w:color="auto"/>
          <w:color w:val="auto"/>
        </w:rPr>
        <w:t>Class A Common Stock</w:t>
      </w:r>
      <w:r>
        <w:rPr>
          <w:rFonts w:ascii="Times New Roman" w:cs="Times New Roman" w:eastAsia="Times New Roman" w:hAnsi="Times New Roman"/>
          <w:sz w:val="18"/>
          <w:szCs w:val="18"/>
          <w:color w:val="auto"/>
        </w:rPr>
        <w:t>”), of the Company held by Irenic Evergreen Master Fund. Irenic Capital is the investment manager of Irenic Evergreen Master Fund. Irenic Capital Management GP LLC (“</w:t>
      </w:r>
      <w:r>
        <w:rPr>
          <w:rFonts w:ascii="Times New Roman" w:cs="Times New Roman" w:eastAsia="Times New Roman" w:hAnsi="Times New Roman"/>
          <w:sz w:val="18"/>
          <w:szCs w:val="18"/>
          <w:u w:val="single" w:color="auto"/>
          <w:color w:val="auto"/>
        </w:rPr>
        <w:t>Irenic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Capital GP</w:t>
      </w:r>
      <w:r>
        <w:rPr>
          <w:rFonts w:ascii="Times New Roman" w:cs="Times New Roman" w:eastAsia="Times New Roman" w:hAnsi="Times New Roman"/>
          <w:sz w:val="18"/>
          <w:szCs w:val="18"/>
          <w:color w:val="auto"/>
        </w:rPr>
        <w:t>”), a Delaware limited liability company, is the general partner of Irenic Capital. Irenic Capital Evergreen Fund GP LLC (“</w:t>
      </w:r>
      <w:r>
        <w:rPr>
          <w:rFonts w:ascii="Times New Roman" w:cs="Times New Roman" w:eastAsia="Times New Roman" w:hAnsi="Times New Roman"/>
          <w:sz w:val="18"/>
          <w:szCs w:val="18"/>
          <w:u w:val="single" w:color="auto"/>
          <w:color w:val="auto"/>
        </w:rPr>
        <w:t>Irenic Evergreen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GP</w:t>
      </w:r>
      <w:r>
        <w:rPr>
          <w:rFonts w:ascii="Times New Roman" w:cs="Times New Roman" w:eastAsia="Times New Roman" w:hAnsi="Times New Roman"/>
          <w:sz w:val="18"/>
          <w:szCs w:val="18"/>
          <w:color w:val="auto"/>
        </w:rPr>
        <w:t>”), a Delaware limited liability company, is the general partner of Irenic Evergreen Master Fund. Adam Katz is the Chief Investment Officer of Irenic Capital and a managing member of each of Irenic Capital GP and Irenic Evergreen GP. Andrew Dodge is the Director of Research of Irenic Capital and a managing member of each of Irenic Capital GP and Irenic Evergreen GP.</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2(b). Address of Principal Business Office or, if None, Residence:</w:t>
      </w:r>
    </w:p>
    <w:p>
      <w:pPr>
        <w:spacing w:after="0" w:line="229" w:lineRule="exact"/>
        <w:rPr>
          <w:sz w:val="20"/>
          <w:szCs w:val="20"/>
          <w:color w:val="auto"/>
        </w:rPr>
      </w:pPr>
    </w:p>
    <w:p>
      <w:pPr>
        <w:jc w:val="both"/>
        <w:ind w:firstLine="648"/>
        <w:spacing w:after="0" w:line="292" w:lineRule="auto"/>
        <w:rPr>
          <w:sz w:val="20"/>
          <w:szCs w:val="20"/>
          <w:color w:val="auto"/>
        </w:rPr>
      </w:pPr>
      <w:r>
        <w:rPr>
          <w:rFonts w:ascii="Times New Roman" w:cs="Times New Roman" w:eastAsia="Times New Roman" w:hAnsi="Times New Roman"/>
          <w:sz w:val="18"/>
          <w:szCs w:val="18"/>
          <w:color w:val="auto"/>
        </w:rPr>
        <w:t>The business address of each of Irenic Capital, Irenic Evergreen Master Fund, Irenic Capital GP, Irenic Evergreen GP and Messrs. Katz and Dodge is 767 Fifth Avenue, 15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New York, NY 10153.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2(c). Citizenship:</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Irenic Capital is a Delaware limited partnership. Irenic Evergreen Master Fund is a Cayman Islands limited partnership. Irenic Capital GP and Irenic Evergreen GP are Delaware limited liability companies. Messrs. Katz and Dodge are citizens of the United States of America.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2(d). Title of Class of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Class A Common Stock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2(e). CUSIP No.:</w:t>
      </w:r>
    </w:p>
    <w:p>
      <w:pPr>
        <w:spacing w:after="0" w:line="22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24477E103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If This Statement Is Filed Pursuant to §§ 240.13d-1(b) or 240.13d-2(b) or (c), check whether the Person Filing is a:</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Item 4. Ownership:</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reported in the cover pages to this report, the ownership information with respect to each of Irenic Capital, Irenic Evergreen Master Fund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Messrs. Katz and Dodge is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7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Amount Beneficially Owned:</w:t>
            </w:r>
          </w:p>
        </w:tc>
        <w:tc>
          <w:tcPr>
            <w:tcW w:w="3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6,413,185*</w:t>
            </w:r>
          </w:p>
        </w:tc>
      </w:tr>
      <w:tr>
        <w:trPr>
          <w:trHeight w:val="216"/>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7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Percent of Class:</w:t>
            </w:r>
          </w:p>
        </w:tc>
        <w:tc>
          <w:tcPr>
            <w:tcW w:w="3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(c)</w:t>
            </w:r>
          </w:p>
        </w:tc>
        <w:tc>
          <w:tcPr>
            <w:tcW w:w="7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Number of Shares as to which such person has:</w:t>
            </w:r>
          </w:p>
        </w:tc>
        <w:tc>
          <w:tcPr>
            <w:tcW w:w="36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w:t>
            </w:r>
          </w:p>
        </w:tc>
        <w:tc>
          <w:tcPr>
            <w:tcW w:w="6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power to vote or to direct the vote:</w:t>
            </w:r>
          </w:p>
        </w:tc>
        <w:tc>
          <w:tcPr>
            <w:tcW w:w="3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300" w:type="dxa"/>
            <w:vAlign w:val="bottom"/>
          </w:tcPr>
          <w:p>
            <w:pPr>
              <w:spacing w:after="0"/>
              <w:rPr>
                <w:sz w:val="18"/>
                <w:szCs w:val="18"/>
                <w:color w:val="auto"/>
              </w:rPr>
            </w:pPr>
          </w:p>
        </w:tc>
        <w:tc>
          <w:tcPr>
            <w:tcW w:w="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(ii)</w:t>
            </w:r>
          </w:p>
        </w:tc>
        <w:tc>
          <w:tcPr>
            <w:tcW w:w="6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shared power to vote or to direct the vote:</w:t>
            </w:r>
          </w:p>
        </w:tc>
        <w:tc>
          <w:tcPr>
            <w:tcW w:w="3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6,413,185*</w:t>
            </w:r>
          </w:p>
        </w:tc>
      </w:tr>
      <w:tr>
        <w:trPr>
          <w:trHeight w:val="216"/>
        </w:trPr>
        <w:tc>
          <w:tcPr>
            <w:tcW w:w="300" w:type="dxa"/>
            <w:vAlign w:val="bottom"/>
          </w:tcPr>
          <w:p>
            <w:pPr>
              <w:spacing w:after="0"/>
              <w:rPr>
                <w:sz w:val="18"/>
                <w:szCs w:val="18"/>
                <w:color w:val="auto"/>
              </w:rPr>
            </w:pPr>
          </w:p>
        </w:tc>
        <w:tc>
          <w:tcPr>
            <w:tcW w:w="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(iii)</w:t>
            </w:r>
          </w:p>
        </w:tc>
        <w:tc>
          <w:tcPr>
            <w:tcW w:w="6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power to dispose or to direct the disposition of:</w:t>
            </w:r>
          </w:p>
        </w:tc>
        <w:tc>
          <w:tcPr>
            <w:tcW w:w="3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34"/>
        </w:trPr>
        <w:tc>
          <w:tcPr>
            <w:tcW w:w="300" w:type="dxa"/>
            <w:vAlign w:val="bottom"/>
          </w:tcPr>
          <w:p>
            <w:pPr>
              <w:spacing w:after="0"/>
              <w:rPr>
                <w:sz w:val="20"/>
                <w:szCs w:val="20"/>
                <w:color w:val="auto"/>
              </w:rPr>
            </w:pPr>
          </w:p>
        </w:tc>
        <w:tc>
          <w:tcPr>
            <w:tcW w:w="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(iv)</w:t>
            </w:r>
          </w:p>
        </w:tc>
        <w:tc>
          <w:tcPr>
            <w:tcW w:w="6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shared power to dispose or to direct the disposition of:</w:t>
            </w:r>
          </w:p>
        </w:tc>
        <w:tc>
          <w:tcPr>
            <w:tcW w:w="3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6,413,185*</w:t>
            </w:r>
          </w:p>
        </w:tc>
      </w:tr>
    </w:tbl>
    <w:p>
      <w:pPr>
        <w:spacing w:after="0" w:line="198" w:lineRule="exact"/>
        <w:rPr>
          <w:sz w:val="20"/>
          <w:szCs w:val="20"/>
          <w:color w:val="auto"/>
        </w:rPr>
      </w:pPr>
    </w:p>
    <w:p>
      <w:pPr>
        <w:jc w:val="both"/>
        <w:ind w:firstLine="8"/>
        <w:spacing w:after="0" w:line="261" w:lineRule="auto"/>
        <w:tabs>
          <w:tab w:leader="none" w:pos="13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Irenic Capital is the investment manager to Irenic Evergreen Master Fund. Irenic Capital GP is the general partner of Irenic Capital and Irenic Evergreen GP is the general partner of Irenic Evergreen Master Fund. Adam Katz is the Chief Investment Officer of Irenic Capital and a managing member of each of Irenic Capital GP and Irenic Evergreen GP. Andrew Dodge is the Director of Research of Irenic Capital and a managing member of each of Irenic Capital GP and Irenic Evergreen GP.</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2024, Irenic Evergreen Master Fund held 6,413,185 shares of Class A Common Stock. As of September 30, 2024, Irenic Capital and Messrs. Katz and Dodge may be deemed to beneficially own 6,413,185 shares of Class A Common Stock held by Irenic Evergreen Master Fund.</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reported beneficial ownership percentage is based upon 117,123,112 shares of Class A Common Stock issued and outstanding as of August 1, 2024, based on information reported by the Company in its Quarterly Report on Form 10-Q filed with the Securities and Exchange Commission on August 5,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Ownership of Five Percent or Less of a Class: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Ownership of More Than Five Percent on Behalf of Another Person: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Identification and Classification of the Subsidiary Which Acquired the Security Being Reported on by the Parent Holding Company or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Control Person:</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Identification and Classification of Members of the Group:</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Notice of Dissolution of Group:</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Certification:</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October 3, 2024</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IRENIC CAPITAL EVERGREEN MASTER FUND LP</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Irenic Capital Management LP, its Investment Manager</w:t>
      </w:r>
    </w:p>
    <w:p>
      <w:pPr>
        <w:spacing w:after="0" w:line="2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Joshua Brodman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Joshua Brodman</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Compliance Officer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IRENIC CAPITAL MANAGEMENT LP</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Joshua Brodman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Joshua Brodman</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Compliance Officer</w:t>
      </w:r>
    </w:p>
    <w:p>
      <w:pPr>
        <w:spacing w:after="0" w:line="20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/s/ Adam Katz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18415</wp:posOffset>
            </wp:positionV>
            <wp:extent cx="356616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Adam Katz</w:t>
      </w:r>
    </w:p>
    <w:p>
      <w:pPr>
        <w:spacing w:after="0" w:line="2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/s/ Andrew Dodge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18415</wp:posOffset>
            </wp:positionV>
            <wp:extent cx="356616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Andrew Dodge</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Attention: Intentional misstatements or omissions of fact constitute</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w:t>
      </w:r>
    </w:p>
    <w:p>
      <w:pPr>
        <w:spacing w:after="0" w:line="229" w:lineRule="exact"/>
        <w:rPr>
          <w:sz w:val="20"/>
          <w:szCs w:val="20"/>
          <w:color w:val="auto"/>
        </w:rPr>
      </w:pPr>
    </w:p>
    <w:p>
      <w:pPr>
        <w:ind w:firstLine="8"/>
        <w:spacing w:after="0" w:line="282" w:lineRule="auto"/>
        <w:tabs>
          <w:tab w:leader="none" w:pos="191" w:val="left"/>
        </w:tabs>
        <w:numPr>
          <w:ilvl w:val="0"/>
          <w:numId w:val="15"/>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t>Joint Filing Agreement, dated as of October 3, 2024, by and between Irenic Capital Management LP, Irenic Capital Evergreen Master Fund LP, Adam Katz and Andrew Dodge.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t>Exhibit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Agreement will confirm the agreement by and among the undersigned that the Schedule 13G filed with the Securities and Exchange Commission on the date hereof with respect to the beneficial ownership by the undersigned of the shares of Class A Common Stock of Definitive Healthcare Corp. is being filed, and all amendments thereto will be filed, on behalf of each of the persons and entities named below, in accordance with Rule 13d-1 under the Securities Exchange Act of 1934, as amended. This Agreement may be executed in two or more counterparts, each of which shall be deemed an original, but all of which together shall constitute one and the same instrument.</w:t>
      </w:r>
    </w:p>
    <w:p>
      <w:pPr>
        <w:spacing w:after="0" w:line="18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Dated as of October 3, 2024</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IRENIC CAPITAL EVERGREEN MASTER FUND LP</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Irenic Capital Management LP, its Investment Manager</w:t>
      </w:r>
    </w:p>
    <w:p>
      <w:pPr>
        <w:spacing w:after="0" w:line="2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i w:val="1"/>
          <w:iCs w:val="1"/>
          <w:color w:val="auto"/>
        </w:rPr>
        <w:t>/s/ Joshua Brodman</w:t>
      </w:r>
    </w:p>
    <w:p>
      <w:pPr>
        <w:spacing w:after="0" w:line="38"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Joshua Brodman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-127635</wp:posOffset>
            </wp:positionV>
            <wp:extent cx="335153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Compliance Officer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IRENIC CAPITAL MANAGEMENT LP</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Joshua Brodman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Joshua Brodman</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Compliance Officer</w:t>
      </w:r>
    </w:p>
    <w:p>
      <w:pPr>
        <w:spacing w:after="0" w:line="20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/s/ Adam Katz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18415</wp:posOffset>
            </wp:positionV>
            <wp:extent cx="356616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Adam Katz</w:t>
      </w:r>
    </w:p>
    <w:p>
      <w:pPr>
        <w:spacing w:after="0" w:line="2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/s/ Andrew Dodge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18415</wp:posOffset>
            </wp:positionV>
            <wp:extent cx="356616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Andrew Dodge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lvl w:ilvl="1">
      <w:lvlJc w:val="left"/>
      <w:lvlText w:val="☒"/>
      <w:numFmt w:val="bullet"/>
      <w:start w:val="1"/>
    </w:lvl>
  </w:abstractNum>
  <w:abstractNum w:abstractNumId="1">
    <w:nsid w:val="515F007C"/>
    <w:multiLevelType w:val="hybridMultilevel"/>
    <w:lvl w:ilvl="0">
      <w:lvlJc w:val="left"/>
      <w:lvlText w:val="(%1)"/>
      <w:numFmt w:val="decimal"/>
      <w:start w:val="1"/>
    </w:lvl>
  </w:abstractNum>
  <w:abstractNum w:abstractNumId="2">
    <w:nsid w:val="5BD062C2"/>
    <w:multiLevelType w:val="hybridMultilevel"/>
    <w:lvl w:ilvl="0">
      <w:lvlJc w:val="left"/>
      <w:lvlText w:val="(%1)"/>
      <w:numFmt w:val="decimal"/>
      <w:start w:val="9"/>
    </w:lvl>
  </w:abstractNum>
  <w:abstractNum w:abstractNumId="3">
    <w:nsid w:val="12200854"/>
    <w:multiLevelType w:val="hybridMultilevel"/>
    <w:lvl w:ilvl="0">
      <w:lvlJc w:val="left"/>
      <w:lvlText w:val="(%1)"/>
      <w:numFmt w:val="decimal"/>
      <w:start w:val="12"/>
    </w:lvl>
  </w:abstractNum>
  <w:abstractNum w:abstractNumId="4">
    <w:nsid w:val="4DB127F8"/>
    <w:multiLevelType w:val="hybridMultilevel"/>
    <w:lvl w:ilvl="0">
      <w:lvlJc w:val="left"/>
      <w:lvlText w:val="(%1)"/>
      <w:numFmt w:val="decimal"/>
      <w:start w:val="3"/>
    </w:lvl>
  </w:abstractNum>
  <w:abstractNum w:abstractNumId="5">
    <w:nsid w:val="216231B"/>
    <w:multiLevelType w:val="hybridMultilevel"/>
    <w:lvl w:ilvl="0">
      <w:lvlJc w:val="left"/>
      <w:lvlText w:val="(%1)"/>
      <w:numFmt w:val="decimal"/>
      <w:start w:val="9"/>
    </w:lvl>
  </w:abstractNum>
  <w:abstractNum w:abstractNumId="6">
    <w:nsid w:val="1F16E9E8"/>
    <w:multiLevelType w:val="hybridMultilevel"/>
    <w:lvl w:ilvl="0">
      <w:lvlJc w:val="left"/>
      <w:lvlText w:val="(%1)"/>
      <w:numFmt w:val="decimal"/>
      <w:start w:val="12"/>
    </w:lvl>
  </w:abstractNum>
  <w:abstractNum w:abstractNumId="7">
    <w:nsid w:val="1190CDE7"/>
    <w:multiLevelType w:val="hybridMultilevel"/>
    <w:lvl w:ilvl="0">
      <w:lvlJc w:val="left"/>
      <w:lvlText w:val="(%1)"/>
      <w:numFmt w:val="decimal"/>
      <w:start w:val="1"/>
    </w:lvl>
  </w:abstractNum>
  <w:abstractNum w:abstractNumId="8">
    <w:nsid w:val="66EF438D"/>
    <w:multiLevelType w:val="hybridMultilevel"/>
    <w:lvl w:ilvl="0">
      <w:lvlJc w:val="left"/>
      <w:lvlText w:val="(%1)"/>
      <w:numFmt w:val="decimal"/>
      <w:start w:val="9"/>
    </w:lvl>
  </w:abstractNum>
  <w:abstractNum w:abstractNumId="9">
    <w:nsid w:val="140E0F76"/>
    <w:multiLevelType w:val="hybridMultilevel"/>
    <w:lvl w:ilvl="0">
      <w:lvlJc w:val="left"/>
      <w:lvlText w:val="(%1)"/>
      <w:numFmt w:val="decimal"/>
      <w:start w:val="12"/>
    </w:lvl>
  </w:abstractNum>
  <w:abstractNum w:abstractNumId="10">
    <w:nsid w:val="3352255A"/>
    <w:multiLevelType w:val="hybridMultilevel"/>
    <w:lvl w:ilvl="0">
      <w:lvlJc w:val="left"/>
      <w:lvlText w:val="(%1)"/>
      <w:numFmt w:val="decimal"/>
      <w:start w:val="1"/>
    </w:lvl>
  </w:abstractNum>
  <w:abstractNum w:abstractNumId="11">
    <w:nsid w:val="109CF92E"/>
    <w:multiLevelType w:val="hybridMultilevel"/>
    <w:lvl w:ilvl="0">
      <w:lvlJc w:val="left"/>
      <w:lvlText w:val="(%1)"/>
      <w:numFmt w:val="decimal"/>
      <w:start w:val="9"/>
    </w:lvl>
  </w:abstractNum>
  <w:abstractNum w:abstractNumId="12">
    <w:nsid w:val="DED7263"/>
    <w:multiLevelType w:val="hybridMultilevel"/>
    <w:lvl w:ilvl="0">
      <w:lvlJc w:val="left"/>
      <w:lvlText w:val="(%1)"/>
      <w:numFmt w:val="decimal"/>
      <w:start w:val="12"/>
    </w:lvl>
  </w:abstractNum>
  <w:abstractNum w:abstractNumId="13">
    <w:nsid w:val="7FDCC233"/>
    <w:multiLevelType w:val="hybridMultilevel"/>
    <w:lvl w:ilvl="0">
      <w:lvlJc w:val="left"/>
      <w:lvlText w:val="*"/>
      <w:numFmt w:val="bullet"/>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2024-10-03T20:17:34Z</dcterms:created>
  <dcterms:modified xsi:type="dcterms:W3CDTF">2024-10-03T20:17:34Z</dcterms:modified>
</cp:coreProperties>
</file>