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Hamood Samuel A</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Definitive Healthcare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492 OLD CONNECTICUT PATH, SUITE 401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189,190</w:t>
            </w:r>
            <w:r>
              <w:rPr>
                <w:rFonts w:ascii="Times New Roman" w:cs="Times New Roman" w:eastAsia="Times New Roman" w:hAnsi="Times New Roman"/>
                <w:sz w:val="22"/>
                <w:szCs w:val="22"/>
                <w:color w:val="008000"/>
                <w:w w:val="96"/>
                <w:vertAlign w:val="superscript"/>
              </w:rPr>
              <w:t>(1)</w:t>
            </w:r>
          </w:p>
        </w:tc>
        <w:tc>
          <w:tcPr>
            <w:tcW w:w="4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289,396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51,582</w:t>
            </w:r>
          </w:p>
        </w:tc>
        <w:tc>
          <w:tcPr>
            <w:tcW w:w="28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AMHAM</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DH 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representing a contingent right to receive one share of the Issuer's Class A Common Stock, par value $0.001, vesting on the earlier of June 4, 2027 or the date of the Issuer's next annual meeting of stockholders, subject to the Reporting Person's continued service through the applicable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Paris,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5772"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2026-06-09T09:07:27Z</dcterms:created>
  <dcterms:modified xsi:type="dcterms:W3CDTF">2026-06-09T09:07:27Z</dcterms:modified>
</cp:coreProperties>
</file>