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1906905</wp:posOffset>
            </wp:positionH>
            <wp:positionV relativeFrom="paragraph">
              <wp:posOffset>156845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Definitive Healthcare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24477E103</w:t>
      </w:r>
    </w:p>
    <w:p>
      <w:pPr>
        <w:spacing w:after="0" w:line="3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900" w:hanging="149"/>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Rule 13d-1(b)</w:t>
      </w:r>
    </w:p>
    <w:p>
      <w:pPr>
        <w:spacing w:after="0" w:line="241" w:lineRule="exact"/>
        <w:rPr>
          <w:sz w:val="24"/>
          <w:szCs w:val="24"/>
          <w:color w:val="auto"/>
        </w:rPr>
      </w:pPr>
    </w:p>
    <w:p>
      <w:pPr>
        <w:ind w:left="900" w:hanging="149"/>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Rule 13d-1(c)</w:t>
      </w:r>
    </w:p>
    <w:p>
      <w:pPr>
        <w:spacing w:after="0" w:line="241" w:lineRule="exact"/>
        <w:rPr>
          <w:sz w:val="24"/>
          <w:szCs w:val="24"/>
          <w:color w:val="auto"/>
        </w:rPr>
      </w:pPr>
    </w:p>
    <w:p>
      <w:pPr>
        <w:ind w:left="860" w:hanging="109"/>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 </w:t>
      </w:r>
      <w:r>
        <w:rPr>
          <w:rFonts w:ascii="Times New Roman" w:cs="Times New Roman" w:eastAsia="Times New Roman" w:hAnsi="Times New Roman"/>
          <w:sz w:val="19"/>
          <w:szCs w:val="19"/>
          <w:color w:val="auto"/>
        </w:rPr>
        <w:t>Rule 13d-1(d)</w:t>
      </w:r>
    </w:p>
    <w:p>
      <w:pPr>
        <w:spacing w:after="0" w:line="200" w:lineRule="exact"/>
        <w:rPr>
          <w:sz w:val="24"/>
          <w:szCs w:val="24"/>
          <w:color w:val="auto"/>
        </w:rPr>
      </w:pPr>
    </w:p>
    <w:p>
      <w:pPr>
        <w:spacing w:after="0" w:line="270"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8"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-248285</wp:posOffset>
            </wp:positionH>
            <wp:positionV relativeFrom="paragraph">
              <wp:posOffset>630555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1" w:name="page2"/>
    <w:bookmarkEnd w:id="1"/>
    <w:p>
      <w:pPr>
        <w:ind w:left="120"/>
        <w:spacing w:after="0"/>
        <w:tabs>
          <w:tab w:leader="none" w:pos="5700" w:val="left"/>
        </w:tabs>
        <w:rPr>
          <w:sz w:val="20"/>
          <w:szCs w:val="20"/>
          <w:color w:val="auto"/>
        </w:rPr>
      </w:pPr>
      <w:r>
        <w:rPr>
          <w:rFonts w:ascii="Times New Roman" w:cs="Times New Roman" w:eastAsia="Times New Roman" w:hAnsi="Times New Roman"/>
          <w:sz w:val="18"/>
          <w:szCs w:val="18"/>
          <w:color w:val="auto"/>
        </w:rPr>
        <w:t>CUSIP No. 24477E103</w:t>
      </w:r>
      <w:r>
        <w:rPr>
          <w:sz w:val="20"/>
          <w:szCs w:val="20"/>
          <w:color w:val="auto"/>
        </w:rPr>
        <w:tab/>
      </w: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5074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074920"/>
                    </a:xfrm>
                    <a:prstGeom prst="rect">
                      <a:avLst/>
                    </a:prstGeom>
                    <a:noFill/>
                  </pic:spPr>
                </pic:pic>
              </a:graphicData>
            </a:graphic>
          </wp:anchor>
        </w:drawing>
      </w:r>
    </w:p>
    <w:p>
      <w:pPr>
        <w:spacing w:after="0" w:line="209" w:lineRule="exact"/>
        <w:rPr>
          <w:sz w:val="20"/>
          <w:szCs w:val="20"/>
          <w:color w:val="auto"/>
        </w:rPr>
      </w:pPr>
    </w:p>
    <w:p>
      <w:pPr>
        <w:ind w:left="980" w:right="8260" w:hanging="301"/>
        <w:spacing w:after="0" w:line="37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 Jason Ronald Krantz</w:t>
      </w:r>
    </w:p>
    <w:p>
      <w:pPr>
        <w:spacing w:after="0" w:line="40" w:lineRule="exact"/>
        <w:rPr>
          <w:sz w:val="20"/>
          <w:szCs w:val="20"/>
          <w:color w:val="auto"/>
        </w:rPr>
      </w:pPr>
    </w:p>
    <w:p>
      <w:pPr>
        <w:ind w:left="980" w:hanging="301"/>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49" w:lineRule="exact"/>
        <w:rPr>
          <w:rFonts w:ascii="Times New Roman" w:cs="Times New Roman" w:eastAsia="Times New Roman" w:hAnsi="Times New Roman"/>
          <w:sz w:val="18"/>
          <w:szCs w:val="18"/>
          <w:color w:val="auto"/>
        </w:rPr>
      </w:pPr>
    </w:p>
    <w:p>
      <w:pPr>
        <w:ind w:left="9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25" w:lineRule="exact"/>
        <w:rPr>
          <w:sz w:val="20"/>
          <w:szCs w:val="20"/>
          <w:color w:val="auto"/>
        </w:rPr>
      </w:pPr>
    </w:p>
    <w:p>
      <w:pPr>
        <w:ind w:left="980" w:hanging="301"/>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82" w:lineRule="exact"/>
        <w:rPr>
          <w:sz w:val="20"/>
          <w:szCs w:val="20"/>
          <w:color w:val="auto"/>
        </w:rPr>
      </w:pPr>
    </w:p>
    <w:p>
      <w:pPr>
        <w:ind w:left="980" w:right="7620" w:hanging="301"/>
        <w:spacing w:after="0" w:line="355"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91"/>
        </w:trPr>
        <w:tc>
          <w:tcPr>
            <w:tcW w:w="16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7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97"/>
        </w:trPr>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84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21,787,263(1)</w:t>
            </w:r>
          </w:p>
        </w:tc>
        <w:tc>
          <w:tcPr>
            <w:tcW w:w="0" w:type="dxa"/>
            <w:vAlign w:val="bottom"/>
          </w:tcPr>
          <w:p>
            <w:pPr>
              <w:spacing w:after="0"/>
              <w:rPr>
                <w:sz w:val="1"/>
                <w:szCs w:val="1"/>
                <w:color w:val="auto"/>
              </w:rPr>
            </w:pPr>
          </w:p>
        </w:tc>
      </w:tr>
      <w:tr>
        <w:trPr>
          <w:trHeight w:val="81"/>
        </w:trPr>
        <w:tc>
          <w:tcPr>
            <w:tcW w:w="1640" w:type="dxa"/>
            <w:vAlign w:val="bottom"/>
            <w:tcBorders>
              <w:right w:val="single" w:sz="8" w:color="auto"/>
            </w:tcBorders>
            <w:vMerge w:val="continue"/>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8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8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16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Beneficially</w:t>
            </w:r>
          </w:p>
        </w:tc>
        <w:tc>
          <w:tcPr>
            <w:tcW w:w="840" w:type="dxa"/>
            <w:vAlign w:val="bottom"/>
            <w:tcBorders>
              <w:right w:val="single" w:sz="8" w:color="auto"/>
            </w:tcBorders>
          </w:tcPr>
          <w:p>
            <w:pPr>
              <w:spacing w:after="0"/>
              <w:rPr>
                <w:sz w:val="17"/>
                <w:szCs w:val="17"/>
                <w:color w:val="auto"/>
              </w:rPr>
            </w:pPr>
          </w:p>
        </w:tc>
        <w:tc>
          <w:tcPr>
            <w:tcW w:w="8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840" w:type="dxa"/>
            <w:vAlign w:val="bottom"/>
            <w:tcBorders>
              <w:right w:val="single" w:sz="8" w:color="auto"/>
            </w:tcBorders>
          </w:tcPr>
          <w:p>
            <w:pPr>
              <w:spacing w:after="0"/>
              <w:rPr>
                <w:sz w:val="13"/>
                <w:szCs w:val="13"/>
                <w:color w:val="auto"/>
              </w:rPr>
            </w:pPr>
          </w:p>
        </w:tc>
        <w:tc>
          <w:tcPr>
            <w:tcW w:w="8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640" w:type="dxa"/>
            <w:vAlign w:val="bottom"/>
            <w:tcBorders>
              <w:right w:val="single" w:sz="8" w:color="auto"/>
            </w:tcBorders>
            <w:vMerge w:val="continue"/>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8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6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8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13"/>
        </w:trPr>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840" w:type="dxa"/>
            <w:vAlign w:val="bottom"/>
            <w:tcBorders>
              <w:right w:val="single" w:sz="8" w:color="auto"/>
            </w:tcBorders>
            <w:vMerge w:val="continue"/>
          </w:tcPr>
          <w:p>
            <w:pPr>
              <w:spacing w:after="0"/>
              <w:rPr>
                <w:sz w:val="9"/>
                <w:szCs w:val="9"/>
                <w:color w:val="auto"/>
              </w:rPr>
            </w:pPr>
          </w:p>
        </w:tc>
        <w:tc>
          <w:tcPr>
            <w:tcW w:w="8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4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8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21,787,263(1)</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840" w:type="dxa"/>
            <w:vAlign w:val="bottom"/>
            <w:tcBorders>
              <w:right w:val="single" w:sz="8" w:color="auto"/>
            </w:tcBorders>
          </w:tcPr>
          <w:p>
            <w:pPr>
              <w:spacing w:after="0"/>
              <w:rPr>
                <w:sz w:val="18"/>
                <w:szCs w:val="18"/>
                <w:color w:val="auto"/>
              </w:rPr>
            </w:pPr>
          </w:p>
        </w:tc>
        <w:tc>
          <w:tcPr>
            <w:tcW w:w="8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840" w:type="dxa"/>
            <w:vAlign w:val="bottom"/>
            <w:tcBorders>
              <w:bottom w:val="single" w:sz="8" w:color="auto"/>
              <w:right w:val="single" w:sz="8" w:color="auto"/>
            </w:tcBorders>
          </w:tcPr>
          <w:p>
            <w:pPr>
              <w:spacing w:after="0"/>
              <w:rPr>
                <w:sz w:val="5"/>
                <w:szCs w:val="5"/>
                <w:color w:val="auto"/>
              </w:rPr>
            </w:pPr>
          </w:p>
        </w:tc>
        <w:tc>
          <w:tcPr>
            <w:tcW w:w="8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35"/>
        </w:trPr>
        <w:tc>
          <w:tcPr>
            <w:tcW w:w="16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8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16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1"/>
        </w:trPr>
        <w:tc>
          <w:tcPr>
            <w:tcW w:w="164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8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980" w:right="5440" w:hanging="301"/>
        <w:spacing w:after="0" w:line="375"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21,787,263(1)</w:t>
      </w:r>
    </w:p>
    <w:p>
      <w:pPr>
        <w:spacing w:after="0" w:line="1" w:lineRule="exact"/>
        <w:rPr>
          <w:sz w:val="20"/>
          <w:szCs w:val="20"/>
          <w:color w:val="auto"/>
        </w:rPr>
      </w:pPr>
    </w:p>
    <w:p>
      <w:pPr>
        <w:ind w:left="980" w:hanging="392"/>
        <w:spacing w:after="0" w:line="207" w:lineRule="exact"/>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38" w:lineRule="exact"/>
        <w:rPr>
          <w:rFonts w:ascii="Times New Roman" w:cs="Times New Roman" w:eastAsia="Times New Roman" w:hAnsi="Times New Roman"/>
          <w:sz w:val="18"/>
          <w:szCs w:val="18"/>
          <w:color w:val="auto"/>
        </w:rPr>
      </w:pPr>
    </w:p>
    <w:p>
      <w:pPr>
        <w:ind w:left="980" w:hanging="385"/>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90"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15.8%(2)</w:t>
      </w:r>
    </w:p>
    <w:p>
      <w:pPr>
        <w:spacing w:after="0" w:line="184" w:lineRule="exact"/>
        <w:rPr>
          <w:rFonts w:ascii="Times New Roman" w:cs="Times New Roman" w:eastAsia="Times New Roman" w:hAnsi="Times New Roman"/>
          <w:sz w:val="18"/>
          <w:szCs w:val="18"/>
          <w:color w:val="auto"/>
        </w:rPr>
      </w:pPr>
    </w:p>
    <w:p>
      <w:pPr>
        <w:ind w:left="980" w:hanging="392"/>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90"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319" w:lineRule="exact"/>
        <w:rPr>
          <w:rFonts w:ascii="Times New Roman" w:cs="Times New Roman" w:eastAsia="Times New Roman" w:hAnsi="Times New Roman"/>
          <w:sz w:val="18"/>
          <w:szCs w:val="18"/>
          <w:color w:val="auto"/>
        </w:rPr>
      </w:pPr>
    </w:p>
    <w:p>
      <w:pPr>
        <w:jc w:val="both"/>
        <w:ind w:left="380" w:right="380" w:firstLine="2"/>
        <w:spacing w:after="0" w:line="254"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450,000 shares of Class A Common Stock, par value $0.001 per share (“Class A Common Stock”) held by DH Holdings (fka Jason R. Krantz 2009 Trust), of which the Reporting Person is the trustee and beneficiary, (ii) 56,128 shares of Class A Common Stock held directly by the Reporting Person, (iii) 124,493 shares of Class A Common Stock that are issuable to the Reporting Person upon vesting of restricted stock units and performance-based restricted stock units, within 60 days of December 31, 2023, (iv) 20,451,027 shares of Class A Common Stock of the Issuer that are issuable, at the holder’s election, upon exchange of an equal number of Limited Liability Company Units of AIDH Topco, LLC (“LLC Units”) held by DH Holdings (fka Jason R. Krantz 2009 Trust), that are currently vested and (v) 705,615 shares of Class A Common Stock that are issuable, at the holder’s election, upon exchange of an equal number of vested LLC Units held directly by the Reporting Person.</w:t>
      </w:r>
    </w:p>
    <w:p>
      <w:pPr>
        <w:spacing w:after="0" w:line="191" w:lineRule="exact"/>
        <w:rPr>
          <w:rFonts w:ascii="Times New Roman" w:cs="Times New Roman" w:eastAsia="Times New Roman" w:hAnsi="Times New Roman"/>
          <w:sz w:val="18"/>
          <w:szCs w:val="18"/>
          <w:color w:val="auto"/>
        </w:rPr>
      </w:pPr>
    </w:p>
    <w:p>
      <w:pPr>
        <w:jc w:val="both"/>
        <w:ind w:left="380" w:right="380" w:firstLine="2"/>
        <w:spacing w:after="0" w:line="258" w:lineRule="auto"/>
        <w:tabs>
          <w:tab w:leader="none" w:pos="6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137,843,387 outstanding shares of Class A Common Stock of the Issuer consisting of: (i) 116,562,252 shares of Class A Common Stock outstanding as of December 31, 2023 as reported by the Issuer to the Reporting Person, (ii) 21,156,642 shares of Class A Common Stock issuable upon exchange of the Reporting Person’s directly and indirectly held vested LLC Units, and (iii) 124,493 shares of Class A Common Stock that are issuable to the Reporting Person upon vesting of restricted stock units and performance-based restricted stock units, within 60 days of December 31, 2023.</w:t>
      </w:r>
    </w:p>
    <w:p>
      <w:pPr>
        <w:spacing w:after="0" w:line="17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1(a).</w:t>
      </w:r>
      <w:r>
        <w:rPr>
          <w:sz w:val="20"/>
          <w:szCs w:val="20"/>
          <w:color w:val="auto"/>
        </w:rPr>
        <w:tab/>
      </w:r>
      <w:r>
        <w:rPr>
          <w:rFonts w:ascii="Times New Roman" w:cs="Times New Roman" w:eastAsia="Times New Roman" w:hAnsi="Times New Roman"/>
          <w:sz w:val="21"/>
          <w:szCs w:val="21"/>
          <w:b w:val="1"/>
          <w:bCs w:val="1"/>
          <w:color w:val="auto"/>
        </w:rPr>
        <w:t>Name of Issuer:</w:t>
      </w:r>
    </w:p>
    <w:p>
      <w:pPr>
        <w:spacing w:after="0" w:line="2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Definitive Healthcare Corp.</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1(b).</w:t>
      </w:r>
      <w:r>
        <w:rPr>
          <w:sz w:val="20"/>
          <w:szCs w:val="20"/>
          <w:color w:val="auto"/>
        </w:rPr>
        <w:tab/>
      </w:r>
      <w:r>
        <w:rPr>
          <w:rFonts w:ascii="Times New Roman" w:cs="Times New Roman" w:eastAsia="Times New Roman" w:hAnsi="Times New Roman"/>
          <w:sz w:val="21"/>
          <w:szCs w:val="21"/>
          <w:b w:val="1"/>
          <w:bCs w:val="1"/>
          <w:color w:val="auto"/>
        </w:rPr>
        <w:t>Address of Issuer’s Principal Executive Offices:</w:t>
      </w:r>
    </w:p>
    <w:p>
      <w:pPr>
        <w:spacing w:after="0" w:line="2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492 Old Connecticut Path, Suite 401</w:t>
      </w:r>
    </w:p>
    <w:p>
      <w:pPr>
        <w:spacing w:after="0" w:line="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Framingham, MA 01701</w:t>
      </w:r>
    </w:p>
    <w:p>
      <w:pPr>
        <w:spacing w:after="0" w:line="205" w:lineRule="exact"/>
        <w:rPr>
          <w:sz w:val="20"/>
          <w:szCs w:val="20"/>
          <w:color w:val="auto"/>
        </w:rPr>
      </w:pPr>
    </w:p>
    <w:p>
      <w:pPr>
        <w:jc w:val="center"/>
        <w:ind w:right="7800"/>
        <w:spacing w:after="0"/>
        <w:tabs>
          <w:tab w:leader="none" w:pos="380" w:val="left"/>
        </w:tabs>
        <w:rPr>
          <w:sz w:val="20"/>
          <w:szCs w:val="20"/>
          <w:color w:val="auto"/>
        </w:rPr>
      </w:pPr>
      <w:r>
        <w:rPr>
          <w:rFonts w:ascii="Times New Roman" w:cs="Times New Roman" w:eastAsia="Times New Roman" w:hAnsi="Times New Roman"/>
          <w:sz w:val="22"/>
          <w:szCs w:val="22"/>
          <w:b w:val="1"/>
          <w:bCs w:val="1"/>
          <w:color w:val="auto"/>
        </w:rPr>
        <w:t>Item 2(a).</w:t>
      </w:r>
      <w:r>
        <w:rPr>
          <w:sz w:val="20"/>
          <w:szCs w:val="20"/>
          <w:color w:val="auto"/>
        </w:rPr>
        <w:tab/>
      </w:r>
      <w:r>
        <w:rPr>
          <w:rFonts w:ascii="Times New Roman" w:cs="Times New Roman" w:eastAsia="Times New Roman" w:hAnsi="Times New Roman"/>
          <w:sz w:val="21"/>
          <w:szCs w:val="21"/>
          <w:b w:val="1"/>
          <w:bCs w:val="1"/>
          <w:color w:val="auto"/>
        </w:rPr>
        <w:t>Name of Person Filing:</w:t>
      </w:r>
    </w:p>
    <w:p>
      <w:pPr>
        <w:spacing w:after="0" w:line="2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Jason Ronald Krantz</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2(b).</w:t>
      </w:r>
      <w:r>
        <w:rPr>
          <w:sz w:val="20"/>
          <w:szCs w:val="20"/>
          <w:color w:val="auto"/>
        </w:rPr>
        <w:tab/>
      </w:r>
      <w:r>
        <w:rPr>
          <w:rFonts w:ascii="Times New Roman" w:cs="Times New Roman" w:eastAsia="Times New Roman" w:hAnsi="Times New Roman"/>
          <w:sz w:val="21"/>
          <w:szCs w:val="21"/>
          <w:b w:val="1"/>
          <w:bCs w:val="1"/>
          <w:color w:val="auto"/>
        </w:rPr>
        <w:t>Address of Principal Business Office or, if none, Residence:</w:t>
      </w:r>
    </w:p>
    <w:p>
      <w:pPr>
        <w:spacing w:after="0" w:line="2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The principal business office of the Reporting Person is:</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492 Old Connecticut Path, Suite 401</w:t>
      </w:r>
    </w:p>
    <w:p>
      <w:pPr>
        <w:spacing w:after="0" w:line="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Framingham, MA 01701</w:t>
      </w:r>
    </w:p>
    <w:p>
      <w:pPr>
        <w:spacing w:after="0" w:line="20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2(c).</w:t>
      </w:r>
      <w:r>
        <w:rPr>
          <w:sz w:val="20"/>
          <w:szCs w:val="20"/>
          <w:color w:val="auto"/>
        </w:rPr>
        <w:tab/>
      </w:r>
      <w:r>
        <w:rPr>
          <w:rFonts w:ascii="Times New Roman" w:cs="Times New Roman" w:eastAsia="Times New Roman" w:hAnsi="Times New Roman"/>
          <w:sz w:val="21"/>
          <w:szCs w:val="21"/>
          <w:b w:val="1"/>
          <w:bCs w:val="1"/>
          <w:color w:val="auto"/>
        </w:rPr>
        <w:t>Citizenship:</w:t>
      </w:r>
    </w:p>
    <w:p>
      <w:pPr>
        <w:spacing w:after="0" w:line="237" w:lineRule="exact"/>
        <w:rPr>
          <w:sz w:val="20"/>
          <w:szCs w:val="20"/>
          <w:color w:val="auto"/>
        </w:rPr>
      </w:pPr>
    </w:p>
    <w:p>
      <w:pPr>
        <w:jc w:val="center"/>
        <w:ind w:right="7440"/>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2(d).</w:t>
      </w:r>
      <w:r>
        <w:rPr>
          <w:sz w:val="20"/>
          <w:szCs w:val="20"/>
          <w:color w:val="auto"/>
        </w:rPr>
        <w:tab/>
      </w:r>
      <w:r>
        <w:rPr>
          <w:rFonts w:ascii="Times New Roman" w:cs="Times New Roman" w:eastAsia="Times New Roman" w:hAnsi="Times New Roman"/>
          <w:sz w:val="21"/>
          <w:szCs w:val="21"/>
          <w:b w:val="1"/>
          <w:bCs w:val="1"/>
          <w:color w:val="auto"/>
        </w:rPr>
        <w:t>Title of Class of Securities:</w:t>
      </w:r>
    </w:p>
    <w:p>
      <w:pPr>
        <w:spacing w:after="0" w:line="2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2(e).</w:t>
      </w:r>
      <w:r>
        <w:rPr>
          <w:sz w:val="20"/>
          <w:szCs w:val="20"/>
          <w:color w:val="auto"/>
        </w:rPr>
        <w:tab/>
      </w:r>
      <w:r>
        <w:rPr>
          <w:rFonts w:ascii="Times New Roman" w:cs="Times New Roman" w:eastAsia="Times New Roman" w:hAnsi="Times New Roman"/>
          <w:sz w:val="21"/>
          <w:szCs w:val="21"/>
          <w:b w:val="1"/>
          <w:bCs w:val="1"/>
          <w:color w:val="auto"/>
        </w:rPr>
        <w:t>CUSIP Number:</w:t>
      </w:r>
    </w:p>
    <w:p>
      <w:pPr>
        <w:spacing w:after="0" w:line="2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24477E103</w:t>
      </w:r>
    </w:p>
    <w:p>
      <w:pPr>
        <w:spacing w:after="0" w:line="22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§§240.13d-l(b) or 240.13d-2(b) or (c), check whether the person filing is a:</w:t>
      </w:r>
    </w:p>
    <w:p>
      <w:pPr>
        <w:spacing w:after="0" w:line="2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37"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21"/>
          <w:szCs w:val="21"/>
          <w:color w:val="auto"/>
        </w:rPr>
        <w:t>(a)-(c) The responses of the Reporting Person to Rows 5, 6, 7, 8, 9 and 11 in the cover page which relate to the beneficial ownership of the Class A Common Stock of the Issuer, as of December 31, 2023, are incorporated herein by reference.</w:t>
      </w:r>
    </w:p>
    <w:p>
      <w:pPr>
        <w:spacing w:after="0" w:line="34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760"/>
        <w:spacing w:after="0" w:line="233" w:lineRule="auto"/>
        <w:rPr>
          <w:sz w:val="20"/>
          <w:szCs w:val="20"/>
          <w:color w:val="auto"/>
        </w:rPr>
      </w:pPr>
      <w:r>
        <w:rPr>
          <w:rFonts w:ascii="Times New Roman" w:cs="Times New Roman" w:eastAsia="Times New Roman" w:hAnsi="Times New Roman"/>
          <w:sz w:val="22"/>
          <w:szCs w:val="22"/>
          <w:color w:val="auto"/>
        </w:rPr>
        <w:t>As of December 31, 2023, the Reporting Person beneficially owned 21,787,263 shares of Class A Common Stock of the Issuer, including 506,128 directly and indirectly held shares of Class A Common Stock, 124,493 shares of Class A Common Stock that are issuable to the Reporting Person upon vesting of restricted stock units and performance-based restricted stock units, within 60 days of December 31, 2023, and 21,156,642 shares of Class A Common Stock issuable upon the Reporting Person’s election to exchange an equal number of directly and indirectly held vested LLC Units, which represents approximately 15.8% of the shares of Class A Common Stock outstanding. The percentage ownership is based on 137,843,387 outstanding shares of Class A Common Stock of the Issuer consisting of: (i) 116,562,252 shares of Class A Common Stock outstanding as of December 31, 2023 as reported by the Issuer to the Reporting Person, (ii) 21,156,642 shares of Class A Common Stock issuable upon exchange of the Reporting Person’s directly and indirectly held vested LLC Units, and (iii) 124,493 shares of Class A Common Stock that are issuable to the Reporting Person upon vesting of restricted stock units and performance-based restricted stock units, within 60 days of December 31, 2023.</w:t>
      </w:r>
    </w:p>
    <w:p>
      <w:pPr>
        <w:spacing w:after="0" w:line="20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2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responses of the Reporting Person to Items 2(a) and 4 are incorporated herein by reference.</w:t>
      </w:r>
    </w:p>
    <w:p>
      <w:pPr>
        <w:spacing w:after="0" w:line="229" w:lineRule="exact"/>
        <w:rPr>
          <w:sz w:val="20"/>
          <w:szCs w:val="20"/>
          <w:color w:val="auto"/>
        </w:rPr>
      </w:pPr>
    </w:p>
    <w:p>
      <w:pPr>
        <w:ind w:left="880" w:right="640" w:hanging="1497"/>
        <w:spacing w:after="0" w:line="262" w:lineRule="auto"/>
        <w:tabs>
          <w:tab w:leader="none" w:pos="86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18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 w:name="page5"/>
    <w:bookmarkEnd w:id="4"/>
    <w:p>
      <w:pPr>
        <w:jc w:val="center"/>
        <w:ind w:right="-67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tabs>
          <w:tab w:leader="none" w:pos="6040" w:val="left"/>
        </w:tabs>
        <w:rPr>
          <w:sz w:val="20"/>
          <w:szCs w:val="20"/>
          <w:color w:val="auto"/>
        </w:rPr>
      </w:pPr>
      <w:r>
        <w:rPr>
          <w:rFonts w:ascii="Times New Roman" w:cs="Times New Roman" w:eastAsia="Times New Roman" w:hAnsi="Times New Roman"/>
          <w:sz w:val="22"/>
          <w:szCs w:val="22"/>
          <w:color w:val="auto"/>
        </w:rPr>
        <w:t>Date: February 13, 2024</w:t>
      </w:r>
      <w:r>
        <w:rPr>
          <w:sz w:val="20"/>
          <w:szCs w:val="20"/>
          <w:color w:val="auto"/>
        </w:rPr>
        <w:tab/>
      </w:r>
      <w:r>
        <w:rPr>
          <w:rFonts w:ascii="Times New Roman" w:cs="Times New Roman" w:eastAsia="Times New Roman" w:hAnsi="Times New Roman"/>
          <w:sz w:val="21"/>
          <w:szCs w:val="21"/>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19685</wp:posOffset>
            </wp:positionV>
            <wp:extent cx="3300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Jason Krantz</w:t>
      </w:r>
    </w:p>
    <w:p>
      <w:pPr>
        <w:spacing w:after="0" w:line="200" w:lineRule="exact"/>
        <w:rPr>
          <w:sz w:val="20"/>
          <w:szCs w:val="20"/>
          <w:color w:val="auto"/>
        </w:rPr>
      </w:pPr>
    </w:p>
    <w:p>
      <w:pPr>
        <w:spacing w:after="0" w:line="20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580"/>
      </w:cols>
      <w:pgMar w:left="320" w:top="140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4"/>
      <w:numFmt w:val="bullet"/>
      <w:start w:val="1"/>
    </w:lvl>
  </w:abstractNum>
  <w:abstractNum w:abstractNumId="7">
    <w:nsid w:val="5BD062C2"/>
    <w:multiLevelType w:val="hybridMultilevel"/>
    <w:lvl w:ilvl="0">
      <w:lvlJc w:val="left"/>
      <w:lvlText w:val="9"/>
      <w:numFmt w:val="bullet"/>
      <w:start w:val="1"/>
    </w:lvl>
  </w:abstractNum>
  <w:abstractNum w:abstractNumId="8">
    <w:nsid w:val="12200854"/>
    <w:multiLevelType w:val="hybridMultilevel"/>
    <w:lvl w:ilvl="0">
      <w:lvlJc w:val="left"/>
      <w:lvlText w:val="%1"/>
      <w:numFmt w:val="decimal"/>
      <w:start w:val="1"/>
    </w:lvl>
    <w:lvl w:ilvl="1">
      <w:lvlJc w:val="left"/>
      <w:lvlText w:val="%2"/>
      <w:numFmt w:val="decimal"/>
      <w:start w:val="10"/>
    </w:lvl>
  </w:abstractNum>
  <w:abstractNum w:abstractNumId="9">
    <w:nsid w:val="4DB127F8"/>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2024-02-13T15:18:05Z</dcterms:created>
  <dcterms:modified xsi:type="dcterms:W3CDTF">2024-02-13T15:18:05Z</dcterms:modified>
</cp:coreProperties>
</file>