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Krantz Jason Ronald</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02/16/2023</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5"/>
        <w:spacing w:after="0"/>
        <w:rPr>
          <w:sz w:val="20"/>
          <w:szCs w:val="20"/>
          <w:color w:val="auto"/>
        </w:rPr>
      </w:pPr>
      <w:r>
        <w:rPr>
          <w:rFonts w:ascii="Arial" w:cs="Arial" w:eastAsia="Arial" w:hAnsi="Arial"/>
          <w:sz w:val="17"/>
          <w:szCs w:val="17"/>
          <w:color w:val="0000FF"/>
        </w:rPr>
        <w:t>Executive Chairman</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02/16/2023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w w:val="93"/>
              </w:rPr>
              <w:t>294,781</w:t>
            </w:r>
            <w:r>
              <w:rPr>
                <w:rFonts w:ascii="Arial" w:cs="Arial" w:eastAsia="Arial" w:hAnsi="Arial"/>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424,700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450,000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each representing a contingent right to receive one share of the Issuer's Class A Common Stock, par value $0.001, including (i) 276,316 RSUs that vest over a four-year period, with 25% of the RSUs vesting on February 1, 2024, followed by quarterly vesting of 6.25% every three months thereafter over the subsequent three years, in each case subject to the Reporting Person's continued service with the Issuer through each such vesting date, and (ii) 18,465 RSUs that vest on February 16, 2024, subject to the Reporting Person's continued service with the Issuer through such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Amount beneficially owned in trust by DH Holdings (fka Jason R. Krantz 2009 Trust), of which the reporting person is the beneficiary.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02/21/2023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2023-02-21T18:33:54Z</dcterms:created>
  <dcterms:modified xsi:type="dcterms:W3CDTF">2023-02-21T18:33:54Z</dcterms:modified>
</cp:coreProperties>
</file>