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90"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20"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(Amendment No. 1)</w:t>
      </w:r>
    </w:p>
    <w:p>
      <w:pPr>
        <w:spacing w:after="0" w:line="200" w:lineRule="exact"/>
        <w:rPr>
          <w:sz w:val="24"/>
          <w:szCs w:val="24"/>
          <w:color w:val="auto"/>
        </w:rPr>
      </w:pPr>
    </w:p>
    <w:p>
      <w:pPr>
        <w:spacing w:after="0" w:line="205"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Definitive Healthcare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(Name of Issuer)</w:t>
      </w:r>
    </w:p>
    <w:p>
      <w:pPr>
        <w:spacing w:after="0" w:line="200" w:lineRule="exact"/>
        <w:rPr>
          <w:sz w:val="24"/>
          <w:szCs w:val="24"/>
          <w:color w:val="auto"/>
        </w:rPr>
      </w:pPr>
    </w:p>
    <w:p>
      <w:pPr>
        <w:spacing w:after="0" w:line="210"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Class A 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00" w:lineRule="exact"/>
        <w:rPr>
          <w:sz w:val="24"/>
          <w:szCs w:val="24"/>
          <w:color w:val="auto"/>
        </w:rPr>
      </w:pPr>
    </w:p>
    <w:p>
      <w:pPr>
        <w:spacing w:after="0" w:line="21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24477E103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(CUSIP Number)</w:t>
      </w:r>
    </w:p>
    <w:p>
      <w:pPr>
        <w:spacing w:after="0" w:line="200" w:lineRule="exact"/>
        <w:rPr>
          <w:sz w:val="24"/>
          <w:szCs w:val="24"/>
          <w:color w:val="auto"/>
        </w:rPr>
      </w:pPr>
    </w:p>
    <w:p>
      <w:pPr>
        <w:spacing w:after="0" w:line="21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1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16" w:lineRule="exact"/>
        <w:rPr>
          <w:sz w:val="24"/>
          <w:szCs w:val="24"/>
          <w:color w:val="auto"/>
        </w:rPr>
      </w:pPr>
    </w:p>
    <w:p>
      <w:pPr>
        <w:jc w:val="both"/>
        <w:ind w:left="1300" w:right="8240" w:firstLine="4"/>
        <w:spacing w:after="0" w:line="504" w:lineRule="auto"/>
        <w:tabs>
          <w:tab w:leader="none" w:pos="1624" w:val="left"/>
        </w:tabs>
        <w:numPr>
          <w:ilvl w:val="0"/>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Rule 13d-1(b) [_] Rule 13d-1(c)</w:t>
      </w:r>
    </w:p>
    <w:p>
      <w:pPr>
        <w:ind w:left="13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[_] Rule 13d-1(d)</w:t>
      </w:r>
    </w:p>
    <w:p>
      <w:pPr>
        <w:spacing w:after="0" w:line="213" w:lineRule="exact"/>
        <w:rPr>
          <w:sz w:val="24"/>
          <w:szCs w:val="24"/>
          <w:color w:val="auto"/>
        </w:rPr>
      </w:pPr>
    </w:p>
    <w:p>
      <w:pPr>
        <w:spacing w:after="0"/>
        <w:rPr>
          <w:sz w:val="20"/>
          <w:szCs w:val="20"/>
          <w:color w:val="auto"/>
        </w:rPr>
      </w:pPr>
      <w:r>
        <w:rPr>
          <w:rFonts w:ascii="Courier New" w:cs="Courier New" w:eastAsia="Courier New" w:hAnsi="Courier New"/>
          <w:sz w:val="20"/>
          <w:szCs w:val="20"/>
          <w:color w:val="auto"/>
        </w:rPr>
        <w:t>__________</w:t>
      </w:r>
    </w:p>
    <w:p>
      <w:pPr>
        <w:spacing w:after="0" w:line="221" w:lineRule="exact"/>
        <w:rPr>
          <w:sz w:val="24"/>
          <w:szCs w:val="24"/>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437" w:right="5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62"/>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CUSIP No</w:t>
            </w:r>
          </w:p>
        </w:tc>
        <w:tc>
          <w:tcPr>
            <w:tcW w:w="2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24477E103</w:t>
            </w:r>
          </w:p>
        </w:tc>
      </w:tr>
    </w:tbl>
    <w:p>
      <w:pPr>
        <w:spacing w:after="0" w:line="220" w:lineRule="exact"/>
        <w:rPr>
          <w:sz w:val="20"/>
          <w:szCs w:val="20"/>
          <w:color w:val="auto"/>
        </w:rPr>
      </w:pPr>
    </w:p>
    <w:p>
      <w:pPr>
        <w:ind w:left="900" w:hanging="895"/>
        <w:spacing w:after="0"/>
        <w:tabs>
          <w:tab w:leader="none" w:pos="9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REPORTING PERSONS</w:t>
      </w:r>
    </w:p>
    <w:p>
      <w:pPr>
        <w:spacing w:after="0" w:line="28" w:lineRule="exact"/>
        <w:rPr>
          <w:rFonts w:ascii="Times New Roman" w:cs="Times New Roman" w:eastAsia="Times New Roman" w:hAnsi="Times New Roman"/>
          <w:sz w:val="20"/>
          <w:szCs w:val="20"/>
          <w:color w:val="auto"/>
        </w:rPr>
      </w:pPr>
    </w:p>
    <w:p>
      <w:pPr>
        <w:ind w:left="900" w:right="3620"/>
        <w:spacing w:after="0" w:line="49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I.R.S. IDENTIFICATION NOS. OF ABOVE PERSONS (ENTITIES ONLY) Echo Street Capital Management LLC</w:t>
      </w:r>
    </w:p>
    <w:p>
      <w:pPr>
        <w:ind w:left="900" w:hanging="895"/>
        <w:spacing w:after="0"/>
        <w:tabs>
          <w:tab w:leader="none" w:pos="9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20"/>
          <w:szCs w:val="20"/>
          <w:color w:val="auto"/>
        </w:rPr>
        <w:t>(a) [_]</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(b) [_]</w:t>
      </w:r>
    </w:p>
    <w:p>
      <w:pPr>
        <w:spacing w:after="0" w:line="241" w:lineRule="exact"/>
        <w:rPr>
          <w:sz w:val="20"/>
          <w:szCs w:val="20"/>
          <w:color w:val="auto"/>
        </w:rPr>
      </w:pPr>
    </w:p>
    <w:p>
      <w:pPr>
        <w:ind w:left="900" w:hanging="895"/>
        <w:spacing w:after="0"/>
        <w:tabs>
          <w:tab w:leader="none" w:pos="9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42" w:lineRule="exact"/>
        <w:rPr>
          <w:rFonts w:ascii="Times New Roman" w:cs="Times New Roman" w:eastAsia="Times New Roman" w:hAnsi="Times New Roman"/>
          <w:sz w:val="20"/>
          <w:szCs w:val="20"/>
          <w:color w:val="auto"/>
        </w:rPr>
      </w:pPr>
    </w:p>
    <w:p>
      <w:pPr>
        <w:ind w:left="900" w:hanging="895"/>
        <w:spacing w:after="0"/>
        <w:tabs>
          <w:tab w:leader="none" w:pos="9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00" w:right="7720" w:hanging="895"/>
        <w:spacing w:after="0" w:line="507" w:lineRule="auto"/>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VOTING POWER 0</w:t>
      </w:r>
    </w:p>
    <w:p>
      <w:pPr>
        <w:ind w:left="900" w:right="7420" w:hanging="895"/>
        <w:spacing w:after="0" w:line="507" w:lineRule="auto"/>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VOTING POWER 0</w:t>
      </w:r>
    </w:p>
    <w:p>
      <w:pPr>
        <w:ind w:left="900" w:right="7280" w:hanging="895"/>
        <w:spacing w:after="0" w:line="507" w:lineRule="auto"/>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DISPOSITIVE POWER 0</w:t>
      </w:r>
    </w:p>
    <w:p>
      <w:pPr>
        <w:ind w:left="900" w:right="6980" w:hanging="895"/>
        <w:spacing w:after="0" w:line="507" w:lineRule="auto"/>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DISPOSITIVE POWER 0</w:t>
      </w:r>
    </w:p>
    <w:p>
      <w:pPr>
        <w:ind w:left="900" w:right="2560" w:hanging="895"/>
        <w:spacing w:after="0" w:line="500" w:lineRule="auto"/>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 0</w:t>
      </w:r>
    </w:p>
    <w:p>
      <w:pPr>
        <w:ind w:left="900" w:right="1540" w:hanging="895"/>
        <w:spacing w:after="0" w:line="250" w:lineRule="auto"/>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BOX IF THE AGGREGATE AMOUNT IN ROW (9) EXCLUDES CERTAIN SHARES (SEE INSTRUCTIONS)</w:t>
      </w:r>
    </w:p>
    <w:p>
      <w:pPr>
        <w:spacing w:after="0" w:line="2"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20"/>
          <w:szCs w:val="20"/>
          <w:color w:val="auto"/>
        </w:rPr>
        <w:t>[_]</w:t>
      </w:r>
    </w:p>
    <w:p>
      <w:pPr>
        <w:spacing w:after="0" w:line="200" w:lineRule="exact"/>
        <w:rPr>
          <w:sz w:val="20"/>
          <w:szCs w:val="20"/>
          <w:color w:val="auto"/>
        </w:rPr>
      </w:pPr>
    </w:p>
    <w:p>
      <w:pPr>
        <w:spacing w:after="0" w:line="277" w:lineRule="exact"/>
        <w:rPr>
          <w:sz w:val="20"/>
          <w:szCs w:val="20"/>
          <w:color w:val="auto"/>
        </w:rPr>
      </w:pPr>
    </w:p>
    <w:p>
      <w:pPr>
        <w:ind w:left="900" w:right="4200" w:hanging="895"/>
        <w:spacing w:after="0" w:line="507" w:lineRule="auto"/>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(9) 0%</w:t>
      </w:r>
    </w:p>
    <w:p>
      <w:pPr>
        <w:ind w:left="900" w:right="5000" w:hanging="895"/>
        <w:spacing w:after="0" w:line="536" w:lineRule="auto"/>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(SEE INSTRUCTIONS)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133985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80"/>
          </w:cols>
          <w:pgMar w:left="420" w:top="711" w:right="7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62"/>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CUSIP No</w:t>
            </w:r>
          </w:p>
        </w:tc>
        <w:tc>
          <w:tcPr>
            <w:tcW w:w="2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24477E103</w:t>
            </w:r>
          </w:p>
        </w:tc>
      </w:tr>
    </w:tbl>
    <w:p>
      <w:pPr>
        <w:spacing w:after="0" w:line="220" w:lineRule="exact"/>
        <w:rPr>
          <w:sz w:val="20"/>
          <w:szCs w:val="20"/>
          <w:color w:val="auto"/>
        </w:rPr>
      </w:pPr>
    </w:p>
    <w:p>
      <w:pPr>
        <w:ind w:left="900" w:hanging="895"/>
        <w:spacing w:after="0"/>
        <w:tabs>
          <w:tab w:leader="none" w:pos="9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REPORTING PERSONS</w:t>
      </w:r>
    </w:p>
    <w:p>
      <w:pPr>
        <w:spacing w:after="0" w:line="28" w:lineRule="exact"/>
        <w:rPr>
          <w:rFonts w:ascii="Times New Roman" w:cs="Times New Roman" w:eastAsia="Times New Roman" w:hAnsi="Times New Roman"/>
          <w:sz w:val="20"/>
          <w:szCs w:val="20"/>
          <w:color w:val="auto"/>
        </w:rPr>
      </w:pPr>
    </w:p>
    <w:p>
      <w:pPr>
        <w:ind w:left="900" w:right="3620"/>
        <w:spacing w:after="0" w:line="49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I.R.S. IDENTIFICATION NOS. OF ABOVE PERSONS (ENTITIES ONLY) Greg Poole</w:t>
      </w:r>
    </w:p>
    <w:p>
      <w:pPr>
        <w:ind w:left="900" w:hanging="895"/>
        <w:spacing w:after="0"/>
        <w:tabs>
          <w:tab w:leader="none" w:pos="9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20"/>
          <w:szCs w:val="20"/>
          <w:color w:val="auto"/>
        </w:rPr>
        <w:t>(a) [_]</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(b) [_]</w:t>
      </w:r>
    </w:p>
    <w:p>
      <w:pPr>
        <w:spacing w:after="0" w:line="241" w:lineRule="exact"/>
        <w:rPr>
          <w:sz w:val="20"/>
          <w:szCs w:val="20"/>
          <w:color w:val="auto"/>
        </w:rPr>
      </w:pPr>
    </w:p>
    <w:p>
      <w:pPr>
        <w:ind w:left="900" w:hanging="895"/>
        <w:spacing w:after="0"/>
        <w:tabs>
          <w:tab w:leader="none" w:pos="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42" w:lineRule="exact"/>
        <w:rPr>
          <w:rFonts w:ascii="Times New Roman" w:cs="Times New Roman" w:eastAsia="Times New Roman" w:hAnsi="Times New Roman"/>
          <w:sz w:val="20"/>
          <w:szCs w:val="20"/>
          <w:color w:val="auto"/>
        </w:rPr>
      </w:pPr>
    </w:p>
    <w:p>
      <w:pPr>
        <w:ind w:left="900" w:hanging="895"/>
        <w:spacing w:after="0"/>
        <w:tabs>
          <w:tab w:leader="none" w:pos="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00" w:right="7720" w:hanging="895"/>
        <w:spacing w:after="0" w:line="507" w:lineRule="auto"/>
        <w:tabs>
          <w:tab w:leader="none" w:pos="9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VOTING POWER 0</w:t>
      </w:r>
    </w:p>
    <w:p>
      <w:pPr>
        <w:ind w:left="900" w:right="7420" w:hanging="895"/>
        <w:spacing w:after="0" w:line="507" w:lineRule="auto"/>
        <w:tabs>
          <w:tab w:leader="none" w:pos="9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VOTING POWER 0</w:t>
      </w:r>
    </w:p>
    <w:p>
      <w:pPr>
        <w:ind w:left="900" w:right="7280" w:hanging="895"/>
        <w:spacing w:after="0" w:line="507" w:lineRule="auto"/>
        <w:tabs>
          <w:tab w:leader="none" w:pos="9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DISPOSITIVE POWER 0</w:t>
      </w:r>
    </w:p>
    <w:p>
      <w:pPr>
        <w:ind w:left="900" w:right="6980" w:hanging="895"/>
        <w:spacing w:after="0" w:line="507" w:lineRule="auto"/>
        <w:tabs>
          <w:tab w:leader="none" w:pos="9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DISPOSITIVE POWER 0</w:t>
      </w:r>
    </w:p>
    <w:p>
      <w:pPr>
        <w:ind w:left="900" w:right="2560" w:hanging="895"/>
        <w:spacing w:after="0" w:line="500" w:lineRule="auto"/>
        <w:tabs>
          <w:tab w:leader="none" w:pos="9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 0</w:t>
      </w:r>
    </w:p>
    <w:p>
      <w:pPr>
        <w:ind w:left="900" w:right="1540" w:hanging="895"/>
        <w:spacing w:after="0" w:line="250" w:lineRule="auto"/>
        <w:tabs>
          <w:tab w:leader="none" w:pos="9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BOX IF THE AGGREGATE AMOUNT IN ROW (9) EXCLUDES CERTAIN SHARES (SEE INSTRUCTIONS)</w:t>
      </w:r>
    </w:p>
    <w:p>
      <w:pPr>
        <w:spacing w:after="0" w:line="2"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20"/>
          <w:szCs w:val="20"/>
          <w:color w:val="auto"/>
        </w:rPr>
        <w:t>[_]</w:t>
      </w:r>
    </w:p>
    <w:p>
      <w:pPr>
        <w:spacing w:after="0" w:line="200" w:lineRule="exact"/>
        <w:rPr>
          <w:sz w:val="20"/>
          <w:szCs w:val="20"/>
          <w:color w:val="auto"/>
        </w:rPr>
      </w:pPr>
    </w:p>
    <w:p>
      <w:pPr>
        <w:spacing w:after="0" w:line="277" w:lineRule="exact"/>
        <w:rPr>
          <w:sz w:val="20"/>
          <w:szCs w:val="20"/>
          <w:color w:val="auto"/>
        </w:rPr>
      </w:pPr>
    </w:p>
    <w:p>
      <w:pPr>
        <w:ind w:left="900" w:right="4200" w:hanging="895"/>
        <w:spacing w:after="0" w:line="507" w:lineRule="auto"/>
        <w:tabs>
          <w:tab w:leader="none" w:pos="9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(9) 0%</w:t>
      </w:r>
    </w:p>
    <w:p>
      <w:pPr>
        <w:ind w:left="900" w:right="5000" w:hanging="895"/>
        <w:spacing w:after="0" w:line="536" w:lineRule="auto"/>
        <w:tabs>
          <w:tab w:leader="none" w:pos="9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133985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80"/>
          </w:cols>
          <w:pgMar w:left="420" w:top="711" w:right="799" w:bottom="1440" w:gutter="0" w:footer="0" w:header="0"/>
        </w:sectPr>
      </w:pPr>
    </w:p>
    <w:bookmarkStart w:id="3" w:name="page4"/>
    <w:bookmarkEnd w:id="3"/>
    <w:p>
      <w:pPr>
        <w:spacing w:after="0"/>
        <w:tabs>
          <w:tab w:leader="none" w:pos="1100" w:val="left"/>
          <w:tab w:leader="none" w:pos="156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Name of Issuer:</w:t>
      </w:r>
    </w:p>
    <w:p>
      <w:pPr>
        <w:spacing w:after="0" w:line="25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Definitive Healthcare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22860</wp:posOffset>
            </wp:positionV>
            <wp:extent cx="54178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250" w:lineRule="exact"/>
        <w:rPr>
          <w:sz w:val="20"/>
          <w:szCs w:val="20"/>
          <w:color w:val="auto"/>
        </w:rPr>
      </w:pPr>
    </w:p>
    <w:p>
      <w:pPr>
        <w:ind w:left="1120"/>
        <w:spacing w:after="0"/>
        <w:tabs>
          <w:tab w:leader="none" w:pos="158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19"/>
          <w:szCs w:val="19"/>
          <w:color w:val="auto"/>
        </w:rPr>
        <w:t>Address of issuer's principal executive offices:</w:t>
      </w:r>
    </w:p>
    <w:p>
      <w:pPr>
        <w:spacing w:after="0" w:line="25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color w:val="auto"/>
        </w:rPr>
        <w:t>492 Old Connecticut Path, Suite 401</w:t>
      </w:r>
    </w:p>
    <w:p>
      <w:pPr>
        <w:spacing w:after="0" w:line="2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color w:val="auto"/>
        </w:rPr>
        <w:t>Framingham, Massachussetts 01701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953135</wp:posOffset>
            </wp:positionH>
            <wp:positionV relativeFrom="paragraph">
              <wp:posOffset>0</wp:posOffset>
            </wp:positionV>
            <wp:extent cx="54089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08930" cy="8255"/>
                    </a:xfrm>
                    <a:prstGeom prst="rect">
                      <a:avLst/>
                    </a:prstGeom>
                    <a:noFill/>
                  </pic:spPr>
                </pic:pic>
              </a:graphicData>
            </a:graphic>
          </wp:anchor>
        </w:drawing>
      </w:r>
    </w:p>
    <w:p>
      <w:pPr>
        <w:spacing w:after="0" w:line="214" w:lineRule="exact"/>
        <w:rPr>
          <w:sz w:val="20"/>
          <w:szCs w:val="20"/>
          <w:color w:val="auto"/>
        </w:rPr>
      </w:pPr>
    </w:p>
    <w:p>
      <w:pPr>
        <w:spacing w:after="0"/>
        <w:tabs>
          <w:tab w:leader="none" w:pos="1100" w:val="left"/>
          <w:tab w:leader="none" w:pos="156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Name of persons filing:</w:t>
      </w:r>
    </w:p>
    <w:p>
      <w:pPr>
        <w:spacing w:after="0" w:line="25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Echo Street Capital Management LLC</w:t>
      </w:r>
    </w:p>
    <w:p>
      <w:pPr>
        <w:spacing w:after="0" w:line="2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Greg Poole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0</wp:posOffset>
            </wp:positionV>
            <wp:extent cx="54178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214" w:lineRule="exact"/>
        <w:rPr>
          <w:sz w:val="20"/>
          <w:szCs w:val="20"/>
          <w:color w:val="auto"/>
        </w:rPr>
      </w:pPr>
    </w:p>
    <w:p>
      <w:pPr>
        <w:ind w:left="1120"/>
        <w:spacing w:after="0"/>
        <w:tabs>
          <w:tab w:leader="none" w:pos="158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19"/>
          <w:szCs w:val="19"/>
          <w:color w:val="auto"/>
        </w:rPr>
        <w:t>Address or principal business office or, if none, residence:</w:t>
      </w:r>
    </w:p>
    <w:p>
      <w:pPr>
        <w:spacing w:after="0" w:line="25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color w:val="auto"/>
        </w:rPr>
        <w:t>12 E. 49th Street, 44th Floor</w:t>
      </w:r>
    </w:p>
    <w:p>
      <w:pPr>
        <w:spacing w:after="0" w:line="2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color w:val="auto"/>
        </w:rPr>
        <w:t>New York, NY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953135</wp:posOffset>
            </wp:positionH>
            <wp:positionV relativeFrom="paragraph">
              <wp:posOffset>0</wp:posOffset>
            </wp:positionV>
            <wp:extent cx="54089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08930" cy="8255"/>
                    </a:xfrm>
                    <a:prstGeom prst="rect">
                      <a:avLst/>
                    </a:prstGeom>
                    <a:noFill/>
                  </pic:spPr>
                </pic:pic>
              </a:graphicData>
            </a:graphic>
          </wp:anchor>
        </w:drawing>
      </w:r>
    </w:p>
    <w:p>
      <w:pPr>
        <w:spacing w:after="0" w:line="214" w:lineRule="exact"/>
        <w:rPr>
          <w:sz w:val="20"/>
          <w:szCs w:val="20"/>
          <w:color w:val="auto"/>
        </w:rPr>
      </w:pPr>
    </w:p>
    <w:p>
      <w:pPr>
        <w:ind w:left="1120"/>
        <w:spacing w:after="0"/>
        <w:tabs>
          <w:tab w:leader="none" w:pos="1560" w:val="left"/>
        </w:tabs>
        <w:rPr>
          <w:sz w:val="20"/>
          <w:szCs w:val="20"/>
          <w:color w:val="auto"/>
        </w:rPr>
      </w:pPr>
      <w:r>
        <w:rPr>
          <w:rFonts w:ascii="Times New Roman" w:cs="Times New Roman" w:eastAsia="Times New Roman" w:hAnsi="Times New Roman"/>
          <w:sz w:val="20"/>
          <w:szCs w:val="20"/>
          <w:color w:val="auto"/>
        </w:rPr>
        <w:t>(c).</w:t>
      </w:r>
      <w:r>
        <w:rPr>
          <w:sz w:val="20"/>
          <w:szCs w:val="20"/>
          <w:color w:val="auto"/>
        </w:rPr>
        <w:tab/>
      </w:r>
      <w:r>
        <w:rPr>
          <w:rFonts w:ascii="Times New Roman" w:cs="Times New Roman" w:eastAsia="Times New Roman" w:hAnsi="Times New Roman"/>
          <w:sz w:val="19"/>
          <w:szCs w:val="19"/>
          <w:color w:val="auto"/>
        </w:rPr>
        <w:t>Citizenship:</w:t>
      </w:r>
    </w:p>
    <w:p>
      <w:pPr>
        <w:spacing w:after="0" w:line="25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Echo Street Capital Management LLC – Delaware</w:t>
      </w:r>
    </w:p>
    <w:p>
      <w:pPr>
        <w:spacing w:after="0" w:line="2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Greg Poole –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0</wp:posOffset>
            </wp:positionV>
            <wp:extent cx="54178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214" w:lineRule="exact"/>
        <w:rPr>
          <w:sz w:val="20"/>
          <w:szCs w:val="20"/>
          <w:color w:val="auto"/>
        </w:rPr>
      </w:pPr>
    </w:p>
    <w:p>
      <w:pPr>
        <w:ind w:left="1120"/>
        <w:spacing w:after="0"/>
        <w:tabs>
          <w:tab w:leader="none" w:pos="168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Title of class of securities:</w:t>
      </w:r>
    </w:p>
    <w:p>
      <w:pPr>
        <w:spacing w:after="0" w:line="25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Class A Common Stock, $0.001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22860</wp:posOffset>
            </wp:positionV>
            <wp:extent cx="53492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50" w:lineRule="exact"/>
        <w:rPr>
          <w:sz w:val="20"/>
          <w:szCs w:val="20"/>
          <w:color w:val="auto"/>
        </w:rPr>
      </w:pPr>
    </w:p>
    <w:p>
      <w:pPr>
        <w:jc w:val="right"/>
        <w:ind w:right="8120"/>
        <w:spacing w:after="0"/>
        <w:tabs>
          <w:tab w:leader="none" w:pos="9060" w:val="left"/>
        </w:tabs>
        <w:rPr>
          <w:sz w:val="20"/>
          <w:szCs w:val="20"/>
          <w:color w:val="auto"/>
        </w:rPr>
      </w:pPr>
      <w:r>
        <w:rPr>
          <w:rFonts w:ascii="Times New Roman" w:cs="Times New Roman" w:eastAsia="Times New Roman" w:hAnsi="Times New Roman"/>
          <w:sz w:val="20"/>
          <w:szCs w:val="20"/>
          <w:color w:val="auto"/>
        </w:rPr>
        <w:t>(e).</w:t>
      </w:r>
      <w:r>
        <w:rPr>
          <w:sz w:val="20"/>
          <w:szCs w:val="20"/>
          <w:color w:val="auto"/>
        </w:rPr>
        <w:tab/>
      </w:r>
      <w:r>
        <w:rPr>
          <w:rFonts w:ascii="Times New Roman" w:cs="Times New Roman" w:eastAsia="Times New Roman" w:hAnsi="Times New Roman"/>
          <w:sz w:val="19"/>
          <w:szCs w:val="19"/>
          <w:color w:val="auto"/>
        </w:rPr>
        <w:t>CUSIP No.:</w:t>
      </w:r>
    </w:p>
    <w:p>
      <w:pPr>
        <w:spacing w:after="0" w:line="256" w:lineRule="exact"/>
        <w:rPr>
          <w:sz w:val="20"/>
          <w:szCs w:val="20"/>
          <w:color w:val="auto"/>
        </w:rPr>
      </w:pPr>
    </w:p>
    <w:p>
      <w:pPr>
        <w:jc w:val="right"/>
        <w:ind w:right="8160"/>
        <w:spacing w:after="0"/>
        <w:rPr>
          <w:sz w:val="20"/>
          <w:szCs w:val="20"/>
          <w:color w:val="auto"/>
        </w:rPr>
      </w:pPr>
      <w:r>
        <w:rPr>
          <w:rFonts w:ascii="Times New Roman" w:cs="Times New Roman" w:eastAsia="Times New Roman" w:hAnsi="Times New Roman"/>
          <w:sz w:val="20"/>
          <w:szCs w:val="20"/>
          <w:color w:val="auto"/>
        </w:rPr>
        <w:t>24477E103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22860</wp:posOffset>
            </wp:positionV>
            <wp:extent cx="5417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17820" cy="8890"/>
                    </a:xfrm>
                    <a:prstGeom prst="rect">
                      <a:avLst/>
                    </a:prstGeom>
                    <a:noFill/>
                  </pic:spPr>
                </pic:pic>
              </a:graphicData>
            </a:graphic>
          </wp:anchor>
        </w:drawing>
      </w:r>
    </w:p>
    <w:p>
      <w:pPr>
        <w:spacing w:after="0" w:line="250"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19"/>
          <w:szCs w:val="19"/>
          <w:color w:val="auto"/>
        </w:rPr>
        <w:t>If This Statement is filed pursuant to §§.240.13d-1(b) or 240.13d-2(b), or (c), check whether the person filing is a</w:t>
      </w:r>
    </w:p>
    <w:p>
      <w:pPr>
        <w:spacing w:after="0" w:line="256" w:lineRule="exact"/>
        <w:rPr>
          <w:sz w:val="20"/>
          <w:szCs w:val="20"/>
          <w:color w:val="auto"/>
        </w:rPr>
      </w:pPr>
    </w:p>
    <w:p>
      <w:pPr>
        <w:ind w:left="1580" w:hanging="670"/>
        <w:spacing w:after="0"/>
        <w:tabs>
          <w:tab w:leader="none" w:pos="15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Broker or dealer registered under section 15 of the Act (15 U.S.C. 78o).</w:t>
      </w:r>
    </w:p>
    <w:p>
      <w:pPr>
        <w:spacing w:after="0" w:line="256" w:lineRule="exact"/>
        <w:rPr>
          <w:rFonts w:ascii="Times New Roman" w:cs="Times New Roman" w:eastAsia="Times New Roman" w:hAnsi="Times New Roman"/>
          <w:sz w:val="20"/>
          <w:szCs w:val="20"/>
          <w:color w:val="auto"/>
        </w:rPr>
      </w:pPr>
    </w:p>
    <w:p>
      <w:pPr>
        <w:ind w:left="1580" w:hanging="670"/>
        <w:spacing w:after="0"/>
        <w:tabs>
          <w:tab w:leader="none" w:pos="15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Bank as defined in section 3(a)(6) of the Act (15 U.S.C. 78c).</w:t>
      </w:r>
    </w:p>
    <w:p>
      <w:pPr>
        <w:spacing w:after="0" w:line="256" w:lineRule="exact"/>
        <w:rPr>
          <w:rFonts w:ascii="Times New Roman" w:cs="Times New Roman" w:eastAsia="Times New Roman" w:hAnsi="Times New Roman"/>
          <w:sz w:val="20"/>
          <w:szCs w:val="20"/>
          <w:color w:val="auto"/>
        </w:rPr>
      </w:pPr>
    </w:p>
    <w:p>
      <w:pPr>
        <w:ind w:left="1580" w:hanging="670"/>
        <w:spacing w:after="0"/>
        <w:tabs>
          <w:tab w:leader="none" w:pos="15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Insurance company as defined in section 3(a)(19) of the Act (15 U.S.C. 78c).</w:t>
      </w:r>
    </w:p>
    <w:p>
      <w:pPr>
        <w:spacing w:after="0" w:line="256" w:lineRule="exact"/>
        <w:rPr>
          <w:rFonts w:ascii="Times New Roman" w:cs="Times New Roman" w:eastAsia="Times New Roman" w:hAnsi="Times New Roman"/>
          <w:sz w:val="20"/>
          <w:szCs w:val="20"/>
          <w:color w:val="auto"/>
        </w:rPr>
      </w:pPr>
    </w:p>
    <w:p>
      <w:pPr>
        <w:ind w:left="1580" w:hanging="670"/>
        <w:spacing w:after="0"/>
        <w:tabs>
          <w:tab w:leader="none" w:pos="15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Investment company registered under section 8 of the Investment Company Act of 1940 (15 U.S.C. 80a-8).</w:t>
      </w:r>
    </w:p>
    <w:p>
      <w:pPr>
        <w:spacing w:after="0" w:line="256" w:lineRule="exact"/>
        <w:rPr>
          <w:rFonts w:ascii="Times New Roman" w:cs="Times New Roman" w:eastAsia="Times New Roman" w:hAnsi="Times New Roman"/>
          <w:sz w:val="20"/>
          <w:szCs w:val="20"/>
          <w:color w:val="auto"/>
        </w:rPr>
      </w:pPr>
    </w:p>
    <w:p>
      <w:pPr>
        <w:ind w:left="1580" w:hanging="670"/>
        <w:spacing w:after="0"/>
        <w:tabs>
          <w:tab w:leader="none" w:pos="15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An investment adviser in accordance with § 240.13d-1(b)(1)(ii)(E);</w:t>
      </w:r>
    </w:p>
    <w:p>
      <w:pPr>
        <w:spacing w:after="0" w:line="256" w:lineRule="exact"/>
        <w:rPr>
          <w:rFonts w:ascii="Times New Roman" w:cs="Times New Roman" w:eastAsia="Times New Roman" w:hAnsi="Times New Roman"/>
          <w:sz w:val="20"/>
          <w:szCs w:val="20"/>
          <w:color w:val="auto"/>
        </w:rPr>
      </w:pPr>
    </w:p>
    <w:p>
      <w:pPr>
        <w:ind w:left="1580" w:hanging="670"/>
        <w:spacing w:after="0"/>
        <w:tabs>
          <w:tab w:leader="none" w:pos="15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An employee benefit plan or endowment fund in accordance with § 240.13d-1(b)(1)(ii)(F);</w:t>
      </w:r>
    </w:p>
    <w:p>
      <w:pPr>
        <w:spacing w:after="0" w:line="256" w:lineRule="exact"/>
        <w:rPr>
          <w:rFonts w:ascii="Times New Roman" w:cs="Times New Roman" w:eastAsia="Times New Roman" w:hAnsi="Times New Roman"/>
          <w:sz w:val="20"/>
          <w:szCs w:val="20"/>
          <w:color w:val="auto"/>
        </w:rPr>
      </w:pPr>
    </w:p>
    <w:p>
      <w:pPr>
        <w:ind w:left="1580" w:hanging="670"/>
        <w:spacing w:after="0"/>
        <w:tabs>
          <w:tab w:leader="none" w:pos="15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A parent holding company or control person in accordance with §240.13d-1(b)(1)(ii)(G);</w:t>
      </w:r>
    </w:p>
    <w:p>
      <w:pPr>
        <w:spacing w:after="0" w:line="256" w:lineRule="exact"/>
        <w:rPr>
          <w:rFonts w:ascii="Times New Roman" w:cs="Times New Roman" w:eastAsia="Times New Roman" w:hAnsi="Times New Roman"/>
          <w:sz w:val="20"/>
          <w:szCs w:val="20"/>
          <w:color w:val="auto"/>
        </w:rPr>
      </w:pPr>
    </w:p>
    <w:p>
      <w:pPr>
        <w:ind w:left="1580" w:hanging="670"/>
        <w:spacing w:after="0"/>
        <w:tabs>
          <w:tab w:leader="none" w:pos="15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A savings association as defined in Section 3(b) of the Federal Deposit Insurance Act (12 U.S.C.1813);</w:t>
      </w:r>
    </w:p>
    <w:p>
      <w:pPr>
        <w:spacing w:after="0" w:line="256" w:lineRule="exact"/>
        <w:rPr>
          <w:rFonts w:ascii="Times New Roman" w:cs="Times New Roman" w:eastAsia="Times New Roman" w:hAnsi="Times New Roman"/>
          <w:sz w:val="20"/>
          <w:szCs w:val="20"/>
          <w:color w:val="auto"/>
        </w:rPr>
      </w:pPr>
    </w:p>
    <w:p>
      <w:pPr>
        <w:ind w:left="2160" w:right="100" w:hanging="1250"/>
        <w:spacing w:after="0" w:line="269" w:lineRule="auto"/>
        <w:tabs>
          <w:tab w:leader="none" w:pos="1593"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A church plan that is excluded from the definition of an investment company under section 3(c)(14) of the Investment Company Act of 1940 (15 U.S.C. 80a-3);</w:t>
      </w:r>
    </w:p>
    <w:p>
      <w:pPr>
        <w:spacing w:after="0" w:line="186" w:lineRule="exact"/>
        <w:rPr>
          <w:rFonts w:ascii="Times New Roman" w:cs="Times New Roman" w:eastAsia="Times New Roman" w:hAnsi="Times New Roman"/>
          <w:sz w:val="20"/>
          <w:szCs w:val="20"/>
          <w:color w:val="auto"/>
        </w:rPr>
      </w:pPr>
    </w:p>
    <w:p>
      <w:pPr>
        <w:ind w:left="1580" w:hanging="670"/>
        <w:spacing w:after="0"/>
        <w:tabs>
          <w:tab w:leader="none" w:pos="15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A non-U.S. institution in accordance with §240.13d-1(b)(1)(ii)(J);</w:t>
      </w:r>
    </w:p>
    <w:p>
      <w:pPr>
        <w:spacing w:after="0" w:line="256" w:lineRule="exact"/>
        <w:rPr>
          <w:rFonts w:ascii="Times New Roman" w:cs="Times New Roman" w:eastAsia="Times New Roman" w:hAnsi="Times New Roman"/>
          <w:sz w:val="20"/>
          <w:szCs w:val="20"/>
          <w:color w:val="auto"/>
        </w:rPr>
      </w:pPr>
    </w:p>
    <w:p>
      <w:pPr>
        <w:ind w:left="2160" w:right="200" w:hanging="1250"/>
        <w:spacing w:after="0" w:line="269" w:lineRule="auto"/>
        <w:tabs>
          <w:tab w:leader="none" w:pos="1593"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578485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60"/>
          </w:cols>
          <w:pgMar w:left="420" w:top="711" w:right="819" w:bottom="1440" w:gutter="0" w:footer="0" w:header="0"/>
        </w:sectPr>
      </w:pPr>
    </w:p>
    <w:bookmarkStart w:id="4" w:name="page5"/>
    <w:bookmarkEnd w:id="4"/>
    <w:p>
      <w:pPr>
        <w:spacing w:after="0"/>
        <w:tabs>
          <w:tab w:leader="none" w:pos="100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19"/>
          <w:szCs w:val="19"/>
          <w:color w:val="auto"/>
        </w:rPr>
        <w:t>Ownership.</w:t>
      </w:r>
    </w:p>
    <w:p>
      <w:pPr>
        <w:spacing w:after="0" w:line="243" w:lineRule="exact"/>
        <w:rPr>
          <w:sz w:val="20"/>
          <w:szCs w:val="20"/>
          <w:color w:val="auto"/>
        </w:rPr>
      </w:pPr>
    </w:p>
    <w:p>
      <w:pPr>
        <w:ind w:left="1020" w:right="640"/>
        <w:spacing w:after="0" w:line="269" w:lineRule="auto"/>
        <w:rPr>
          <w:sz w:val="20"/>
          <w:szCs w:val="20"/>
          <w:color w:val="auto"/>
        </w:rPr>
      </w:pPr>
      <w:r>
        <w:rPr>
          <w:rFonts w:ascii="Times New Roman" w:cs="Times New Roman" w:eastAsia="Times New Roman" w:hAnsi="Times New Roman"/>
          <w:sz w:val="20"/>
          <w:szCs w:val="20"/>
          <w:color w:val="auto"/>
        </w:rPr>
        <w:t>Provide the following information regarding the aggregate number and percentage of the class of securities of the issuer identified in Item 1.</w:t>
      </w:r>
    </w:p>
    <w:p>
      <w:pPr>
        <w:spacing w:after="0" w:line="186" w:lineRule="exact"/>
        <w:rPr>
          <w:sz w:val="20"/>
          <w:szCs w:val="20"/>
          <w:color w:val="auto"/>
        </w:rPr>
      </w:pPr>
    </w:p>
    <w:p>
      <w:pPr>
        <w:ind w:left="1580" w:hanging="562"/>
        <w:spacing w:after="0"/>
        <w:tabs>
          <w:tab w:leader="none" w:pos="15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beneficially owned:</w:t>
      </w:r>
    </w:p>
    <w:p>
      <w:pPr>
        <w:spacing w:after="0" w:line="256" w:lineRule="exact"/>
        <w:rPr>
          <w:rFonts w:ascii="Times New Roman" w:cs="Times New Roman" w:eastAsia="Times New Roman" w:hAnsi="Times New Roman"/>
          <w:sz w:val="20"/>
          <w:szCs w:val="20"/>
          <w:color w:val="auto"/>
        </w:rPr>
      </w:pPr>
    </w:p>
    <w:p>
      <w:pPr>
        <w:ind w:left="1580" w:right="568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Echo Street Capital Management LLC – 0 shares Greg Poole – 0 shares</w:t>
      </w:r>
    </w:p>
    <w:p>
      <w:pPr>
        <w:spacing w:after="0" w:line="186" w:lineRule="exact"/>
        <w:rPr>
          <w:rFonts w:ascii="Times New Roman" w:cs="Times New Roman" w:eastAsia="Times New Roman" w:hAnsi="Times New Roman"/>
          <w:sz w:val="20"/>
          <w:szCs w:val="20"/>
          <w:color w:val="auto"/>
        </w:rPr>
      </w:pPr>
    </w:p>
    <w:p>
      <w:pPr>
        <w:ind w:left="1580" w:hanging="562"/>
        <w:spacing w:after="0"/>
        <w:tabs>
          <w:tab w:leader="none" w:pos="15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w:t>
      </w:r>
    </w:p>
    <w:p>
      <w:pPr>
        <w:spacing w:after="0" w:line="256" w:lineRule="exact"/>
        <w:rPr>
          <w:rFonts w:ascii="Times New Roman" w:cs="Times New Roman" w:eastAsia="Times New Roman" w:hAnsi="Times New Roman"/>
          <w:sz w:val="20"/>
          <w:szCs w:val="20"/>
          <w:color w:val="auto"/>
        </w:rPr>
      </w:pPr>
    </w:p>
    <w:p>
      <w:pPr>
        <w:ind w:left="1580" w:right="604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Echo Street Capital Management LLC – 0% Greg Poole – 0%</w:t>
      </w:r>
    </w:p>
    <w:p>
      <w:pPr>
        <w:spacing w:after="0" w:line="199" w:lineRule="exact"/>
        <w:rPr>
          <w:rFonts w:ascii="Times New Roman" w:cs="Times New Roman" w:eastAsia="Times New Roman" w:hAnsi="Times New Roman"/>
          <w:sz w:val="20"/>
          <w:szCs w:val="20"/>
          <w:color w:val="auto"/>
        </w:rPr>
      </w:pPr>
    </w:p>
    <w:p>
      <w:pPr>
        <w:ind w:left="1580" w:hanging="562"/>
        <w:spacing w:after="0"/>
        <w:tabs>
          <w:tab w:leader="none" w:pos="15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shares as to which Echo Street Capital Management LLC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-1048385</wp:posOffset>
            </wp:positionV>
            <wp:extent cx="61290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-294005</wp:posOffset>
            </wp:positionV>
            <wp:extent cx="61290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2902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1580" w:type="dxa"/>
        <w:tblCellMar>
          <w:top w:w="0" w:type="dxa"/>
          <w:left w:w="0" w:type="dxa"/>
          <w:bottom w:w="0" w:type="dxa"/>
          <w:right w:w="0" w:type="dxa"/>
        </w:tblCellMar>
      </w:tblPr>
      <w:tr>
        <w:trPr>
          <w:trHeight w:val="262"/>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(i)</w:t>
            </w:r>
          </w:p>
        </w:tc>
        <w:tc>
          <w:tcPr>
            <w:tcW w:w="66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Sole power to vote or to direct the vote</w:t>
            </w:r>
          </w:p>
        </w:tc>
        <w:tc>
          <w:tcPr>
            <w:tcW w:w="2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0</w:t>
            </w:r>
          </w:p>
        </w:tc>
        <w:tc>
          <w:tcPr>
            <w:tcW w:w="3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r>
      <w:tr>
        <w:trPr>
          <w:trHeight w:val="480"/>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(ii)</w:t>
            </w:r>
          </w:p>
        </w:tc>
        <w:tc>
          <w:tcPr>
            <w:tcW w:w="66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Shared power to vote or to direct the vote</w:t>
            </w:r>
          </w:p>
        </w:tc>
        <w:tc>
          <w:tcPr>
            <w:tcW w:w="2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0</w:t>
            </w:r>
          </w:p>
        </w:tc>
        <w:tc>
          <w:tcPr>
            <w:tcW w:w="3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r>
      <w:tr>
        <w:trPr>
          <w:trHeight w:val="479"/>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(iii)</w:t>
            </w:r>
          </w:p>
        </w:tc>
        <w:tc>
          <w:tcPr>
            <w:tcW w:w="66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Sole power to dispose or to direct the disposition of</w:t>
            </w:r>
          </w:p>
        </w:tc>
        <w:tc>
          <w:tcPr>
            <w:tcW w:w="2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0</w:t>
            </w:r>
          </w:p>
        </w:tc>
        <w:tc>
          <w:tcPr>
            <w:tcW w:w="3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r>
      <w:tr>
        <w:trPr>
          <w:trHeight w:val="480"/>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(iv)</w:t>
            </w:r>
          </w:p>
        </w:tc>
        <w:tc>
          <w:tcPr>
            <w:tcW w:w="66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Shared power to dispose or to direct the disposition of</w:t>
            </w:r>
          </w:p>
        </w:tc>
        <w:tc>
          <w:tcPr>
            <w:tcW w:w="2460" w:type="dxa"/>
            <w:vAlign w:val="bottom"/>
            <w:tcBorders>
              <w:bottom w:val="single" w:sz="8" w:color="auto"/>
            </w:tcBorders>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0  .</w:t>
            </w: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580" w:hanging="562"/>
        <w:spacing w:after="0"/>
        <w:tabs>
          <w:tab w:leader="none" w:pos="15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shares as to which Greg Poole has:</w:t>
      </w:r>
    </w:p>
    <w:p>
      <w:pPr>
        <w:spacing w:after="0" w:line="200" w:lineRule="exact"/>
        <w:rPr>
          <w:sz w:val="20"/>
          <w:szCs w:val="20"/>
          <w:color w:val="auto"/>
        </w:rPr>
      </w:pPr>
    </w:p>
    <w:p>
      <w:pPr>
        <w:spacing w:after="0" w:line="286" w:lineRule="exact"/>
        <w:rPr>
          <w:sz w:val="20"/>
          <w:szCs w:val="20"/>
          <w:color w:val="auto"/>
        </w:rPr>
      </w:pPr>
    </w:p>
    <w:tbl>
      <w:tblPr>
        <w:tblLayout w:type="fixed"/>
        <w:tblInd w:w="1580" w:type="dxa"/>
        <w:tblCellMar>
          <w:top w:w="0" w:type="dxa"/>
          <w:left w:w="0" w:type="dxa"/>
          <w:bottom w:w="0" w:type="dxa"/>
          <w:right w:w="0" w:type="dxa"/>
        </w:tblCellMar>
      </w:tblPr>
      <w:tr>
        <w:trPr>
          <w:trHeight w:val="262"/>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(i)</w:t>
            </w:r>
          </w:p>
        </w:tc>
        <w:tc>
          <w:tcPr>
            <w:tcW w:w="66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Sole power to vote or to direct the vote</w:t>
            </w:r>
          </w:p>
        </w:tc>
        <w:tc>
          <w:tcPr>
            <w:tcW w:w="2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0</w:t>
            </w:r>
          </w:p>
        </w:tc>
        <w:tc>
          <w:tcPr>
            <w:tcW w:w="3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r>
      <w:tr>
        <w:trPr>
          <w:trHeight w:val="480"/>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(ii)</w:t>
            </w:r>
          </w:p>
        </w:tc>
        <w:tc>
          <w:tcPr>
            <w:tcW w:w="66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Shared power to vote or to direct the vote</w:t>
            </w:r>
          </w:p>
        </w:tc>
        <w:tc>
          <w:tcPr>
            <w:tcW w:w="2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0</w:t>
            </w:r>
          </w:p>
        </w:tc>
        <w:tc>
          <w:tcPr>
            <w:tcW w:w="3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r>
      <w:tr>
        <w:trPr>
          <w:trHeight w:val="723"/>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(iii)</w:t>
            </w:r>
          </w:p>
        </w:tc>
        <w:tc>
          <w:tcPr>
            <w:tcW w:w="66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Sole power to dispose or to direct the disposition of</w:t>
            </w:r>
          </w:p>
        </w:tc>
        <w:tc>
          <w:tcPr>
            <w:tcW w:w="2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0</w:t>
            </w:r>
          </w:p>
        </w:tc>
        <w:tc>
          <w:tcPr>
            <w:tcW w:w="3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r>
      <w:tr>
        <w:trPr>
          <w:trHeight w:val="480"/>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(iv)</w:t>
            </w:r>
          </w:p>
        </w:tc>
        <w:tc>
          <w:tcPr>
            <w:tcW w:w="66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Shared power to dispose or to direct the disposition of</w:t>
            </w:r>
          </w:p>
        </w:tc>
        <w:tc>
          <w:tcPr>
            <w:tcW w:w="2460" w:type="dxa"/>
            <w:vAlign w:val="bottom"/>
            <w:tcBorders>
              <w:bottom w:val="single" w:sz="8" w:color="auto"/>
            </w:tcBorders>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0  .</w:t>
            </w:r>
          </w:p>
        </w:tc>
      </w:tr>
    </w:tbl>
    <w:p>
      <w:pPr>
        <w:spacing w:after="0" w:line="200" w:lineRule="exact"/>
        <w:rPr>
          <w:sz w:val="20"/>
          <w:szCs w:val="20"/>
          <w:color w:val="auto"/>
        </w:rPr>
      </w:pPr>
    </w:p>
    <w:p>
      <w:pPr>
        <w:spacing w:after="0" w:line="26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Instruction: For computations regarding securities which represent a right to acquire an underlying security see §240.13d-3(d)</w:t>
      </w:r>
    </w:p>
    <w:p>
      <w:pPr>
        <w:spacing w:after="0" w:line="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(1).</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color w:val="auto"/>
        </w:rPr>
        <w:t>Ownership of Five Percent or Less of a Class.</w:t>
      </w:r>
    </w:p>
    <w:p>
      <w:pPr>
        <w:spacing w:after="0" w:line="243" w:lineRule="exact"/>
        <w:rPr>
          <w:sz w:val="20"/>
          <w:szCs w:val="20"/>
          <w:color w:val="auto"/>
        </w:rPr>
      </w:pPr>
    </w:p>
    <w:p>
      <w:pPr>
        <w:ind w:left="1020" w:right="320"/>
        <w:spacing w:after="0" w:line="269" w:lineRule="auto"/>
        <w:rPr>
          <w:sz w:val="20"/>
          <w:szCs w:val="20"/>
          <w:color w:val="auto"/>
        </w:rPr>
      </w:pPr>
      <w:r>
        <w:rPr>
          <w:rFonts w:ascii="Times New Roman" w:cs="Times New Roman" w:eastAsia="Times New Roman" w:hAnsi="Times New Roman"/>
          <w:sz w:val="20"/>
          <w:szCs w:val="20"/>
          <w:color w:val="auto"/>
        </w:rPr>
        <w:t>If this statement is being filed to report the fact that as of the date hereof the reporting person has ceased to be the beneficial owner of more than five percent of the class of securities, check the following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287020</wp:posOffset>
            </wp:positionV>
            <wp:extent cx="64890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19"/>
          <w:szCs w:val="19"/>
          <w:color w:val="auto"/>
        </w:rPr>
        <w:t>Ownership of More Than Five Percent on Behalf of Another Person.</w:t>
      </w:r>
    </w:p>
    <w:p>
      <w:pPr>
        <w:spacing w:after="0" w:line="243" w:lineRule="exact"/>
        <w:rPr>
          <w:sz w:val="20"/>
          <w:szCs w:val="20"/>
          <w:color w:val="auto"/>
        </w:rPr>
      </w:pPr>
    </w:p>
    <w:p>
      <w:pPr>
        <w:ind w:left="1020" w:right="100"/>
        <w:spacing w:after="0" w:line="246" w:lineRule="auto"/>
        <w:rPr>
          <w:sz w:val="20"/>
          <w:szCs w:val="20"/>
          <w:color w:val="auto"/>
        </w:rPr>
      </w:pPr>
      <w:r>
        <w:rPr>
          <w:rFonts w:ascii="Times New Roman" w:cs="Times New Roman" w:eastAsia="Times New Roman" w:hAnsi="Times New Roman"/>
          <w:sz w:val="20"/>
          <w:szCs w:val="20"/>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22860</wp:posOffset>
            </wp:positionV>
            <wp:extent cx="64890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494030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420" w:top="940" w:right="339" w:bottom="672" w:gutter="0" w:footer="0" w:header="0"/>
        </w:sectPr>
      </w:pPr>
    </w:p>
    <w:bookmarkStart w:id="5" w:name="page6"/>
    <w:bookmarkEnd w:id="5"/>
    <w:p>
      <w:pPr>
        <w:ind w:left="1040" w:right="360" w:hanging="1036"/>
        <w:spacing w:after="0" w:line="269" w:lineRule="auto"/>
        <w:tabs>
          <w:tab w:leader="none" w:pos="102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20"/>
          <w:szCs w:val="20"/>
          <w:color w:val="auto"/>
        </w:rPr>
        <w:t>Identification and Classification of the Subsidiary Which Acquired the Security Being Reported on by the Parent Holding Company or Control Person.</w:t>
      </w:r>
    </w:p>
    <w:p>
      <w:pPr>
        <w:spacing w:after="0" w:line="186" w:lineRule="exact"/>
        <w:rPr>
          <w:sz w:val="20"/>
          <w:szCs w:val="20"/>
          <w:color w:val="auto"/>
        </w:rPr>
      </w:pPr>
    </w:p>
    <w:p>
      <w:pPr>
        <w:jc w:val="both"/>
        <w:ind w:left="1020"/>
        <w:spacing w:after="0" w:line="249" w:lineRule="auto"/>
        <w:rPr>
          <w:sz w:val="20"/>
          <w:szCs w:val="20"/>
          <w:color w:val="auto"/>
        </w:rPr>
      </w:pPr>
      <w:r>
        <w:rPr>
          <w:rFonts w:ascii="Times New Roman" w:cs="Times New Roman" w:eastAsia="Times New Roman" w:hAnsi="Times New Roman"/>
          <w:sz w:val="20"/>
          <w:szCs w:val="20"/>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9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See Exhibit B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22860</wp:posOffset>
            </wp:positionV>
            <wp:extent cx="64890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19"/>
          <w:szCs w:val="19"/>
          <w:color w:val="auto"/>
        </w:rPr>
        <w:t>Identification and Classification of Members of the Group.</w:t>
      </w:r>
    </w:p>
    <w:p>
      <w:pPr>
        <w:spacing w:after="0" w:line="243" w:lineRule="exact"/>
        <w:rPr>
          <w:sz w:val="20"/>
          <w:szCs w:val="20"/>
          <w:color w:val="auto"/>
        </w:rPr>
      </w:pPr>
    </w:p>
    <w:p>
      <w:pPr>
        <w:jc w:val="both"/>
        <w:ind w:left="1020" w:hanging="7"/>
        <w:spacing w:after="0" w:line="254" w:lineRule="auto"/>
        <w:rPr>
          <w:sz w:val="20"/>
          <w:szCs w:val="20"/>
          <w:color w:val="auto"/>
        </w:rPr>
      </w:pPr>
      <w:r>
        <w:rPr>
          <w:rFonts w:ascii="Times New Roman" w:cs="Times New Roman" w:eastAsia="Times New Roman" w:hAnsi="Times New Roman"/>
          <w:sz w:val="20"/>
          <w:szCs w:val="20"/>
          <w:color w:val="auto"/>
        </w:rPr>
        <w:t>If a group has filed this schedule pursuant to §240.13d-1(b)(1)(ii)(J),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18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22860</wp:posOffset>
            </wp:positionV>
            <wp:extent cx="64890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19"/>
          <w:szCs w:val="19"/>
          <w:color w:val="auto"/>
        </w:rPr>
        <w:t>Notice of Dissolution of Group.</w:t>
      </w:r>
    </w:p>
    <w:p>
      <w:pPr>
        <w:spacing w:after="0" w:line="243" w:lineRule="exact"/>
        <w:rPr>
          <w:sz w:val="20"/>
          <w:szCs w:val="20"/>
          <w:color w:val="auto"/>
        </w:rPr>
      </w:pPr>
    </w:p>
    <w:p>
      <w:pPr>
        <w:jc w:val="both"/>
        <w:ind w:left="1020" w:hanging="7"/>
        <w:spacing w:after="0" w:line="254" w:lineRule="auto"/>
        <w:rPr>
          <w:sz w:val="20"/>
          <w:szCs w:val="20"/>
          <w:color w:val="auto"/>
        </w:rPr>
      </w:pPr>
      <w:r>
        <w:rPr>
          <w:rFonts w:ascii="Times New Roman" w:cs="Times New Roman" w:eastAsia="Times New Roman" w:hAnsi="Times New Roman"/>
          <w:sz w:val="20"/>
          <w:szCs w:val="20"/>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8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22860</wp:posOffset>
            </wp:positionV>
            <wp:extent cx="64890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19"/>
          <w:szCs w:val="19"/>
          <w:color w:val="auto"/>
        </w:rPr>
        <w:t>Certification.</w:t>
      </w:r>
    </w:p>
    <w:p>
      <w:pPr>
        <w:spacing w:after="0" w:line="243" w:lineRule="exact"/>
        <w:rPr>
          <w:sz w:val="20"/>
          <w:szCs w:val="20"/>
          <w:color w:val="auto"/>
        </w:rPr>
      </w:pPr>
    </w:p>
    <w:p>
      <w:pPr>
        <w:jc w:val="both"/>
        <w:ind w:left="1140" w:hanging="7"/>
        <w:spacing w:after="0" w:line="246"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586105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711" w:right="439" w:bottom="1440" w:gutter="0" w:footer="0" w:header="0"/>
        </w:sectPr>
      </w:pPr>
    </w:p>
    <w:bookmarkStart w:id="6" w:name="page7"/>
    <w:bookmarkEnd w:id="6"/>
    <w:p>
      <w:pPr>
        <w:jc w:val="center"/>
        <w:ind w:right="-99"/>
        <w:spacing w:after="0"/>
        <w:rPr>
          <w:sz w:val="20"/>
          <w:szCs w:val="20"/>
          <w:color w:val="auto"/>
        </w:rPr>
      </w:pPr>
      <w:r>
        <w:rPr>
          <w:rFonts w:ascii="Times New Roman" w:cs="Times New Roman" w:eastAsia="Times New Roman" w:hAnsi="Times New Roman"/>
          <w:sz w:val="20"/>
          <w:szCs w:val="20"/>
          <w:color w:val="auto"/>
        </w:rPr>
        <w:t>SIGNATURE</w:t>
      </w:r>
    </w:p>
    <w:p>
      <w:pPr>
        <w:spacing w:after="0" w:line="229" w:lineRule="exact"/>
        <w:rPr>
          <w:sz w:val="20"/>
          <w:szCs w:val="20"/>
          <w:color w:val="auto"/>
        </w:rPr>
      </w:pPr>
    </w:p>
    <w:p>
      <w:pPr>
        <w:ind w:right="120"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38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February 8, 2024</w:t>
      </w:r>
    </w:p>
    <w:p>
      <w:pPr>
        <w:spacing w:after="0" w:line="28"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-140335</wp:posOffset>
            </wp:positionV>
            <wp:extent cx="3566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Echo Street Capital Management LLC</w:t>
      </w:r>
    </w:p>
    <w:p>
      <w:pPr>
        <w:spacing w:after="0" w:line="2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Greg Poole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0</wp:posOffset>
            </wp:positionV>
            <wp:extent cx="35661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ind w:left="7980"/>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Greg Poole, Managing Member</w:t>
      </w:r>
    </w:p>
    <w:p>
      <w:pPr>
        <w:spacing w:after="0" w:line="28"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20"/>
          <w:szCs w:val="20"/>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-140335</wp:posOffset>
            </wp:positionV>
            <wp:extent cx="3566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/s/ Greg Poole</w:t>
      </w:r>
    </w:p>
    <w:p>
      <w:pPr>
        <w:spacing w:after="0" w:line="2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Greg Poole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-140335</wp:posOffset>
            </wp:positionV>
            <wp:extent cx="3566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5"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Note. Schedules filed in paper format shall include a signed original and five copies of the schedule, including all exhibits. See s.240.13d-7 for other parties for whom copies are to be sent.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711" w:right="41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0"/>
          <w:szCs w:val="20"/>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AGREEMENT</w:t>
      </w:r>
    </w:p>
    <w:p>
      <w:pPr>
        <w:spacing w:after="0" w:line="216"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The undersigned agree that this Schedule 13G dated February 8, 2024 relating to the Class A Common Stock, $0.001 par value of Definitive Healthcare Corp. shall be filed on behalf of the undersigned.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Echo Street Capital Management LLC</w:t>
      </w:r>
    </w:p>
    <w:p>
      <w:pPr>
        <w:spacing w:after="0" w:line="2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Greg Poole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0</wp:posOffset>
            </wp:positionV>
            <wp:extent cx="3566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7980"/>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Greg Poole, Managing Member</w:t>
      </w:r>
    </w:p>
    <w:p>
      <w:pPr>
        <w:spacing w:after="0" w:line="28"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20"/>
          <w:szCs w:val="20"/>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-140335</wp:posOffset>
            </wp:positionV>
            <wp:extent cx="3566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/s/ Greg Poole</w:t>
      </w:r>
    </w:p>
    <w:p>
      <w:pPr>
        <w:spacing w:after="0" w:line="2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Greg Poole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-140335</wp:posOffset>
            </wp:positionV>
            <wp:extent cx="356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750570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0"/>
          <w:szCs w:val="20"/>
          <w:color w:val="auto"/>
        </w:rPr>
        <w:t>Exhibit B</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Echo Street Capital Management LLC is the relevant entity for which Greg Poole may be considered a control person.</w:t>
      </w:r>
    </w:p>
    <w:sectPr>
      <w:pgSz w:w="11900" w:h="16838" w:orient="portrait"/>
      <w:cols w:equalWidth="0" w:num="1">
        <w:col w:w="11240"/>
      </w:cols>
      <w:pgMar w:left="320" w:top="4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1."/>
      <w:numFmt w:val="decimal"/>
      <w:start w:val="5"/>
    </w:lvl>
  </w:abstractNum>
  <w:abstractNum w:abstractNumId="4">
    <w:nsid w:val="515F007C"/>
    <w:multiLevelType w:val="hybridMultilevel"/>
    <w:lvl w:ilvl="0">
      <w:lvlJc w:val="left"/>
      <w:lvlText w:val="%1."/>
      <w:numFmt w:val="decimal"/>
      <w:start w:val="1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3"/>
    </w:lvl>
  </w:abstractNum>
  <w:abstractNum w:abstractNumId="7">
    <w:nsid w:val="4DB127F8"/>
    <w:multiLevelType w:val="hybridMultilevel"/>
    <w:lvl w:ilvl="0">
      <w:lvlJc w:val="left"/>
      <w:lvlText w:val="%1."/>
      <w:numFmt w:val="decimal"/>
      <w:start w:val="5"/>
    </w:lvl>
  </w:abstractNum>
  <w:abstractNum w:abstractNumId="8">
    <w:nsid w:val="216231B"/>
    <w:multiLevelType w:val="hybridMultilevel"/>
    <w:lvl w:ilvl="0">
      <w:lvlJc w:val="left"/>
      <w:lvlText w:val="%1."/>
      <w:numFmt w:val="decimal"/>
      <w:start w:val="1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2024-02-08T16:33:16Z</dcterms:created>
  <dcterms:modified xsi:type="dcterms:W3CDTF">2024-02-08T16:33:16Z</dcterms:modified>
</cp:coreProperties>
</file>