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804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0441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Mirisola Joseph Gianni</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DEFINITIVE HEALTHCARE CORP.</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550 COCHITUATE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Definitive Healthcare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DH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9"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39"/>
        <w:spacing w:after="0"/>
        <w:rPr>
          <w:sz w:val="20"/>
          <w:szCs w:val="20"/>
          <w:color w:val="auto"/>
        </w:rPr>
      </w:pPr>
      <w:r>
        <w:rPr>
          <w:rFonts w:ascii="Arial" w:cs="Arial" w:eastAsia="Arial" w:hAnsi="Arial"/>
          <w:sz w:val="17"/>
          <w:szCs w:val="17"/>
          <w:color w:val="0000FF"/>
        </w:rPr>
        <w:t>Chief Revenue Officer</w:t>
      </w:r>
    </w:p>
    <w:p>
      <w:pPr>
        <w:spacing w:after="0" w:line="385"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81"/>
              <w:spacing w:after="0" w:line="139" w:lineRule="exact"/>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FRAMINGHAM MA</w:t>
            </w:r>
          </w:p>
        </w:tc>
        <w:tc>
          <w:tcPr>
            <w:tcW w:w="840" w:type="dxa"/>
            <w:vAlign w:val="bottom"/>
          </w:tcPr>
          <w:p>
            <w:pPr>
              <w:spacing w:after="0"/>
              <w:rPr>
                <w:sz w:val="11"/>
                <w:szCs w:val="11"/>
                <w:color w:val="auto"/>
              </w:rPr>
            </w:pPr>
          </w:p>
        </w:tc>
        <w:tc>
          <w:tcPr>
            <w:tcW w:w="1260" w:type="dxa"/>
            <w:vAlign w:val="bottom"/>
            <w:vMerge w:val="restart"/>
          </w:tcPr>
          <w:p>
            <w:pPr>
              <w:ind w:left="80"/>
              <w:spacing w:after="0"/>
              <w:rPr>
                <w:sz w:val="20"/>
                <w:szCs w:val="20"/>
                <w:color w:val="auto"/>
              </w:rPr>
            </w:pPr>
            <w:r>
              <w:rPr>
                <w:rFonts w:ascii="Arial" w:cs="Arial" w:eastAsia="Arial" w:hAnsi="Arial"/>
                <w:sz w:val="17"/>
                <w:szCs w:val="17"/>
                <w:color w:val="0000FF"/>
              </w:rPr>
              <w:t>01701</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378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7100" w:type="dxa"/>
            <w:vAlign w:val="bottom"/>
            <w:tcBorders>
              <w:top w:val="single" w:sz="8" w:color="2C2C2C"/>
            </w:tcBorders>
            <w:gridSpan w:val="13"/>
          </w:tcPr>
          <w:p>
            <w:pPr>
              <w:ind w:left="6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jc w:val="center"/>
              <w:ind w:right="422"/>
              <w:spacing w:after="0"/>
              <w:rPr>
                <w:sz w:val="20"/>
                <w:szCs w:val="20"/>
                <w:color w:val="auto"/>
              </w:rPr>
            </w:pPr>
            <w:r>
              <w:rPr>
                <w:rFonts w:ascii="Arial" w:cs="Arial" w:eastAsia="Arial" w:hAnsi="Arial"/>
                <w:sz w:val="12"/>
                <w:szCs w:val="12"/>
                <w:b w:val="1"/>
                <w:bCs w:val="1"/>
                <w:color w:val="auto"/>
                <w:w w:val="99"/>
              </w:rPr>
              <w:t>3.</w:t>
            </w:r>
          </w:p>
        </w:tc>
        <w:tc>
          <w:tcPr>
            <w:tcW w:w="17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60" w:type="dxa"/>
            <w:vAlign w:val="bottom"/>
          </w:tcPr>
          <w:p>
            <w:pPr>
              <w:ind w:left="84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76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gridSpan w:val="2"/>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3"/>
              </w:rPr>
              <w:t>8)</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5"/>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jc w:val="center"/>
              <w:ind w:right="8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40" w:type="dxa"/>
            <w:vAlign w:val="bottom"/>
            <w:gridSpan w:val="9"/>
          </w:tcPr>
          <w:p>
            <w:pPr>
              <w:jc w:val="center"/>
              <w:ind w:left="61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26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Amount of</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2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9"/>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LLC Units</w:t>
            </w: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of AIDH</w:t>
            </w:r>
          </w:p>
        </w:tc>
        <w:tc>
          <w:tcPr>
            <w:tcW w:w="820" w:type="dxa"/>
            <w:vAlign w:val="bottom"/>
            <w:vMerge w:val="restart"/>
          </w:tcPr>
          <w:p>
            <w:pPr>
              <w:ind w:left="260"/>
              <w:spacing w:after="0"/>
              <w:rPr>
                <w:sz w:val="20"/>
                <w:szCs w:val="20"/>
                <w:color w:val="auto"/>
              </w:rPr>
            </w:pPr>
            <w:r>
              <w:rPr>
                <w:rFonts w:ascii="Arial" w:cs="Arial" w:eastAsia="Arial" w:hAnsi="Arial"/>
                <w:sz w:val="11"/>
                <w:szCs w:val="11"/>
                <w:color w:val="008000"/>
              </w:rPr>
              <w:t>(1)(2)</w:t>
            </w:r>
          </w:p>
        </w:tc>
        <w:tc>
          <w:tcPr>
            <w:tcW w:w="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vMerge w:val="restart"/>
          </w:tcPr>
          <w:p>
            <w:pPr>
              <w:ind w:left="100"/>
              <w:spacing w:after="0" w:line="282"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(3)</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220"/>
              <w:spacing w:after="0"/>
              <w:rPr>
                <w:sz w:val="20"/>
                <w:szCs w:val="20"/>
                <w:color w:val="auto"/>
              </w:rPr>
            </w:pPr>
            <w:r>
              <w:rPr>
                <w:rFonts w:ascii="Arial" w:cs="Arial" w:eastAsia="Arial" w:hAnsi="Arial"/>
                <w:sz w:val="11"/>
                <w:szCs w:val="11"/>
                <w:color w:val="008000"/>
              </w:rPr>
              <w:t>(1)(2)</w:t>
            </w:r>
          </w:p>
        </w:tc>
        <w:tc>
          <w:tcPr>
            <w:tcW w:w="660" w:type="dxa"/>
            <w:vAlign w:val="bottom"/>
            <w:vMerge w:val="restart"/>
          </w:tcPr>
          <w:p>
            <w:pPr>
              <w:ind w:left="180"/>
              <w:spacing w:after="0"/>
              <w:rPr>
                <w:sz w:val="20"/>
                <w:szCs w:val="20"/>
                <w:color w:val="auto"/>
              </w:rPr>
            </w:pPr>
            <w:r>
              <w:rPr>
                <w:rFonts w:ascii="Arial" w:cs="Arial" w:eastAsia="Arial" w:hAnsi="Arial"/>
                <w:sz w:val="11"/>
                <w:szCs w:val="11"/>
                <w:color w:val="008000"/>
              </w:rPr>
              <w:t>(1)(2)</w:t>
            </w:r>
          </w:p>
        </w:tc>
        <w:tc>
          <w:tcPr>
            <w:tcW w:w="640" w:type="dxa"/>
            <w:vAlign w:val="bottom"/>
          </w:tcPr>
          <w:p>
            <w:pPr>
              <w:ind w:left="100"/>
              <w:spacing w:after="0" w:line="141" w:lineRule="exact"/>
              <w:rPr>
                <w:sz w:val="20"/>
                <w:szCs w:val="20"/>
                <w:color w:val="auto"/>
              </w:rPr>
            </w:pPr>
            <w:r>
              <w:rPr>
                <w:rFonts w:ascii="Arial" w:cs="Arial" w:eastAsia="Arial" w:hAnsi="Arial"/>
                <w:sz w:val="13"/>
                <w:szCs w:val="13"/>
                <w:color w:val="0000FF"/>
              </w:rPr>
              <w:t>Class A</w:t>
            </w:r>
          </w:p>
        </w:tc>
        <w:tc>
          <w:tcPr>
            <w:tcW w:w="460" w:type="dxa"/>
            <w:vAlign w:val="bottom"/>
            <w:vMerge w:val="restart"/>
          </w:tcPr>
          <w:p>
            <w:pPr>
              <w:spacing w:after="0"/>
              <w:rPr>
                <w:sz w:val="20"/>
                <w:szCs w:val="20"/>
                <w:color w:val="auto"/>
              </w:rPr>
            </w:pPr>
            <w:r>
              <w:rPr>
                <w:rFonts w:ascii="Arial" w:cs="Arial" w:eastAsia="Arial" w:hAnsi="Arial"/>
                <w:sz w:val="17"/>
                <w:szCs w:val="17"/>
                <w:color w:val="0000FF"/>
                <w:w w:val="84"/>
              </w:rPr>
              <w:t>10,522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94"/>
              </w:rPr>
              <w:t>Management</w:t>
            </w:r>
          </w:p>
        </w:tc>
        <w:tc>
          <w:tcPr>
            <w:tcW w:w="820" w:type="dxa"/>
            <w:vAlign w:val="bottom"/>
            <w:vMerge w:val="continue"/>
          </w:tcPr>
          <w:p>
            <w:pPr>
              <w:spacing w:after="0"/>
              <w:rPr>
                <w:sz w:val="12"/>
                <w:szCs w:val="12"/>
                <w:color w:val="auto"/>
              </w:rPr>
            </w:pPr>
          </w:p>
        </w:tc>
        <w:tc>
          <w:tcPr>
            <w:tcW w:w="840" w:type="dxa"/>
            <w:vAlign w:val="bottom"/>
          </w:tcPr>
          <w:p>
            <w:pPr>
              <w:ind w:left="200"/>
              <w:spacing w:after="0" w:line="141" w:lineRule="exact"/>
              <w:rPr>
                <w:sz w:val="20"/>
                <w:szCs w:val="20"/>
                <w:color w:val="auto"/>
              </w:rPr>
            </w:pPr>
            <w:r>
              <w:rPr>
                <w:rFonts w:ascii="Arial" w:cs="Arial" w:eastAsia="Arial" w:hAnsi="Arial"/>
                <w:sz w:val="13"/>
                <w:szCs w:val="13"/>
                <w:color w:val="0000FF"/>
                <w:w w:val="95"/>
              </w:rPr>
              <w:t>11/22/2021</w:t>
            </w:r>
          </w:p>
        </w:tc>
        <w:tc>
          <w:tcPr>
            <w:tcW w:w="1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1" w:lineRule="exact"/>
              <w:rPr>
                <w:sz w:val="20"/>
                <w:szCs w:val="20"/>
                <w:color w:val="auto"/>
              </w:rPr>
            </w:pPr>
            <w:r>
              <w:rPr>
                <w:rFonts w:ascii="Arial" w:cs="Arial" w:eastAsia="Arial" w:hAnsi="Arial"/>
                <w:sz w:val="13"/>
                <w:szCs w:val="13"/>
                <w:color w:val="0000FF"/>
              </w:rPr>
              <w:t>10,522</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4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460" w:type="dxa"/>
            <w:vAlign w:val="bottom"/>
            <w:vMerge w:val="continue"/>
          </w:tcPr>
          <w:p>
            <w:pPr>
              <w:spacing w:after="0"/>
              <w:rPr>
                <w:sz w:val="12"/>
                <w:szCs w:val="12"/>
                <w:color w:val="auto"/>
              </w:rPr>
            </w:pPr>
          </w:p>
        </w:tc>
        <w:tc>
          <w:tcPr>
            <w:tcW w:w="820" w:type="dxa"/>
            <w:vAlign w:val="bottom"/>
            <w:gridSpan w:val="3"/>
          </w:tcPr>
          <w:p>
            <w:pPr>
              <w:jc w:val="right"/>
              <w:ind w:right="16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34.74</w:t>
            </w:r>
          </w:p>
        </w:tc>
        <w:tc>
          <w:tcPr>
            <w:tcW w:w="860" w:type="dxa"/>
            <w:vAlign w:val="bottom"/>
            <w:gridSpan w:val="2"/>
          </w:tcPr>
          <w:p>
            <w:pPr>
              <w:ind w:left="200"/>
              <w:spacing w:after="0" w:line="141" w:lineRule="exact"/>
              <w:rPr>
                <w:sz w:val="20"/>
                <w:szCs w:val="20"/>
                <w:color w:val="auto"/>
              </w:rPr>
            </w:pPr>
            <w:r>
              <w:rPr>
                <w:rFonts w:ascii="Arial" w:cs="Arial" w:eastAsia="Arial" w:hAnsi="Arial"/>
                <w:sz w:val="13"/>
                <w:szCs w:val="13"/>
                <w:color w:val="0000FF"/>
              </w:rPr>
              <w:t>456,981</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Holdings,</w:t>
            </w: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stock</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LLC</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40" w:firstLine="1"/>
        <w:spacing w:after="0" w:line="259"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AIDH Management Holdings, LLC ("Management Holdings") is a special purpose investment vehicle through which interests in AIDH Topco, LLC are indirectly owned. 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Management Holdings for LLC Units of AIDH Topco, LLC on a one-for-one basis, which are exchanged for shares of Class A common stock of the Issuer on a one-for-one basis, subject to certain exceptions, conditions and adjustments. The LLC Units of Management Holdings have no expiration date.</w:t>
      </w:r>
    </w:p>
    <w:p>
      <w:pPr>
        <w:spacing w:after="0" w:line="19" w:lineRule="exact"/>
        <w:rPr>
          <w:rFonts w:ascii="Arial" w:cs="Arial" w:eastAsia="Arial" w:hAnsi="Arial"/>
          <w:sz w:val="12"/>
          <w:szCs w:val="12"/>
          <w:color w:val="008000"/>
        </w:rPr>
      </w:pPr>
    </w:p>
    <w:p>
      <w:pPr>
        <w:ind w:left="40" w:right="48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Following an exchange for LLC Units of AIDH Topco, LLC, sold to the Issuer in a transaction exempt pursuant to Rule 16b-3.</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David Samuels, as attorney</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11/24/2021</w:t>
            </w:r>
          </w:p>
        </w:tc>
        <w:tc>
          <w:tcPr>
            <w:tcW w:w="0" w:type="dxa"/>
            <w:vAlign w:val="bottom"/>
          </w:tcPr>
          <w:p>
            <w:pPr>
              <w:spacing w:after="0"/>
              <w:rPr>
                <w:sz w:val="1"/>
                <w:szCs w:val="1"/>
                <w:color w:val="auto"/>
              </w:rPr>
            </w:pPr>
          </w:p>
        </w:tc>
      </w:tr>
      <w:tr>
        <w:trPr>
          <w:trHeight w:val="83"/>
        </w:trPr>
        <w:tc>
          <w:tcPr>
            <w:tcW w:w="176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in fact for Joseph Mirisola</w:t>
            </w:r>
          </w:p>
        </w:tc>
        <w:tc>
          <w:tcPr>
            <w:tcW w:w="3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9228"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2021-11-24T15:25:52Z</dcterms:created>
  <dcterms:modified xsi:type="dcterms:W3CDTF">2021-11-24T15:25:52Z</dcterms:modified>
</cp:coreProperties>
</file>