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February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rPr>
              <w:t>Commission File Number 1-40815</w:t>
            </w:r>
          </w:p>
        </w:tc>
      </w:tr>
      <w:tr>
        <w:trPr>
          <w:trHeight w:val="4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20" w:type="dxa"/>
            <w:vAlign w:val="bottom"/>
            <w:gridSpan w:val="3"/>
          </w:tcPr>
          <w:p>
            <w:pPr>
              <w:jc w:val="center"/>
              <w:ind w:left="5986"/>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8"/>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0"/>
        </w:trPr>
        <w:tc>
          <w:tcPr>
            <w:tcW w:w="1320" w:type="dxa"/>
            <w:vAlign w:val="bottom"/>
          </w:tcPr>
          <w:p>
            <w:pPr>
              <w:spacing w:after="0"/>
              <w:rPr>
                <w:sz w:val="19"/>
                <w:szCs w:val="19"/>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Framingham, Massachusetts 01701</w:t>
            </w:r>
          </w:p>
        </w:tc>
      </w:tr>
      <w:tr>
        <w:trPr>
          <w:trHeight w:val="215"/>
        </w:trPr>
        <w:tc>
          <w:tcPr>
            <w:tcW w:w="1320" w:type="dxa"/>
            <w:vAlign w:val="bottom"/>
          </w:tcPr>
          <w:p>
            <w:pPr>
              <w:spacing w:after="0"/>
              <w:rPr>
                <w:sz w:val="18"/>
                <w:szCs w:val="18"/>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56"/>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91"/>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5"/>
                <w:szCs w:val="15"/>
                <w:color w:val="auto"/>
              </w:rPr>
            </w:pPr>
          </w:p>
        </w:tc>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337"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57"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February 23, 2023, Definitive Healthcare Corp. (the “Company”) issued a press release announcing its financial results for the fourth quarter and fiscal year ended December 31, 2022. A copy of the press release is furnished as Exhibit 99.1 to this Current Report on Form 8-K and is incorporated by reference herein.</w:t>
      </w:r>
    </w:p>
    <w:p>
      <w:pPr>
        <w:spacing w:after="0" w:line="17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Chairman Compensatory Arrangements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February 16, 2023, the Board of Directors (the “Board”) of Definitive Healthcare Corp. (the “Company”) approved changes to the compensatory arrangements for Jason Krantz, the Company’s Executive Chairman, pursuant to an amendment (the “Amendment”) to the Executive Chairman Agreement, dated as of May 4, 2022, and Employment Agreement, dated as of February 18, 2015, each between Definitive Healthcare, LLC (together with the Company, the “Company Group”) and Mr. Krantz. The changes to the compensatory arrangements of Mr. Krantz, effective February 25, 2023 through December 31, 2023 (the “Effective Period”), subject to any future changes as may be determined by the Human Capital Management &amp; Compensation Committee of the Board (the “Committee”), are as follows:</w:t>
      </w:r>
    </w:p>
    <w:p>
      <w:pPr>
        <w:spacing w:after="0" w:line="187" w:lineRule="exact"/>
        <w:rPr>
          <w:sz w:val="20"/>
          <w:szCs w:val="20"/>
          <w:color w:val="auto"/>
        </w:rPr>
      </w:pPr>
    </w:p>
    <w:p>
      <w:pPr>
        <w:ind w:left="1020" w:right="2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Mr. Krantz’s base salary to $1,000 per week during the Effective Period, subject to his continued employment as Executive Chairman;</w:t>
      </w:r>
    </w:p>
    <w:p>
      <w:pPr>
        <w:spacing w:after="0" w:line="53" w:lineRule="exact"/>
        <w:rPr>
          <w:rFonts w:ascii="Times New Roman" w:cs="Times New Roman" w:eastAsia="Times New Roman" w:hAnsi="Times New Roman"/>
          <w:sz w:val="18"/>
          <w:szCs w:val="18"/>
          <w:color w:val="auto"/>
        </w:rPr>
      </w:pPr>
    </w:p>
    <w:p>
      <w:pPr>
        <w:jc w:val="both"/>
        <w:ind w:left="1020" w:right="36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on February 16, 2023 of 18,465 restricted stock units (“RSUs”). The RSUs will vest in full, subject to Mr. Krantz’s continuous employment with the Company Group, on February 16, 2024. The RSUs are subject to the terms and conditions of the Company’s 2021 Equity Incentive Plan and the applicable award agreement governing the RSUs;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eligibility for an annual bonus for fiscal year 2023.</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Following the Effective Period, Mr. Krantz’s base salary and eligibility for an annual bonus will be determined by the Board and the Committee in their sole discretion. The foregoing description of the Amendment does not purport to be complete and is qualified in its entirety by reference to the terms of the Amendment, which is attached as Exhibit 10.1 hereto and is incorporated herein by reference.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Incentive Plan</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16, 2023, the Board adopted the Definitive Healthcare Corp. Cash Incentive Plan (the “Plan”). The Plan is a cash-based incentive program which is intended to provide awards to certain employees of the Company to motivate them to perform to the best of their abilities, and achieve the Company’s objectives. The Committee is responsible for administering the Plan and, in its sole discretion, will provide eligible participants, including any executive, officer, key employee or other Committee-designated employee of the Company or of an affiliate, the opportunity to earn specific cash bonuses for a given performance period. Performance periods are determined by the Committee and may be divided into one or more shorter periods. As an example, the Committee may desire to measure some performance criteria over a 12 month period and other criteria over a three month period. The Committee, in its sole discretion, will select the eligible participants for any performance period and an employee who is a participant for a given performance period in no way is guaranteed or assured of being selected for participation in any subsequent performance period or periods.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Plan, the Committee will establish a target award, at 100% target level of achievement, for each participant, which may be a percentage of a participant’s annual base salary as of the beginning or end of the performance period or a fixed dollar amount. Furthermore, the Committee will, in its sole discretion, determine the performance goals applicable to any target award from the criteria set forth in the Plan, including, by way of example only, sales or revenue targets, economic value added and customer satisfaction. These performance goals may include threshold levels of performance below which no actual award will be paid, levels of performance at which specified percentages of the target award will be paid and may also include a maximum level of performance above which no additional actual award amount will be paid. The Committee may, in its sole discretion, increase, reduce, or eliminate a participant’s actual award. Each actual award under the Plan will be paid in cash (or its equivalent).</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of the Plan does not purport to be complete and is qualified in its entirety by reference to the terms of the Plan, which is attached as Exhibit 10.2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2022 Cash Bonus Awards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the beginning of 2022, the Committee adopted an annual cash incentive plan for 2022 that included base, target and stretch goals for our executive officers based on the Company’s achievement of specified annual recurring revenue objectives. While such performance objectives were not met, on February 16, 2023, the Board approved bonus payments to the Company’s Chief Executive Officer, Chief Financial Officer, and Executive Chairman equal to the mid-point between the “base” and “target” levels of their previously established target bonus, with respect to the Chief Financial Officer, and at “base” with respect to the Chief Executive Officer and Executive Chairman.</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Accordingly, the Company’s Chief Executive Officer, Chief Financial Officer, and Executive Chairman were awarded cash awards of $223,080.00, $183,421.88, and $222,900.60,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exhibits are furnished pursuant to Item 2.02 with this report and shall not be deemed to be “filed.”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Amendment to Executive Chairman Agreement and Employment Agreement, dated as of February 16, 2023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50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Definitive Healthcare Corp. Cash Incentive Plan</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500" w:type="dxa"/>
            <w:vAlign w:val="bottom"/>
            <w:tcBorders>
              <w:right w:val="single" w:sz="8" w:color="0000EE"/>
            </w:tcBorders>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Dated February 23, 2023 (furnished herewith pursuant to Item 2.02)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920" w:type="dxa"/>
            <w:vAlign w:val="bottom"/>
            <w:gridSpan w:val="2"/>
            <w:shd w:val="clear" w:color="auto" w:fill="0000FF"/>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12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16,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Jason Krantz</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Amendment to Executive Chairman Agreement and Employment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Jason:</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You and Definitive Healthcare, LLC, a Massachusetts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its parent company Definitive Healthcare Corp.,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(together with the Company,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are parties to that certain Executive Chairman Agreement dated as of May 4, 2022 (the “</w:t>
      </w:r>
      <w:r>
        <w:rPr>
          <w:rFonts w:ascii="Times New Roman" w:cs="Times New Roman" w:eastAsia="Times New Roman" w:hAnsi="Times New Roman"/>
          <w:sz w:val="22"/>
          <w:szCs w:val="22"/>
          <w:u w:val="single" w:color="auto"/>
          <w:color w:val="auto"/>
        </w:rPr>
        <w:t>Executive Chairman Agreement</w:t>
      </w:r>
      <w:r>
        <w:rPr>
          <w:rFonts w:ascii="Times New Roman" w:cs="Times New Roman" w:eastAsia="Times New Roman" w:hAnsi="Times New Roman"/>
          <w:sz w:val="22"/>
          <w:szCs w:val="22"/>
          <w:color w:val="auto"/>
        </w:rPr>
        <w:t>”), which incorporates, in some respects, and supersedes, in other respects, that certain Employment Agreement between you and the Company dated as of February 18, 2015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This letter amendment (the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sets forth the terms of your modified compensation, as previously agreed to by you and the Company Group, and amends the Executive Chairman Agreement and Employment Agreement, as follows. Capitalized terms included but not defined herein shall have the meanings ascribed to such terms in the Executive Chairman Agreement.</w:t>
      </w:r>
    </w:p>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discussed, and in exchange for the Restricted Stock Unit Award (defined below), you and the Company Group have mutually agreed to reduce your Base Salary to $1,000 per week as of February 25,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through December 31, 2023, subject to your continued employment as Executive Chairman. You will continue to receive the Base Salary on the Company’s regular payroll schedule and the Base Salary shall be subject to applicable taxes and deductions. Following December 31, 2023, subject to your continued employment as Executive Chairman, the Base Salary shall be determined by the Parent Board (as defined below) in its sole discretion.</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You and the Company Group have further mutually agreed that you will not be eligible for an Annual Bonus for fiscal year 2023. Following the end of the Company Group’s fiscal year 2023, subject to your continued employment as Executive Chairman, your continued eligibility for Annual Bonus payments, if any, shall be determined by the Compensation Committee in its sole discretion.</w:t>
      </w:r>
    </w:p>
    <w:p>
      <w:pPr>
        <w:spacing w:after="0" w:line="20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Subject to the approval by the Board of Directors of Parent (the “</w:t>
      </w:r>
      <w:r>
        <w:rPr>
          <w:rFonts w:ascii="Times New Roman" w:cs="Times New Roman" w:eastAsia="Times New Roman" w:hAnsi="Times New Roman"/>
          <w:sz w:val="22"/>
          <w:szCs w:val="22"/>
          <w:u w:val="single" w:color="auto"/>
          <w:color w:val="auto"/>
        </w:rPr>
        <w:t>Parent Board</w:t>
      </w:r>
      <w:r>
        <w:rPr>
          <w:rFonts w:ascii="Times New Roman" w:cs="Times New Roman" w:eastAsia="Times New Roman" w:hAnsi="Times New Roman"/>
          <w:sz w:val="22"/>
          <w:szCs w:val="22"/>
          <w:color w:val="auto"/>
        </w:rPr>
        <w:t>”), the Parent Board anticipates granting you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Restricted Stock Unit Award</w:t>
      </w:r>
      <w:r>
        <w:rPr>
          <w:rFonts w:ascii="Times New Roman" w:cs="Times New Roman" w:eastAsia="Times New Roman" w:hAnsi="Times New Roman"/>
          <w:sz w:val="22"/>
          <w:szCs w:val="22"/>
          <w:color w:val="auto"/>
        </w:rPr>
        <w:t>”) under the Plan. The Parent Board anticipates that 18,465 RSUs shall be granted to you in the first quarter of 2023, subject to your continuous employment with the Company Group as of the date of grant. The Restricted Stock Unit Award shall vest as follows: 100% of the RSUs subject to the grant shall vest on the one-year anniversary of the date of the grant, subject to your continuous employment with the Company Group through such date; provided, that notwithstanding anything herein to the contrary, the Restricted Stock Unit Award shall vest (if at all) and be settled by no later than March 15, 2024. The Restricted Stock Unit Award will be subject to the terms and conditions of the applicable grant notice and award agreement you receive in connection with your grant as well as the terms of the Plan. For the avoidance of doubt, this Amendment shall not impact the terms of your other equity awards, other than the Restricted Stock Unit Award referenced above in this paragraph.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38" w:lineRule="auto"/>
        <w:rPr>
          <w:sz w:val="20"/>
          <w:szCs w:val="20"/>
          <w:color w:val="auto"/>
        </w:rPr>
      </w:pPr>
      <w:r>
        <w:rPr>
          <w:rFonts w:ascii="Times New Roman" w:cs="Times New Roman" w:eastAsia="Times New Roman" w:hAnsi="Times New Roman"/>
          <w:sz w:val="22"/>
          <w:szCs w:val="22"/>
          <w:color w:val="auto"/>
        </w:rPr>
        <w:t>As a condition of continued employment, you must sign and comply with the attached Assignment of Inventions, Non-Disclosure, Non-Solicitation and Non-Competition Agreement (the “</w:t>
      </w:r>
      <w:r>
        <w:rPr>
          <w:rFonts w:ascii="Times New Roman" w:cs="Times New Roman" w:eastAsia="Times New Roman" w:hAnsi="Times New Roman"/>
          <w:sz w:val="22"/>
          <w:szCs w:val="22"/>
          <w:u w:val="single" w:color="auto"/>
          <w:color w:val="auto"/>
        </w:rPr>
        <w:t>NDA</w:t>
      </w:r>
      <w:r>
        <w:rPr>
          <w:rFonts w:ascii="Times New Roman" w:cs="Times New Roman" w:eastAsia="Times New Roman" w:hAnsi="Times New Roman"/>
          <w:sz w:val="22"/>
          <w:szCs w:val="22"/>
          <w:color w:val="auto"/>
        </w:rPr>
        <w:t>”) which supersedes, prospectively only, Sections 5 and 6 of the Employment Agreement. You acknowledge and agree that the Restricted Stock Unit Award constitutes fair and reasonable and mutually agreed upon consideration for your agreement to the covenant not to compete included in Section 4 of the NDA.</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payments under this Amendment are intended to qualify for an exemption from application of Section 409A of the Internal Revenue Code of 1986, as amended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or comply with its requirements to the extent necessary to avoid adverse personal tax consequences under Section 409A, and any ambiguities herein shall be interpreted accordingly. The Company makes no representation or warranty and will have no liability to you or any other person if any provisions of this Amendment are determined to constitute deferred compensation subject to Section 409A but do not satisfy an exemption from, or the conditions of, Section 409A.</w:t>
      </w:r>
    </w:p>
    <w:p>
      <w:pPr>
        <w:spacing w:after="0" w:line="20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Except as herein modified or amended, no other term or provision of the Executive Chairman Agreement or Employment Agreement is amended or modified in any respect and to the extent the terms of this Amendment conflict with the terms in the Executive Chairman Agreement or the Employment Agreement, this Amendment shall control. The Executive Chairman Agreement, as modified by this Amendment, and your Employment Agreement (to the extent incorporated into the Executive Chairman Agreement), set forth the entire understanding between the parties with regard to the subject matter hereof and supersede any prior oral discussions or written communications and agreements with respect to your salary or any other Company Group bonuses or bonus plans. This Amendment cannot be modified or amended except in writing signed by you and an authorized officer of the Company Group. This Amendment is not intended to confer any rights to continued employment and your employment will remain at-will and subject to termination by you or the Company Group at any time, with or without cause or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behalf of the Company Group, let me express my appreciation for your service and dedication to the Company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Musslewhite</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Musslewhite</w:t>
      </w: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UNDERSTOOD AND ACCEPTED: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Jason Krantz</w:t>
      </w:r>
      <w:r>
        <w:rPr>
          <w:rFonts w:ascii="Times New Roman" w:cs="Times New Roman" w:eastAsia="Times New Roman" w:hAnsi="Times New Roman"/>
          <w:sz w:val="22"/>
          <w:szCs w:val="22"/>
          <w:color w:val="auto"/>
        </w:rPr>
        <w:t>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Jason Krantz</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16,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Enclosure: NDA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DEFINITIVE HEALTHCARE CORP.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CASH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Effective February 16, 2023</w:t>
      </w:r>
    </w:p>
    <w:p>
      <w:pPr>
        <w:spacing w:after="0" w:line="229" w:lineRule="exact"/>
        <w:rPr>
          <w:sz w:val="20"/>
          <w:szCs w:val="20"/>
          <w:color w:val="auto"/>
        </w:rPr>
      </w:pPr>
    </w:p>
    <w:p>
      <w:pPr>
        <w:ind w:firstLine="757"/>
        <w:spacing w:after="0" w:line="269" w:lineRule="auto"/>
        <w:tabs>
          <w:tab w:leader="none" w:pos="11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Purposes of the Plan</w:t>
      </w:r>
      <w:r>
        <w:rPr>
          <w:rFonts w:ascii="Times New Roman" w:cs="Times New Roman" w:eastAsia="Times New Roman" w:hAnsi="Times New Roman"/>
          <w:sz w:val="20"/>
          <w:szCs w:val="20"/>
          <w:color w:val="auto"/>
        </w:rPr>
        <w:t>. The Plan is intended to increase stockholder value and the success of the Company by motivating Employees to (a) perform to the best of their abilities, and (b) achieve the Company’s objectives.</w:t>
      </w:r>
    </w:p>
    <w:p>
      <w:pPr>
        <w:spacing w:after="0" w:line="159"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195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Actual Award</w:t>
      </w:r>
      <w:r>
        <w:rPr>
          <w:rFonts w:ascii="Times New Roman" w:cs="Times New Roman" w:eastAsia="Times New Roman" w:hAnsi="Times New Roman"/>
          <w:sz w:val="20"/>
          <w:szCs w:val="20"/>
          <w:color w:val="auto"/>
        </w:rPr>
        <w:t>” means, as to any Performance Period, the actual award (if any) payable to a Participant for the Performance Period, subject to the Committee’s authority under Section 3(f) to modify the award.</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95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any corporation or other entity (including, but not limited to, partnerships and joint ventures) controlled by the Company.</w:t>
      </w:r>
    </w:p>
    <w:p>
      <w:pPr>
        <w:spacing w:after="0" w:line="159" w:lineRule="exact"/>
        <w:rPr>
          <w:rFonts w:ascii="Times New Roman" w:cs="Times New Roman" w:eastAsia="Times New Roman" w:hAnsi="Times New Roman"/>
          <w:sz w:val="20"/>
          <w:szCs w:val="20"/>
          <w:color w:val="auto"/>
        </w:rPr>
      </w:pPr>
    </w:p>
    <w:p>
      <w:pPr>
        <w:ind w:left="1960" w:hanging="455"/>
        <w:spacing w:after="0"/>
        <w:tabs>
          <w:tab w:leader="none" w:pos="196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5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United States Internal Revenue Code of 1986, as amended. Reference to a specific section of the Code or regulation thereunder will include such section or regulation, any valid regulation promulgated thereunder, and any comparable provision of any future legislation or regulation amending, supplementing or superseding such section or regulation.</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5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the committee appointed by the Board (pursuant to Section 5) to administer the Plan. Unless and until the Board otherwise determines, the Board’s Human Capital Management &amp; Compensation Committee will administer the Plan and be considered the Committee for purposes of the Plan.</w:t>
      </w:r>
    </w:p>
    <w:p>
      <w:pPr>
        <w:spacing w:after="0" w:line="174" w:lineRule="exact"/>
        <w:rPr>
          <w:rFonts w:ascii="Times New Roman" w:cs="Times New Roman" w:eastAsia="Times New Roman" w:hAnsi="Times New Roman"/>
          <w:sz w:val="20"/>
          <w:szCs w:val="20"/>
          <w:color w:val="auto"/>
        </w:rPr>
      </w:pPr>
    </w:p>
    <w:p>
      <w:pPr>
        <w:ind w:left="1960" w:hanging="455"/>
        <w:spacing w:after="0"/>
        <w:tabs>
          <w:tab w:leader="none" w:pos="196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Definitive Healthcare Corp., a Delaware corporation, or any successor thereto.</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195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means, unless otherwise determined by the Committee, any employee of the Company or an Affiliate, whether such individual is so employed at the time the Plan is adopted or becomes so employed subsequent to the adoption of the Plan.</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95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means, as to any Performance Period, an Employee who has been selected by the Committee for participation in the Plan for that Performance Period.</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5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of time for the measurement of the performance goals that must be met to receive an Actual Award, as determined by the Committee in its sole discretion. A Performance Period may be divided into one or more shorter periods if, for example, but not by way of limitation, the Committee desires to measure some performance goals over 12 months and other goals over 3 months.</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95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this Definitive Healthcare Corp. Cash Incentive Plan (including any appendix attached hereto) and as hereafter amended from time to time.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firstLine="1505"/>
        <w:spacing w:after="0" w:line="268" w:lineRule="auto"/>
        <w:tabs>
          <w:tab w:leader="none" w:pos="1953"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Award</w:t>
      </w:r>
      <w:r>
        <w:rPr>
          <w:rFonts w:ascii="Times New Roman" w:cs="Times New Roman" w:eastAsia="Times New Roman" w:hAnsi="Times New Roman"/>
          <w:sz w:val="20"/>
          <w:szCs w:val="20"/>
          <w:color w:val="auto"/>
        </w:rPr>
        <w:t>” means the target award, at 100% target level of achievement, payable under the Plan to a Participant for the Performance Period, as determined by the Committee in accordance with Section 3(b).</w:t>
      </w:r>
    </w:p>
    <w:p>
      <w:pPr>
        <w:spacing w:after="0" w:line="160"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Selection of Participants and Determination of Awards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5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Selection of Participants</w:t>
      </w:r>
      <w:r>
        <w:rPr>
          <w:rFonts w:ascii="Times New Roman" w:cs="Times New Roman" w:eastAsia="Times New Roman" w:hAnsi="Times New Roman"/>
          <w:sz w:val="20"/>
          <w:szCs w:val="20"/>
          <w:color w:val="auto"/>
        </w:rPr>
        <w:t>. The Committee, in its sole discretion, will select the Employees who will be Participants for any Performance Period. Participation in the Plan is in the sole discretion of the Committee, on a Performance Period by Performance Period basis. Accordingly, an Employee who is a Participant for a given Performance Period is in no way guaranteed or assured of being selected for participation in any subsequent Performance Period or Periods.</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5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of Target Awards</w:t>
      </w:r>
      <w:r>
        <w:rPr>
          <w:rFonts w:ascii="Times New Roman" w:cs="Times New Roman" w:eastAsia="Times New Roman" w:hAnsi="Times New Roman"/>
          <w:sz w:val="20"/>
          <w:szCs w:val="20"/>
          <w:color w:val="auto"/>
        </w:rPr>
        <w:t>. The Committee, in its sole discretion, will establish a Target Award for each Participant, which may be a percentage of a Participant’s annual base salary as of the beginning or end of the Performance Period or a fixed dollar amount. The Committee is not obligated to treat all Participants similarly.</w:t>
      </w:r>
    </w:p>
    <w:p>
      <w:pPr>
        <w:spacing w:after="0" w:line="174" w:lineRule="exact"/>
        <w:rPr>
          <w:rFonts w:ascii="Times New Roman" w:cs="Times New Roman" w:eastAsia="Times New Roman" w:hAnsi="Times New Roman"/>
          <w:sz w:val="20"/>
          <w:szCs w:val="20"/>
          <w:color w:val="auto"/>
        </w:rPr>
      </w:pPr>
    </w:p>
    <w:p>
      <w:pPr>
        <w:jc w:val="both"/>
        <w:ind w:firstLine="1505"/>
        <w:spacing w:after="0" w:line="253" w:lineRule="auto"/>
        <w:tabs>
          <w:tab w:leader="none" w:pos="1953"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Discretion to Determine Performance Criteria</w:t>
      </w:r>
      <w:r>
        <w:rPr>
          <w:rFonts w:ascii="Times New Roman" w:cs="Times New Roman" w:eastAsia="Times New Roman" w:hAnsi="Times New Roman"/>
          <w:sz w:val="19"/>
          <w:szCs w:val="19"/>
          <w:color w:val="auto"/>
        </w:rPr>
        <w:t>. With respect to each Performance Period, the Committee will establish the following for each Participant: (i) one or more performance goals (which may be corporate performance goals and/or individual performance goals), (ii) the relative weights, if any, of such performance goals, and (iii) such other terms and conditions of the Target Award, if any, the Committee determines appropriate in its discretion (and in accordance with the terms of the Plan). Notwithstanding any contrary provision of the Plan, the Committee will, in its sole discretion, determine the performance criteria upon which the performance goals applicable to any Target Award will be based, which may include, without limitation: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measures; operating income after taxes; pre-tax profit; operating cash flow; operating margin; sales or revenue targets; increases in revenue or product revenue; annual recurring revenue; net new annual recurring revenue (ARR); expenses and cost reduction goals; improvement in or attainment of working capital levels; attainment of research and development milestones; economic value added (or an equivalent metric); market share; cash flow; cash flow per share; share price performance; debt reduction; bookings measures; customer satisfaction; stockholders’ equity; capital expenditures; debt levels; operating profit or net operating profit; workforce diversity; growth of net income or operating income; billings; net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criteria; corporate development and planning goals; and other measures of performance selected by the Board or the Committee. As determined by the Committee, the performance criteria may be based on generally accepted accounting principles (GAAP) or non-GAAP results and any actual results may be adjusted by the Committee for one-time items, unbudgeted or unexpected items and/or payments of Actual Awards under the Plan when determining whether the performance criteria have been met. The Committee also has the discretion to make adjustments to performance goals, including (but not limited to) adjustments relating to items such as restructuring and/or other nonrecurring charges, items that are unusual in nature and/or infrequent in occurrence, dilutive effects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both"/>
        <w:spacing w:after="0" w:line="249" w:lineRule="auto"/>
        <w:rPr>
          <w:sz w:val="20"/>
          <w:szCs w:val="20"/>
          <w:color w:val="auto"/>
        </w:rPr>
      </w:pPr>
      <w:r>
        <w:rPr>
          <w:rFonts w:ascii="Times New Roman" w:cs="Times New Roman" w:eastAsia="Times New Roman" w:hAnsi="Times New Roman"/>
          <w:sz w:val="20"/>
          <w:szCs w:val="20"/>
          <w:color w:val="auto"/>
        </w:rPr>
        <w:t>of acquisition or joint ventures, or costs incurred in connection with potential acquisitions or divestitures. The goals may be on the basis of any factors the Committee determines relevant, and may be on an individual, divisional, business unit or Company-wide basis. The performance criteria and goals may differ from Participant to Participant and from award to award. Failure to meet the goals will result in a failure to earn the Target Award, except as provided in Section 3(f).</w:t>
      </w:r>
    </w:p>
    <w:p>
      <w:pPr>
        <w:spacing w:after="0" w:line="179" w:lineRule="exact"/>
        <w:rPr>
          <w:sz w:val="20"/>
          <w:szCs w:val="20"/>
          <w:color w:val="auto"/>
        </w:rPr>
      </w:pPr>
    </w:p>
    <w:p>
      <w:pPr>
        <w:jc w:val="both"/>
        <w:ind w:firstLine="1505"/>
        <w:spacing w:after="0" w:line="249" w:lineRule="auto"/>
        <w:tabs>
          <w:tab w:leader="none" w:pos="1953"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Levels of Performance</w:t>
      </w:r>
      <w:r>
        <w:rPr>
          <w:rFonts w:ascii="Times New Roman" w:cs="Times New Roman" w:eastAsia="Times New Roman" w:hAnsi="Times New Roman"/>
          <w:sz w:val="20"/>
          <w:szCs w:val="20"/>
          <w:color w:val="auto"/>
        </w:rPr>
        <w:t>. The performance goals selected by the Committee with respect to the performance criteria set forth in this Section 3 may include a threshold level of performance below which no Actual Award will be paid, levels of performance at which specified percentages of the Target Award will be paid, and a maximum level of performance above which no additional Actual Award amount will be paid.</w:t>
      </w:r>
    </w:p>
    <w:p>
      <w:pPr>
        <w:spacing w:after="0" w:line="17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53"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of Actual Awards</w:t>
      </w:r>
      <w:r>
        <w:rPr>
          <w:rFonts w:ascii="Times New Roman" w:cs="Times New Roman" w:eastAsia="Times New Roman" w:hAnsi="Times New Roman"/>
          <w:sz w:val="20"/>
          <w:szCs w:val="20"/>
          <w:color w:val="auto"/>
        </w:rPr>
        <w:t xml:space="preserve">. Each Performance Period, the Committee, in its sole discretion, will determine each Participant’s Actual Award based on (i) the extent to which the performance goals established by the Committee and set forth on </w:t>
      </w:r>
      <w:r>
        <w:rPr>
          <w:rFonts w:ascii="Times New Roman" w:cs="Times New Roman" w:eastAsia="Times New Roman" w:hAnsi="Times New Roman"/>
          <w:sz w:val="20"/>
          <w:szCs w:val="20"/>
          <w:u w:val="single" w:color="auto"/>
          <w:color w:val="auto"/>
        </w:rPr>
        <w:t>Annex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(Executive Leadership Plan) and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(Non-Executive Leadership Plan), as applicable, have been achieved (and any relative weighting of such performance goals), (ii) such Participant’s Target Award, and (iii) if and the extent to which any and all other conditions for a Participant to receive an Actual Award have been met.</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53"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 to Modify Awards</w:t>
      </w:r>
      <w:r>
        <w:rPr>
          <w:rFonts w:ascii="Times New Roman" w:cs="Times New Roman" w:eastAsia="Times New Roman" w:hAnsi="Times New Roman"/>
          <w:sz w:val="20"/>
          <w:szCs w:val="20"/>
          <w:color w:val="auto"/>
        </w:rPr>
        <w:t>. Notwithstanding any contrary provision of the Plan, the Committee may, in its sole discretion and at any time, increase, reduce or eliminate a Participant’s Actual Award. The Actual Award may be below, at or above the Target Award, in the Committee’s discretion. The Committee may determine the amount of any reduction on the basis of such factors as it deems relevant and will not be required to establish any allocation or weighting with respect to the factors it considers.</w:t>
      </w:r>
    </w:p>
    <w:p>
      <w:pPr>
        <w:spacing w:after="0" w:line="179"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Awards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5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Plan</w:t>
      </w:r>
      <w:r>
        <w:rPr>
          <w:rFonts w:ascii="Times New Roman" w:cs="Times New Roman" w:eastAsia="Times New Roman" w:hAnsi="Times New Roman"/>
          <w:sz w:val="20"/>
          <w:szCs w:val="20"/>
          <w:color w:val="auto"/>
        </w:rPr>
        <w:t>. Each Actual Award will be paid solely from the general assets of the Company. Nothing in this Plan will be construed to create a trust or to establish or evidence any Participant’s claim of any right other than as an unsecured general creditor with respect to any payment to which he or she may be entitled.</w:t>
      </w:r>
    </w:p>
    <w:p>
      <w:pPr>
        <w:spacing w:after="0" w:line="174" w:lineRule="exact"/>
        <w:rPr>
          <w:rFonts w:ascii="Times New Roman" w:cs="Times New Roman" w:eastAsia="Times New Roman" w:hAnsi="Times New Roman"/>
          <w:sz w:val="20"/>
          <w:szCs w:val="20"/>
          <w:color w:val="auto"/>
        </w:rPr>
      </w:pPr>
    </w:p>
    <w:p>
      <w:pPr>
        <w:jc w:val="both"/>
        <w:ind w:firstLine="1505"/>
        <w:spacing w:after="0" w:line="257" w:lineRule="auto"/>
        <w:tabs>
          <w:tab w:leader="none" w:pos="1953"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Timing of Payment</w:t>
      </w:r>
      <w:r>
        <w:rPr>
          <w:rFonts w:ascii="Times New Roman" w:cs="Times New Roman" w:eastAsia="Times New Roman" w:hAnsi="Times New Roman"/>
          <w:sz w:val="19"/>
          <w:szCs w:val="19"/>
          <w:color w:val="auto"/>
        </w:rPr>
        <w:t>. Except as expressly provided otherwise (i) in any other written plan maintained by the Company, (ii) in a written, binding agreement between a Participant and the Company, or (iii) by the Committee, and unless otherwise expressly required by applicable law, in order to be eligible to receive payment of an Actual Award for any Performance Period, a Participant must meet the following criteria: (A) continue to be an Employee from the date his or her participation in the Plan commences for such Performance Period through the date that Actual Awards for such Performance Period are paid under the Plan; and (B) comply with any rules of the Plan established by the Committee. There is no guarantee for any payment of an Actual Award under the Plan. It is the intent that this Plan be exempt from, or comply with, the requirements of Code Section 409A so that none of the payments to be provided hereunder will be subject to the additional tax imposed under Code Section 409A, and any ambiguities herein will be interpreted to so comply. Each payment under this Plan is intended to constitute a separate payment for purposes of Treasury Regulation Section 1.409A-2(b)(2).</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7" w:lineRule="exact"/>
        <w:rPr>
          <w:rFonts w:ascii="Times New Roman" w:cs="Times New Roman" w:eastAsia="Times New Roman" w:hAnsi="Times New Roman"/>
          <w:sz w:val="19"/>
          <w:szCs w:val="19"/>
          <w:color w:val="auto"/>
        </w:rPr>
      </w:pPr>
    </w:p>
    <w:p>
      <w:pPr>
        <w:jc w:val="both"/>
        <w:ind w:firstLine="1505"/>
        <w:spacing w:after="0" w:line="254" w:lineRule="auto"/>
        <w:tabs>
          <w:tab w:leader="none" w:pos="195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Awards</w:t>
      </w:r>
      <w:r>
        <w:rPr>
          <w:rFonts w:ascii="Times New Roman" w:cs="Times New Roman" w:eastAsia="Times New Roman" w:hAnsi="Times New Roman"/>
          <w:sz w:val="20"/>
          <w:szCs w:val="20"/>
          <w:color w:val="auto"/>
        </w:rPr>
        <w:t>. Following, and subject to, the Committee’s determination of Actual Awards for a Performance Period, the Company will pay such Actual Awards for such Performance Period, subject to satisfaction of any continued services or additional conditions established by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both"/>
        <w:spacing w:after="0" w:line="246" w:lineRule="auto"/>
        <w:rPr>
          <w:sz w:val="20"/>
          <w:szCs w:val="20"/>
          <w:color w:val="auto"/>
        </w:rPr>
      </w:pPr>
      <w:r>
        <w:rPr>
          <w:rFonts w:ascii="Times New Roman" w:cs="Times New Roman" w:eastAsia="Times New Roman" w:hAnsi="Times New Roman"/>
          <w:sz w:val="20"/>
          <w:szCs w:val="20"/>
          <w:color w:val="auto"/>
        </w:rPr>
        <w:t>Committee to receive the Actual Award. Payment of Actual Awards under the Plan will be made as soon as practicable after such approval or satisfaction of such conditions, as applicable. However, Actual Awards are not earned until no longer subject to recovery pursuant to the Clawback Provisions described in Section 5(f) below, as applicable. As a result, to the extent the Clawback Provisions apply, the Company pays Actual Awards in advance of the Participant’s earning of the Actual Award, and such advances are subject to recovery pursuant to the Clawback Provisions.</w:t>
      </w:r>
    </w:p>
    <w:p>
      <w:pPr>
        <w:spacing w:after="0" w:line="184" w:lineRule="exact"/>
        <w:rPr>
          <w:sz w:val="20"/>
          <w:szCs w:val="20"/>
          <w:color w:val="auto"/>
        </w:rPr>
      </w:pPr>
    </w:p>
    <w:p>
      <w:pPr>
        <w:jc w:val="both"/>
        <w:ind w:firstLine="1505"/>
        <w:spacing w:after="0" w:line="254" w:lineRule="auto"/>
        <w:tabs>
          <w:tab w:leader="none" w:pos="1953"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of Payment</w:t>
      </w:r>
      <w:r>
        <w:rPr>
          <w:rFonts w:ascii="Times New Roman" w:cs="Times New Roman" w:eastAsia="Times New Roman" w:hAnsi="Times New Roman"/>
          <w:sz w:val="20"/>
          <w:szCs w:val="20"/>
          <w:color w:val="auto"/>
        </w:rPr>
        <w:t>. All Actual Awards will be paid in the form of cash or, if approved by the Board or the Committee, an equity award under the Company’s 2021 Equity Incentive Plan (or any successor thereto), as determined by the Committee in its sole discretion. The terms and conditions of any such equity award will be determined by the Committee in its sole discretion.</w:t>
      </w:r>
    </w:p>
    <w:p>
      <w:pPr>
        <w:spacing w:after="0" w:line="174"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Administration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53"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 is the Administrator</w:t>
      </w:r>
      <w:r>
        <w:rPr>
          <w:rFonts w:ascii="Times New Roman" w:cs="Times New Roman" w:eastAsia="Times New Roman" w:hAnsi="Times New Roman"/>
          <w:sz w:val="20"/>
          <w:szCs w:val="20"/>
          <w:color w:val="auto"/>
        </w:rPr>
        <w:t>. The Plan will be administered by the Committee. The Committee will consist of not less than two (2) members of the Board. The members of the Committee will be appointed from time to time by, and serve at the pleasure of, the Board.</w:t>
      </w:r>
    </w:p>
    <w:p>
      <w:pPr>
        <w:spacing w:after="0" w:line="17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53"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 Authority</w:t>
      </w:r>
      <w:r>
        <w:rPr>
          <w:rFonts w:ascii="Times New Roman" w:cs="Times New Roman" w:eastAsia="Times New Roman" w:hAnsi="Times New Roman"/>
          <w:sz w:val="20"/>
          <w:szCs w:val="20"/>
          <w:color w:val="auto"/>
        </w:rPr>
        <w:t>. It will be the duty of the Committee to administer the Plan in accordance with the Plan’s provisions. The Committee will have all powers and discretion necessary or appropriate to administer the Plan and to control its operation, including, but not limited to, the power to (i) determine which Employees will be granted awards, (ii) prescribe the terms and conditions of awards, (iii) interpret the Plan and the awards, (iv) adopt such procedures and sub-plans as are necessary or appropriate to permit participation in the Plan by Employees who are foreign nationals or employed outside of the United States, (v) adopt rules for the administration, interpretation and application of the Plan as are consistent therewith, (vi) interpret, amend or revoke any such rules, and (vii) reconcile any inconsistency, correct any defect and/or supply any omission in the Plan or any instrument or agreement relating to, or award granted under, the Plan.</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53"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Decisions Binding</w:t>
      </w:r>
      <w:r>
        <w:rPr>
          <w:rFonts w:ascii="Times New Roman" w:cs="Times New Roman" w:eastAsia="Times New Roman" w:hAnsi="Times New Roman"/>
          <w:sz w:val="20"/>
          <w:szCs w:val="20"/>
          <w:color w:val="auto"/>
        </w:rPr>
        <w:t>. All determinations and decisions made by the Committee, the Board, and any delegate of the Committee pursuant to the provisions of the Plan will be final, conclusive, and binding on all persons, and will be given the maximum deference permitted by law.</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953"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Delegation by Committee</w:t>
      </w:r>
      <w:r>
        <w:rPr>
          <w:rFonts w:ascii="Times New Roman" w:cs="Times New Roman" w:eastAsia="Times New Roman" w:hAnsi="Times New Roman"/>
          <w:sz w:val="20"/>
          <w:szCs w:val="20"/>
          <w:color w:val="auto"/>
        </w:rPr>
        <w:t>. The Committee, in its sole discretion and on such terms and conditions as it may provide, may delegate all or part of its authority and powers under the Plan to one or more directors, officers or employees of the Company.</w:t>
      </w:r>
    </w:p>
    <w:p>
      <w:pPr>
        <w:spacing w:after="0" w:line="159" w:lineRule="exact"/>
        <w:rPr>
          <w:rFonts w:ascii="Times New Roman" w:cs="Times New Roman" w:eastAsia="Times New Roman" w:hAnsi="Times New Roman"/>
          <w:sz w:val="20"/>
          <w:szCs w:val="20"/>
          <w:color w:val="auto"/>
        </w:rPr>
      </w:pPr>
    </w:p>
    <w:p>
      <w:pPr>
        <w:jc w:val="both"/>
        <w:ind w:firstLine="1505"/>
        <w:spacing w:after="0" w:line="257" w:lineRule="auto"/>
        <w:tabs>
          <w:tab w:leader="none" w:pos="1953"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Each person who is or will have been a member of the Committee will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(ii)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both"/>
        <w:ind w:firstLine="1505"/>
        <w:spacing w:after="0" w:line="243" w:lineRule="auto"/>
        <w:tabs>
          <w:tab w:leader="none" w:pos="1953"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Clawback/Recovery</w:t>
      </w:r>
      <w:r>
        <w:rPr>
          <w:rFonts w:ascii="Times New Roman" w:cs="Times New Roman" w:eastAsia="Times New Roman" w:hAnsi="Times New Roman"/>
          <w:sz w:val="20"/>
          <w:szCs w:val="20"/>
          <w:color w:val="auto"/>
        </w:rPr>
        <w:t>. All Actual Awards under the Plan will be subject to recoupment in accordance with the following provisions, as applicable and subject to applicable law (the “</w:t>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(i) any clawback policy that the Company (x) is required to adopt pursuant to the listing standards of any national securities exchange or association on which the Company’s securities are listed or as is otherwise required by the Dodd-Frank Wall Street Reform and Consumer Protection Act or other applicable law and (y) otherwise voluntarily adopts from time to time, to the extent applicable and permissible under applicable law; and (ii) such other clawback, recovery or recoupment provisions set forth in an individual written agreement between the Company and the Participant. No recovery of compensation under such a Clawback Provision will be an event giving rise to a right to resign for “good reason” or “constructive termination” (or similar term) under any agreement with the Company.</w:t>
      </w:r>
    </w:p>
    <w:p>
      <w:pPr>
        <w:spacing w:after="0" w:line="189"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53"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or an Affiliate may withhold all applicable taxes from any Actual Award, including any federal, state, local and foreign taxes. Payments will be made, and applicable taxes will be withheld, based on the location in which a Participant provided services during the Performance Period. If a Participant provided services in multiple locations during the Performance Period, any Actual Award and associated taxes will be apportioned to each such location based on the number of days of service in each such location as compared to the total calendar days in the Performance Period.</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53"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Effect on Employment or Service</w:t>
      </w:r>
      <w:r>
        <w:rPr>
          <w:rFonts w:ascii="Times New Roman" w:cs="Times New Roman" w:eastAsia="Times New Roman" w:hAnsi="Times New Roman"/>
          <w:sz w:val="20"/>
          <w:szCs w:val="20"/>
          <w:color w:val="auto"/>
        </w:rPr>
        <w:t>. Nothing in the Plan will interfere with or limit in any way the right of the Company to terminate any Participant’s employment or service at any time, with or without cause. Except as otherwise required by law, employment with the Company and its Affiliates is on an at-will basis only. The Company expressly reserves the right, which may be exercised at any time and without regard to when during a Performance Period such exercise occurs, to terminate any individual’s employment with or without cause, and to treat him or her without regard to the effect that such treatment might have upon him or her as a Participant.</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1953"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 No Employee will have the right to be selected to receive an award under this Plan, or, having been so selected, to be selected to receive a future award.</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53"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All obligations of the Company under the Plan, with respect to awards granted hereunder, will be binding on any successor to the Company, whether the existence of such successor is the result of a direct or indirect purchase, merger, consolidation, or otherwise, of all or substantially all of the business or assets of the Company.</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53"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Awards</w:t>
      </w:r>
      <w:r>
        <w:rPr>
          <w:rFonts w:ascii="Times New Roman" w:cs="Times New Roman" w:eastAsia="Times New Roman" w:hAnsi="Times New Roman"/>
          <w:sz w:val="20"/>
          <w:szCs w:val="20"/>
          <w:color w:val="auto"/>
        </w:rPr>
        <w:t>. No award granted under the Plan may be sold, transferred, pledged, assigned, or otherwise alienated or hypothecated, other than by will or by the laws of descent and distribution. All rights with respect to an award granted to a Participant will be available during his or her lifetime only to the Participant.</w:t>
      </w:r>
    </w:p>
    <w:p>
      <w:pPr>
        <w:spacing w:after="0" w:line="174"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Termination, and Duration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53"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Suspension, or Termination</w:t>
      </w:r>
      <w:r>
        <w:rPr>
          <w:rFonts w:ascii="Times New Roman" w:cs="Times New Roman" w:eastAsia="Times New Roman" w:hAnsi="Times New Roman"/>
          <w:sz w:val="20"/>
          <w:szCs w:val="20"/>
          <w:color w:val="auto"/>
        </w:rPr>
        <w:t>. The Committee, in its sole discretion, may amend or terminate the Plan, or any part thereof, at any time and for any reason. The amendment, suspension or termination of the Plan will not, without the consent of the Participant, alter or impair any rights or obligations under any Actual Award theretofore earned by such Participant. No award may be granted during any period of suspension or after termination of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firstLine="1505"/>
        <w:spacing w:after="0" w:line="268" w:lineRule="auto"/>
        <w:tabs>
          <w:tab w:leader="none" w:pos="1953"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of Plan</w:t>
      </w:r>
      <w:r>
        <w:rPr>
          <w:rFonts w:ascii="Times New Roman" w:cs="Times New Roman" w:eastAsia="Times New Roman" w:hAnsi="Times New Roman"/>
          <w:sz w:val="20"/>
          <w:szCs w:val="20"/>
          <w:color w:val="auto"/>
        </w:rPr>
        <w:t>. The Plan will commence on the date specified herein, and subject to Section 7(a) (regarding the Committee’s right to amend or terminate the Plan), will remain in effect until terminated.</w:t>
      </w:r>
    </w:p>
    <w:p>
      <w:pPr>
        <w:spacing w:after="0" w:line="160"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Construction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953"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Gender and Number</w:t>
      </w:r>
      <w:r>
        <w:rPr>
          <w:rFonts w:ascii="Times New Roman" w:cs="Times New Roman" w:eastAsia="Times New Roman" w:hAnsi="Times New Roman"/>
          <w:sz w:val="20"/>
          <w:szCs w:val="20"/>
          <w:color w:val="auto"/>
        </w:rPr>
        <w:t>. Except where otherwise indicated by the context, any masculine term used herein also will include the feminine; the plural will include the singular and the singular will include the plural.</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53"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provision of the Plan will be held illegal or invalid for any reason, the illegality or invalidity will not affect the remaining parts of the Plan, and the Plan will be construed and enforced as if the illegal or invalid provision had not been included.</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953"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The granting of awards under the Plan will be subject to all applicable laws, rules and regulations, and to such approvals by any governmental agencies or national securities exchanges as may be required.</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953"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will be construed in accordance with and governed by the laws of the State of Delaware, but without regard to its conflict of law provisions.</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953"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Bonus Plan</w:t>
      </w:r>
      <w:r>
        <w:rPr>
          <w:rFonts w:ascii="Times New Roman" w:cs="Times New Roman" w:eastAsia="Times New Roman" w:hAnsi="Times New Roman"/>
          <w:sz w:val="20"/>
          <w:szCs w:val="20"/>
          <w:color w:val="auto"/>
        </w:rPr>
        <w:t>. The Plan is intended to be a “bonus program” within the meaning of United States Department of Labor Regulation Section 2510.3-2(c) and will be construed and administered in accordance with such intention.</w:t>
      </w:r>
    </w:p>
    <w:p>
      <w:pPr>
        <w:spacing w:after="0" w:line="159" w:lineRule="exact"/>
        <w:rPr>
          <w:rFonts w:ascii="Times New Roman" w:cs="Times New Roman" w:eastAsia="Times New Roman" w:hAnsi="Times New Roman"/>
          <w:sz w:val="20"/>
          <w:szCs w:val="20"/>
          <w:color w:val="auto"/>
        </w:rPr>
      </w:pPr>
    </w:p>
    <w:p>
      <w:pPr>
        <w:ind w:left="1960" w:hanging="455"/>
        <w:spacing w:after="0"/>
        <w:tabs>
          <w:tab w:leader="none" w:pos="19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Captions are provided herein for convenience only and will not serve as a basis for interpretation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of the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99.1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Definitive Healthcare Reports Financial Results for Fourth Quarter and Full Fiscal Year 2022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Fourth quarter revenue grew 31% year-over-year to $60.6 million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Full year 2022 revenue grew 34% to $222.7 million</w:t>
      </w:r>
    </w:p>
    <w:p>
      <w:pPr>
        <w:spacing w:after="0" w:line="92"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b w:val="1"/>
          <w:bCs w:val="1"/>
          <w:color w:val="auto"/>
        </w:rPr>
        <w:t xml:space="preserve">Framingham, MA (February 23, 2023) – </w:t>
      </w:r>
      <w:r>
        <w:rPr>
          <w:rFonts w:ascii="Arial" w:cs="Arial" w:eastAsia="Arial" w:hAnsi="Arial"/>
          <w:sz w:val="20"/>
          <w:szCs w:val="20"/>
          <w:color w:val="auto"/>
        </w:rPr>
        <w:t>Definitive Healthcare Corp. (“Definitive Healthcare" or the "Company") (Nasdaq: DH),</w:t>
      </w:r>
      <w:r>
        <w:rPr>
          <w:rFonts w:ascii="Arial" w:cs="Arial" w:eastAsia="Arial" w:hAnsi="Arial"/>
          <w:sz w:val="20"/>
          <w:szCs w:val="20"/>
          <w:b w:val="1"/>
          <w:bCs w:val="1"/>
          <w:color w:val="auto"/>
        </w:rPr>
        <w:t xml:space="preserve"> </w:t>
      </w:r>
      <w:r>
        <w:rPr>
          <w:rFonts w:ascii="Arial" w:cs="Arial" w:eastAsia="Arial" w:hAnsi="Arial"/>
          <w:sz w:val="20"/>
          <w:szCs w:val="20"/>
          <w:color w:val="auto"/>
        </w:rPr>
        <w:t>an industry leader in healthcare commercial intelligence, today announced financial results for the quarter and full year ended December 31, 2022.</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2022 Financial Highlights:</w:t>
      </w:r>
    </w:p>
    <w:p>
      <w:pPr>
        <w:spacing w:after="0" w:line="9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was $60.6 million, an increase of 31% from $46.3 million in Q4 2021.</w:t>
      </w:r>
    </w:p>
    <w:p>
      <w:pPr>
        <w:spacing w:after="0" w:line="18" w:lineRule="exact"/>
        <w:rPr>
          <w:rFonts w:ascii="Times New Roman" w:cs="Times New Roman" w:eastAsia="Times New Roman" w:hAnsi="Times New Roman"/>
          <w:sz w:val="20"/>
          <w:szCs w:val="20"/>
          <w:color w:val="auto"/>
        </w:rPr>
      </w:pPr>
    </w:p>
    <w:p>
      <w:pPr>
        <w:ind w:left="1020" w:hanging="503"/>
        <w:spacing w:after="0" w:line="224"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GAAP Net Income (loss) </w:t>
      </w:r>
      <w:r>
        <w:rPr>
          <w:rFonts w:ascii="Arial" w:cs="Arial" w:eastAsia="Arial" w:hAnsi="Arial"/>
          <w:sz w:val="20"/>
          <w:szCs w:val="20"/>
          <w:color w:val="auto"/>
        </w:rPr>
        <w:t>was $6.7 million, or 11% of revenue, compared to $(14.8) million, or 32% of revenue in Q4</w:t>
      </w:r>
      <w:r>
        <w:rPr>
          <w:rFonts w:ascii="Arial" w:cs="Arial" w:eastAsia="Arial" w:hAnsi="Arial"/>
          <w:sz w:val="20"/>
          <w:szCs w:val="20"/>
          <w:b w:val="1"/>
          <w:bCs w:val="1"/>
          <w:color w:val="auto"/>
        </w:rPr>
        <w:t xml:space="preserve"> </w:t>
      </w:r>
      <w:r>
        <w:rPr>
          <w:rFonts w:ascii="Arial" w:cs="Arial" w:eastAsia="Arial" w:hAnsi="Arial"/>
          <w:sz w:val="20"/>
          <w:szCs w:val="20"/>
          <w:color w:val="auto"/>
        </w:rPr>
        <w:t>2021.</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was $10.5 million, compared to $6.6 million in Q4 2021.</w:t>
      </w:r>
    </w:p>
    <w:p>
      <w:pPr>
        <w:ind w:left="1020" w:hanging="503"/>
        <w:spacing w:after="0"/>
        <w:tabs>
          <w:tab w:leader="none" w:pos="1020" w:val="left"/>
        </w:tabs>
        <w:numPr>
          <w:ilvl w:val="0"/>
          <w:numId w:val="14"/>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Adjusted EBITDA </w:t>
      </w:r>
      <w:r>
        <w:rPr>
          <w:rFonts w:ascii="Arial" w:cs="Arial" w:eastAsia="Arial" w:hAnsi="Arial"/>
          <w:sz w:val="19"/>
          <w:szCs w:val="19"/>
          <w:color w:val="auto"/>
        </w:rPr>
        <w:t>was $17.0 million, or 28% of revenue, compared to $13.1 million, or 28% of revenue in Q4 2021.</w:t>
      </w:r>
    </w:p>
    <w:p>
      <w:pPr>
        <w:spacing w:after="0" w:line="10"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flow from operations </w:t>
      </w:r>
      <w:r>
        <w:rPr>
          <w:rFonts w:ascii="Arial" w:cs="Arial" w:eastAsia="Arial" w:hAnsi="Arial"/>
          <w:sz w:val="20"/>
          <w:szCs w:val="20"/>
          <w:color w:val="auto"/>
        </w:rPr>
        <w:t>was $(4.2) million in the quarter or (7)% of revenue.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2022 Financial Highlights:</w:t>
      </w:r>
    </w:p>
    <w:p>
      <w:pPr>
        <w:spacing w:after="0" w:line="9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was $222.7 million for the year, an increase of 34% from $166.2 million for the full year 2021.</w:t>
      </w:r>
    </w:p>
    <w:p>
      <w:pPr>
        <w:spacing w:after="0" w:line="18" w:lineRule="exact"/>
        <w:rPr>
          <w:rFonts w:ascii="Times New Roman" w:cs="Times New Roman" w:eastAsia="Times New Roman" w:hAnsi="Times New Roman"/>
          <w:sz w:val="20"/>
          <w:szCs w:val="20"/>
          <w:color w:val="auto"/>
        </w:rPr>
      </w:pPr>
    </w:p>
    <w:p>
      <w:pPr>
        <w:ind w:left="1020" w:right="20" w:hanging="503"/>
        <w:spacing w:after="0" w:line="224" w:lineRule="auto"/>
        <w:tabs>
          <w:tab w:leader="none" w:pos="102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GAAP Net loss </w:t>
      </w:r>
      <w:r>
        <w:rPr>
          <w:rFonts w:ascii="Arial" w:cs="Arial" w:eastAsia="Arial" w:hAnsi="Arial"/>
          <w:sz w:val="20"/>
          <w:szCs w:val="20"/>
          <w:color w:val="auto"/>
        </w:rPr>
        <w:t>was $(22.3) million, or 10% of revenue, compared to $(61.3) million, or 37% of revenue for the full</w:t>
      </w:r>
      <w:r>
        <w:rPr>
          <w:rFonts w:ascii="Arial" w:cs="Arial" w:eastAsia="Arial" w:hAnsi="Arial"/>
          <w:sz w:val="20"/>
          <w:szCs w:val="20"/>
          <w:b w:val="1"/>
          <w:bCs w:val="1"/>
          <w:color w:val="auto"/>
        </w:rPr>
        <w:t xml:space="preserve"> </w:t>
      </w:r>
      <w:r>
        <w:rPr>
          <w:rFonts w:ascii="Arial" w:cs="Arial" w:eastAsia="Arial" w:hAnsi="Arial"/>
          <w:sz w:val="20"/>
          <w:szCs w:val="20"/>
          <w:color w:val="auto"/>
        </w:rPr>
        <w:t>year 2021.</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was $35.9 million, compared to $13.4 million for the full year 2021.</w:t>
      </w:r>
    </w:p>
    <w:p>
      <w:pPr>
        <w:ind w:left="1020" w:right="20" w:hanging="503"/>
        <w:spacing w:after="0" w:line="224" w:lineRule="auto"/>
        <w:tabs>
          <w:tab w:leader="none" w:pos="102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was $63.7 million, or 29% of revenue, compared to $56 million, or 34% of revenue for the full</w:t>
      </w:r>
      <w:r>
        <w:rPr>
          <w:rFonts w:ascii="Arial" w:cs="Arial" w:eastAsia="Arial" w:hAnsi="Arial"/>
          <w:sz w:val="20"/>
          <w:szCs w:val="20"/>
          <w:b w:val="1"/>
          <w:bCs w:val="1"/>
          <w:color w:val="auto"/>
        </w:rPr>
        <w:t xml:space="preserve"> </w:t>
      </w:r>
      <w:r>
        <w:rPr>
          <w:rFonts w:ascii="Arial" w:cs="Arial" w:eastAsia="Arial" w:hAnsi="Arial"/>
          <w:sz w:val="20"/>
          <w:szCs w:val="20"/>
          <w:color w:val="auto"/>
        </w:rPr>
        <w:t>year 2021.</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flow from operations </w:t>
      </w:r>
      <w:r>
        <w:rPr>
          <w:rFonts w:ascii="Arial" w:cs="Arial" w:eastAsia="Arial" w:hAnsi="Arial"/>
          <w:sz w:val="20"/>
          <w:szCs w:val="20"/>
          <w:color w:val="auto"/>
        </w:rPr>
        <w:t>was $35.6 million for the full year 2022, or 16% of revenue.</w:t>
      </w:r>
    </w:p>
    <w:p>
      <w:pPr>
        <w:ind w:left="1020" w:hanging="503"/>
        <w:spacing w:after="0"/>
        <w:tabs>
          <w:tab w:leader="none" w:pos="102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Unlevered free cash flow </w:t>
      </w:r>
      <w:r>
        <w:rPr>
          <w:rFonts w:ascii="Arial" w:cs="Arial" w:eastAsia="Arial" w:hAnsi="Arial"/>
          <w:sz w:val="20"/>
          <w:szCs w:val="20"/>
          <w:color w:val="auto"/>
        </w:rPr>
        <w:t>was $54.2 million for the full year 2022, or 24% of revenue.</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"Definitive Healthcare once again delivered in 2022 with a 34% year-over-year revenue growth rate and a 29% adjusted EBITDA margin – representing a Rule of 63 Performance.” said Robert Musslewhite, CEO of Definitive Healthcare. “This unique combination of high growth and profitability allows us to continue to effectively grow and scale the business, while maintaining a clear focus on maximizing our long-term success and value creation for customers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Recent Business and Operating Highlights: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 Wins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In the fourth quarter, Definitive Healthcare had multiple key customer wins, including:</w:t>
      </w:r>
    </w:p>
    <w:p>
      <w:pPr>
        <w:spacing w:after="0" w:line="94" w:lineRule="exact"/>
        <w:rPr>
          <w:sz w:val="20"/>
          <w:szCs w:val="20"/>
          <w:color w:val="auto"/>
        </w:rPr>
      </w:pPr>
    </w:p>
    <w:p>
      <w:pPr>
        <w:jc w:val="both"/>
        <w:ind w:left="1020" w:hanging="503"/>
        <w:spacing w:after="0" w:line="241" w:lineRule="auto"/>
        <w:tabs>
          <w:tab w:leader="none" w:pos="102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color w:val="auto"/>
        </w:rPr>
        <w:t>One of the world’s largest and most renowned cancer treatment and research institutions purchased a multi-year enterprise subscription to HospitalView and Atlas All-Payor Claims to inform their strategy for partnering with leading hospitals across the country.</w:t>
      </w:r>
    </w:p>
    <w:p>
      <w:pPr>
        <w:spacing w:after="0" w:line="170" w:lineRule="exact"/>
        <w:rPr>
          <w:rFonts w:ascii="Times New Roman" w:cs="Times New Roman" w:eastAsia="Times New Roman" w:hAnsi="Times New Roman"/>
          <w:sz w:val="20"/>
          <w:szCs w:val="20"/>
          <w:color w:val="auto"/>
        </w:rPr>
      </w:pPr>
    </w:p>
    <w:p>
      <w:pPr>
        <w:jc w:val="both"/>
        <w:ind w:left="1020" w:hanging="503"/>
        <w:spacing w:after="0" w:line="241" w:lineRule="auto"/>
        <w:tabs>
          <w:tab w:leader="none" w:pos="102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color w:val="auto"/>
        </w:rPr>
        <w:t>A large biopharmaceutical company focused on the discovery, development, and commercialization of RNA interference therapeutics purchased a multi-year enterprise subscription to our HospitalView and Atlas All-Payor Claims to design and execute a strategy for selling into Integrated Delivery Networks.</w:t>
      </w:r>
    </w:p>
    <w:p>
      <w:pPr>
        <w:spacing w:after="0" w:line="170" w:lineRule="exact"/>
        <w:rPr>
          <w:rFonts w:ascii="Times New Roman" w:cs="Times New Roman" w:eastAsia="Times New Roman" w:hAnsi="Times New Roman"/>
          <w:sz w:val="20"/>
          <w:szCs w:val="20"/>
          <w:color w:val="auto"/>
        </w:rPr>
      </w:pPr>
    </w:p>
    <w:p>
      <w:pPr>
        <w:jc w:val="both"/>
        <w:ind w:left="1020" w:hanging="503"/>
        <w:spacing w:after="0" w:line="234" w:lineRule="auto"/>
        <w:tabs>
          <w:tab w:leader="none" w:pos="102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color w:val="auto"/>
        </w:rPr>
        <w:t>One of the nation’s largest health insurance and service companies significantly expanded its relationship with Definitive Healthcare. This client originally used PhysicianView and PhysicanGroupView products to map physicians to provider organizations. In Q4, the contract expanded to cover their entire organization and added multiple new products. The organization also purchased integration services to connect Definitive Healthcare data into their internal data environments.</w:t>
      </w:r>
    </w:p>
    <w:p>
      <w:pPr>
        <w:spacing w:after="0" w:line="174" w:lineRule="exact"/>
        <w:rPr>
          <w:rFonts w:ascii="Times New Roman" w:cs="Times New Roman" w:eastAsia="Times New Roman" w:hAnsi="Times New Roman"/>
          <w:sz w:val="20"/>
          <w:szCs w:val="20"/>
          <w:color w:val="auto"/>
        </w:rPr>
      </w:pPr>
    </w:p>
    <w:p>
      <w:pPr>
        <w:jc w:val="both"/>
        <w:ind w:left="1020" w:hanging="503"/>
        <w:spacing w:after="0" w:line="241" w:lineRule="auto"/>
        <w:tabs>
          <w:tab w:leader="none" w:pos="102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color w:val="auto"/>
        </w:rPr>
        <w:t>The world’s largest private global pharmaceutical company signed a contract for a six-figure expansion of Passport Promotional Analytics into two new therapy areas, and as a result, the combined Definitive Healthcare ARR across all product lines at this company is now more than $1M.</w:t>
      </w:r>
    </w:p>
    <w:p>
      <w:pPr>
        <w:spacing w:after="0" w:line="170"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“The Definitive Healthcare platform and our Atlas Dataset are increasingly seen as must-haves for any business looking to efficiently and effectively sell into the complex, fragmented $4 trillion U.S. healthcare market,” noted Robert Musslewhite. “These wins represent not only our ability to continue to grow the number of customers we serve, but also our ability to expand these relationships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Innovation</w:t>
      </w:r>
    </w:p>
    <w:p>
      <w:pPr>
        <w:spacing w:after="0" w:line="96"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On February 2, 2023, Definitive Healthcare introduced the Atlas Dataset, which provides a longitudinal, comprehensive, and current picture of the healthcare market.</w:t>
      </w:r>
    </w:p>
    <w:p>
      <w:pPr>
        <w:spacing w:after="0" w:line="263" w:lineRule="exact"/>
        <w:rPr>
          <w:sz w:val="20"/>
          <w:szCs w:val="20"/>
          <w:color w:val="auto"/>
        </w:rPr>
      </w:pPr>
    </w:p>
    <w:p>
      <w:pPr>
        <w:ind w:right="1220"/>
        <w:spacing w:after="0" w:line="257" w:lineRule="auto"/>
        <w:rPr>
          <w:sz w:val="20"/>
          <w:szCs w:val="20"/>
          <w:color w:val="auto"/>
        </w:rPr>
      </w:pPr>
      <w:r>
        <w:rPr>
          <w:rFonts w:ascii="Arial" w:cs="Arial" w:eastAsia="Arial" w:hAnsi="Arial"/>
          <w:sz w:val="20"/>
          <w:szCs w:val="20"/>
          <w:color w:val="auto"/>
        </w:rPr>
        <w:t>Combining multiple datasets on more than 15 million healthcare experts and professionals and 300,000 healthcare organizations, the Atlas Dataset has multiple components, including:</w:t>
      </w:r>
    </w:p>
    <w:p>
      <w:pPr>
        <w:spacing w:after="0" w:line="47" w:lineRule="exact"/>
        <w:rPr>
          <w:sz w:val="20"/>
          <w:szCs w:val="20"/>
          <w:color w:val="auto"/>
        </w:rPr>
      </w:pPr>
    </w:p>
    <w:p>
      <w:pPr>
        <w:ind w:left="1020" w:right="100" w:hanging="503"/>
        <w:spacing w:after="0" w:line="241" w:lineRule="auto"/>
        <w:tabs>
          <w:tab w:leader="none" w:pos="102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20"/>
          <w:szCs w:val="20"/>
          <w:color w:val="auto"/>
        </w:rPr>
        <w:t>Atlas Reference &amp; Affiliation provides clients with unique visibility into the operations of and connections between healthcare providers and healthcare organizations. This dataset spans more than 30 separate reference categories, including executive contact information, physical business address, organizational hierarchy and more.</w:t>
      </w:r>
    </w:p>
    <w:p>
      <w:pPr>
        <w:spacing w:after="0" w:line="62" w:lineRule="exact"/>
        <w:rPr>
          <w:rFonts w:ascii="Times New Roman" w:cs="Times New Roman" w:eastAsia="Times New Roman" w:hAnsi="Times New Roman"/>
          <w:sz w:val="20"/>
          <w:szCs w:val="20"/>
          <w:color w:val="auto"/>
        </w:rPr>
      </w:pPr>
    </w:p>
    <w:p>
      <w:pPr>
        <w:ind w:left="1020" w:right="380" w:hanging="503"/>
        <w:spacing w:after="0" w:line="236" w:lineRule="auto"/>
        <w:tabs>
          <w:tab w:leader="none" w:pos="102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20"/>
          <w:szCs w:val="20"/>
          <w:color w:val="auto"/>
        </w:rPr>
        <w:t>Atlas All-Payor Claims, previously known as the ClaimsMX product, contains billions of de-identified patient-level data points that enables longitudinal analysis of healthcare activity across payors and sites of care. This data includes both hospital and medical claims from commercial, Medicare, Medicaid, federal programs, and other payors.</w:t>
      </w:r>
    </w:p>
    <w:p>
      <w:pPr>
        <w:spacing w:after="0" w:line="66" w:lineRule="exact"/>
        <w:rPr>
          <w:rFonts w:ascii="Times New Roman" w:cs="Times New Roman" w:eastAsia="Times New Roman" w:hAnsi="Times New Roman"/>
          <w:sz w:val="20"/>
          <w:szCs w:val="20"/>
          <w:color w:val="auto"/>
        </w:rPr>
      </w:pPr>
    </w:p>
    <w:p>
      <w:pPr>
        <w:ind w:left="1020" w:right="80" w:hanging="503"/>
        <w:spacing w:after="0" w:line="283" w:lineRule="auto"/>
        <w:tabs>
          <w:tab w:leader="none" w:pos="1020" w:val="left"/>
        </w:tabs>
        <w:numPr>
          <w:ilvl w:val="0"/>
          <w:numId w:val="17"/>
        </w:numPr>
        <w:rPr>
          <w:rFonts w:ascii="Times New Roman" w:cs="Times New Roman" w:eastAsia="Times New Roman" w:hAnsi="Times New Roman"/>
          <w:sz w:val="19"/>
          <w:szCs w:val="19"/>
          <w:color w:val="auto"/>
        </w:rPr>
      </w:pPr>
      <w:r>
        <w:rPr>
          <w:rFonts w:ascii="Arial" w:cs="Arial" w:eastAsia="Arial" w:hAnsi="Arial"/>
          <w:sz w:val="19"/>
          <w:szCs w:val="19"/>
          <w:color w:val="auto"/>
        </w:rPr>
        <w:t>Atlas Prescription Claims, formerly known as the ClaimsRx product, contains billions of all-payor life cycle pharmacy and direct prescription claims so users can understand the volume of claims that are paid, rejected and reversed.</w:t>
      </w:r>
    </w:p>
    <w:p>
      <w:pPr>
        <w:spacing w:after="0" w:line="23" w:lineRule="exact"/>
        <w:rPr>
          <w:rFonts w:ascii="Times New Roman" w:cs="Times New Roman" w:eastAsia="Times New Roman" w:hAnsi="Times New Roman"/>
          <w:sz w:val="19"/>
          <w:szCs w:val="19"/>
          <w:color w:val="auto"/>
        </w:rPr>
      </w:pPr>
    </w:p>
    <w:p>
      <w:pPr>
        <w:ind w:left="1020" w:right="80" w:hanging="503"/>
        <w:spacing w:after="0" w:line="252" w:lineRule="auto"/>
        <w:tabs>
          <w:tab w:leader="none" w:pos="1020" w:val="left"/>
        </w:tabs>
        <w:numPr>
          <w:ilvl w:val="0"/>
          <w:numId w:val="17"/>
        </w:numPr>
        <w:rPr>
          <w:rFonts w:ascii="Times New Roman" w:cs="Times New Roman" w:eastAsia="Times New Roman" w:hAnsi="Times New Roman"/>
          <w:sz w:val="19"/>
          <w:szCs w:val="19"/>
          <w:color w:val="auto"/>
        </w:rPr>
      </w:pPr>
      <w:r>
        <w:rPr>
          <w:rFonts w:ascii="Arial" w:cs="Arial" w:eastAsia="Arial" w:hAnsi="Arial"/>
          <w:sz w:val="19"/>
          <w:szCs w:val="19"/>
          <w:color w:val="auto"/>
        </w:rPr>
        <w:t>Atlas Experts contains information on more than 13 million key opinion leaders, medical science and scientific researchers and academics, and healthcare providers. The dataset also includes millions of data points from publications, clinical trials, meeting presentations, grants, social media, advisory boards, and news outlets so clients can get an accurate understanding of the scientific activity happening for virtually any therapy area or disease state.</w:t>
      </w:r>
    </w:p>
    <w:p>
      <w:pPr>
        <w:spacing w:after="0" w:line="161" w:lineRule="exact"/>
        <w:rPr>
          <w:sz w:val="20"/>
          <w:szCs w:val="20"/>
          <w:color w:val="auto"/>
        </w:rPr>
      </w:pPr>
    </w:p>
    <w:p>
      <w:pPr>
        <w:ind w:left="160" w:right="80"/>
        <w:spacing w:after="0" w:line="241" w:lineRule="auto"/>
        <w:rPr>
          <w:sz w:val="20"/>
          <w:szCs w:val="20"/>
          <w:color w:val="auto"/>
        </w:rPr>
      </w:pPr>
      <w:r>
        <w:rPr>
          <w:rFonts w:ascii="Arial" w:cs="Arial" w:eastAsia="Arial" w:hAnsi="Arial"/>
          <w:sz w:val="20"/>
          <w:szCs w:val="20"/>
          <w:color w:val="auto"/>
        </w:rPr>
        <w:t>As part of the Atlas Dataset launch, Definitive Healthcare refined the methodology used to master payor and patient data, while implementing additional layers of cleansing and data linkage to deliver more detailed and granular reporting, longitudinal and referral analysis, and increased accuracy for patient cohort creation.</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According to an independent third-party survey conducted in November 2022, the Atlas Dataset ranked first or second in each of the top ten use cases for healthcare reference and affiliation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Business Outlook</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Based on information as of February 23, 2023, the Company is issuing the following financial guidance.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2023:</w:t>
      </w:r>
    </w:p>
    <w:p>
      <w:pPr>
        <w:spacing w:after="0" w:line="9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$56.5 – 58.5 million, a median 15% increase year over year.</w:t>
      </w:r>
    </w:p>
    <w:p>
      <w:pPr>
        <w:spacing w:after="0" w:line="18"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$13.5 – 14.5 million.</w:t>
      </w:r>
    </w:p>
    <w:p>
      <w:pPr>
        <w:ind w:left="1020" w:hanging="503"/>
        <w:spacing w:after="0" w:line="238" w:lineRule="auto"/>
        <w:tabs>
          <w:tab w:leader="none" w:pos="102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$15.0 – 16.0 million.</w:t>
      </w:r>
    </w:p>
    <w:p>
      <w:pPr>
        <w:ind w:left="1020" w:hanging="503"/>
        <w:spacing w:after="0" w:line="238" w:lineRule="auto"/>
        <w:tabs>
          <w:tab w:leader="none" w:pos="102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in the range of $6.5 – 7.5 million.</w:t>
      </w:r>
    </w:p>
    <w:p>
      <w:pPr>
        <w:ind w:left="1020" w:hanging="503"/>
        <w:spacing w:after="0" w:line="239" w:lineRule="auto"/>
        <w:tabs>
          <w:tab w:leader="none" w:pos="102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$0.03 – 0.05 per share on approximately 154.5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weighted-average shares outstanding.</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2023:</w:t>
      </w:r>
    </w:p>
    <w:p>
      <w:pPr>
        <w:spacing w:after="0" w:line="9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Revenue </w:t>
      </w:r>
      <w:r>
        <w:rPr>
          <w:rFonts w:ascii="Arial" w:cs="Arial" w:eastAsia="Arial" w:hAnsi="Arial"/>
          <w:sz w:val="19"/>
          <w:szCs w:val="19"/>
          <w:color w:val="auto"/>
        </w:rPr>
        <w:t>is expected to be in the range of $249.0 – 255.0 million, a 14% increase from prior year at the midpoint.</w:t>
      </w:r>
    </w:p>
    <w:p>
      <w:pPr>
        <w:spacing w:after="0" w:line="30" w:lineRule="exact"/>
        <w:rPr>
          <w:rFonts w:ascii="Times New Roman" w:cs="Times New Roman" w:eastAsia="Times New Roman" w:hAnsi="Times New Roman"/>
          <w:sz w:val="19"/>
          <w:szCs w:val="19"/>
          <w:color w:val="auto"/>
        </w:rPr>
      </w:pPr>
    </w:p>
    <w:p>
      <w:pPr>
        <w:ind w:left="1020" w:hanging="503"/>
        <w:spacing w:after="0" w:line="238" w:lineRule="auto"/>
        <w:tabs>
          <w:tab w:leader="none" w:pos="102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$61.5 – 65.5 million.</w:t>
      </w:r>
    </w:p>
    <w:p>
      <w:pPr>
        <w:ind w:left="1020" w:hanging="503"/>
        <w:spacing w:after="0" w:line="238" w:lineRule="auto"/>
        <w:tabs>
          <w:tab w:leader="none" w:pos="102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$67.0 – 71.0 million.</w:t>
      </w:r>
    </w:p>
    <w:p>
      <w:pPr>
        <w:ind w:left="1020" w:hanging="503"/>
        <w:spacing w:after="0" w:line="238" w:lineRule="auto"/>
        <w:tabs>
          <w:tab w:leader="none" w:pos="102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in the range of $30.0 – 34.0 million.</w:t>
      </w:r>
    </w:p>
    <w:p>
      <w:pPr>
        <w:ind w:left="1020" w:right="180" w:hanging="503"/>
        <w:spacing w:after="0" w:line="239" w:lineRule="auto"/>
        <w:tabs>
          <w:tab w:leader="none" w:pos="102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in the range of $0.19 – 0.23 on approximately 155.5</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56" w:right="55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Conference Call Information</w:t>
      </w:r>
    </w:p>
    <w:p>
      <w:pPr>
        <w:spacing w:after="0" w:line="6"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Definitive Healthcare will host a conference call today, February 23, 2023, at 5:00 p.m. (Eastern Time) to discuss the Company's financial results and current business outlook. To access the call, dial (877) 407-3982 (domestic) or (201) 493-6780 (international). The conference ID number is 13735042. Shortly after the conclusion of the call, a replay of this conference call will be available through March 9, 2023 at (844) 512-2921 (domestic) or (412) 317-6671 (international). The replay passcode is 13735042. A live audio webcast of the event will be available on the Definitive Healthcare’s Investor Relations website at https://ir.definitivehc.com/.</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Definitive Healthcare</w:t>
      </w:r>
    </w:p>
    <w:p>
      <w:pPr>
        <w:spacing w:after="0" w:line="6"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definitivehc.com.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20"/>
        <w:spacing w:after="0"/>
        <w:rPr>
          <w:sz w:val="20"/>
          <w:szCs w:val="20"/>
          <w:color w:val="auto"/>
        </w:rPr>
      </w:pPr>
      <w:r>
        <w:rPr>
          <w:rFonts w:ascii="Arial" w:cs="Arial" w:eastAsia="Arial" w:hAnsi="Arial"/>
          <w:sz w:val="19"/>
          <w:szCs w:val="19"/>
          <w:i w:val="1"/>
          <w:iCs w:val="1"/>
          <w:color w:val="auto"/>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market, industry and macroeconomic environment, our business, growth strategies, product development efforts and future expenses, customer growth and statements reflecting our expectations about our ability to execute on our strategic plans, achieve future growth and profitability and achieve our financial goals.</w:t>
      </w:r>
    </w:p>
    <w:p>
      <w:pPr>
        <w:spacing w:after="0" w:line="173" w:lineRule="exact"/>
        <w:rPr>
          <w:sz w:val="20"/>
          <w:szCs w:val="20"/>
          <w:color w:val="auto"/>
        </w:rPr>
      </w:pPr>
    </w:p>
    <w:p>
      <w:pPr>
        <w:spacing w:after="0" w:line="227" w:lineRule="auto"/>
        <w:rPr>
          <w:sz w:val="20"/>
          <w:szCs w:val="20"/>
          <w:color w:val="auto"/>
        </w:rPr>
      </w:pPr>
      <w:r>
        <w:rPr>
          <w:rFonts w:ascii="Arial" w:cs="Arial" w:eastAsia="Arial" w:hAnsi="Arial"/>
          <w:sz w:val="20"/>
          <w:szCs w:val="20"/>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the war between Russia and Ukraine, global geopolitical tension and worsening macroeconomic conditions; actual or potential changes in international, national, regional and local economic, business and financial conditions, including recessions, inflation, rising interest rates, volatility in the capital markets and related market uncertainty; the impact of worsening macroeconomic conditions on our new and existing customers;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 in our business; the loss of our access to our data providers; the failure to respond to advances in healthcare commercial intelligence; an inability to attract new customers and expand subscriptions of current customers; the risk of cyber-attacks and security vulnerabilities; litigation, investigations or other legal, governmental or regulatory actions; and the possibility that our security measures are breached or unauthorized access to data is otherwise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6" w:right="379" w:bottom="1440" w:gutter="0" w:footer="0" w:header="0"/>
        </w:sectPr>
      </w:pPr>
    </w:p>
    <w:bookmarkStart w:id="17" w:name="page18"/>
    <w:bookmarkEnd w:id="17"/>
    <w:p>
      <w:pPr>
        <w:ind w:right="220"/>
        <w:spacing w:after="0" w:line="252" w:lineRule="auto"/>
        <w:rPr>
          <w:sz w:val="20"/>
          <w:szCs w:val="20"/>
          <w:color w:val="auto"/>
        </w:rPr>
      </w:pPr>
      <w:r>
        <w:rPr>
          <w:rFonts w:ascii="Arial" w:cs="Arial" w:eastAsia="Arial" w:hAnsi="Arial"/>
          <w:sz w:val="19"/>
          <w:szCs w:val="19"/>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162"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i w:val="1"/>
          <w:iCs w:val="1"/>
          <w:color w:val="auto"/>
        </w:rPr>
        <w:t>For additional discussion of factors that could impact our operational and financial results, refer to our Annual Report on Form 10-K for the fiscal year ended December 31, 2021 and our subsequent Quarterly Reports on Form 10-Q, Current Reports on Form 8-K and other subsequent SEC filings, which are or will be available on the Investor Relations page of our website at ir.definitivehc.com and on the SEC website at www.sec.gov.</w:t>
      </w:r>
    </w:p>
    <w:p>
      <w:pPr>
        <w:spacing w:after="0" w:line="6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All information in this press release speaks only as of the date on which it is made. We undertake no obligation to publicly update this information, whether as a result of new information, future developments or otherwise, except as may be required by law.</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Website</w:t>
      </w:r>
    </w:p>
    <w:p>
      <w:pPr>
        <w:spacing w:after="0" w:line="6" w:lineRule="exact"/>
        <w:rPr>
          <w:sz w:val="20"/>
          <w:szCs w:val="20"/>
          <w:color w:val="auto"/>
        </w:rPr>
      </w:pPr>
    </w:p>
    <w:p>
      <w:pPr>
        <w:ind w:right="200"/>
        <w:spacing w:after="0" w:line="230" w:lineRule="auto"/>
        <w:rPr>
          <w:sz w:val="20"/>
          <w:szCs w:val="20"/>
          <w:color w:val="auto"/>
        </w:rPr>
      </w:pPr>
      <w:r>
        <w:rPr>
          <w:rFonts w:ascii="Arial" w:cs="Arial" w:eastAsia="Arial" w:hAnsi="Arial"/>
          <w:sz w:val="20"/>
          <w:szCs w:val="20"/>
          <w:i w:val="1"/>
          <w:iCs w:val="1"/>
          <w:color w:val="auto"/>
        </w:rPr>
        <w:t>Definitive Healthcare intends to use its website as a distribution channel of material company information. Financial and other important information regarding the Company is routinely posted on and accessible through the Company’s website at https://www.definitivehc.com/. Accordingly, you should monitor the investor relations portion of our website at https://ir.definitivehc.com/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https://ir.definitivehc.com/.</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i w:val="1"/>
          <w:iCs w:val="1"/>
          <w:color w:val="auto"/>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A reconciliation of GAAP to Non-GAAP results has been provided in the financial statement tables included at the end of this press release.</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i w:val="1"/>
          <w:iCs w:val="1"/>
          <w:color w:val="auto"/>
        </w:rPr>
        <w:t>We refer to Unlevered Free Cash Flow, Adjusted EBITDA, Adjusted EBITDA Margin, Adjusted Gross Profit, Adjusted Gross Margin, Adjusted Operating Income, Adjusted Net Income and Adjusted Net Income Per Diluted Share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We define Unlevered Free Cash Flow as net cash provided from operating activities less purchases of property, equipment and other assets, plus cash interest expense and cash payments related to transaction, integration and restructuring related expenses, earnouts and other non-recurring items. Unlevered Free Cash Flow does not represent residual cash flow available for discretionary expenditures since, among other things, we have mandatory debt service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 w:name="page19"/>
    <w:bookmarkEnd w:id="18"/>
    <w:p>
      <w:pPr>
        <w:jc w:val="both"/>
        <w:spacing w:after="0" w:line="230" w:lineRule="auto"/>
        <w:rPr>
          <w:sz w:val="20"/>
          <w:szCs w:val="20"/>
          <w:color w:val="auto"/>
        </w:rPr>
      </w:pPr>
      <w:r>
        <w:rPr>
          <w:rFonts w:ascii="Arial" w:cs="Arial" w:eastAsia="Arial" w:hAnsi="Arial"/>
          <w:sz w:val="20"/>
          <w:szCs w:val="20"/>
          <w:i w:val="1"/>
          <w:iCs w:val="1"/>
          <w:color w:val="auto"/>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transaction, integration and restructuring expenses and other non-recurring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7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i w:val="1"/>
          <w:iCs w:val="1"/>
          <w:color w:val="auto"/>
        </w:rPr>
        <w:t>We define Adjusted Gross Profit as revenue less cost of revenue (excluding acquisition-related depreciation and amortization and equity compensation costs) and Adjusted Gross Margin means Adjusted Gross Profit as a percentage of revenue. Adjusted Gross Profit differs from gross profit, in that gross profit includes acquisition-related depreciation and amortization expense and equity compensation costs.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quantity of equity-based compensation is included in cost of revenue in accordance with GAAP but is excluded from our Adjusted Gross Profit calculations due to its non-cash nature.</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i w:val="1"/>
          <w:iCs w:val="1"/>
          <w:color w:val="auto"/>
        </w:rPr>
        <w:t>We define Adjusted Operating Income as income from operations plus acquisition related amortization, equity-based compensation, transaction, integration and restructuring expenses and other non-recurring expenses.</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i w:val="1"/>
          <w:iCs w:val="1"/>
          <w:color w:val="auto"/>
        </w:rPr>
        <w:t>We define Adjusted Net Income as Adjusted Operating Income less interest expense, net, other expense, net, excluding TRA liability remeasurement expense and recurring income tax expense including the incremental tax effects of adjustments to arrive at Adjusted Operating Income. We define Adjusted Net Income Per Diluted Share as Adjusted Net Income divided by diluted outstanding shares.</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i w:val="1"/>
          <w:iCs w:val="1"/>
          <w:color w:val="auto"/>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income from operations, net (loss) income, gross profit, earnings per share or any other performance measures derived in accordance with GAAP, or as measures of operating cash flows or liquidity.</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i w:val="1"/>
          <w:iCs w:val="1"/>
          <w:color w:val="auto"/>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stock-based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spacing w:after="0" w:line="172"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i w:val="1"/>
          <w:iCs w:val="1"/>
          <w:color w:val="auto"/>
        </w:rPr>
        <w:t>In evaluating our non-GAAP financial measures, you should be aware that in the future we may incur expenses similar to those eliminated in these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Brian Denyeau</w:t>
      </w:r>
    </w:p>
    <w:p>
      <w:pPr>
        <w:spacing w:after="0" w:line="238" w:lineRule="auto"/>
        <w:rPr>
          <w:sz w:val="20"/>
          <w:szCs w:val="20"/>
          <w:color w:val="auto"/>
        </w:rPr>
      </w:pPr>
      <w:r>
        <w:rPr>
          <w:rFonts w:ascii="Arial" w:cs="Arial" w:eastAsia="Arial" w:hAnsi="Arial"/>
          <w:sz w:val="19"/>
          <w:szCs w:val="19"/>
          <w:color w:val="auto"/>
        </w:rPr>
        <w:t>ICR for Definitive Healthcare</w:t>
      </w:r>
    </w:p>
    <w:p>
      <w:pPr>
        <w:spacing w:after="0" w:line="225" w:lineRule="auto"/>
        <w:rPr>
          <w:sz w:val="20"/>
          <w:szCs w:val="20"/>
          <w:color w:val="auto"/>
        </w:rPr>
      </w:pPr>
      <w:r>
        <w:rPr>
          <w:rFonts w:ascii="Arial" w:cs="Arial" w:eastAsia="Arial" w:hAnsi="Arial"/>
          <w:sz w:val="20"/>
          <w:szCs w:val="20"/>
          <w:u w:val="single" w:color="auto"/>
          <w:color w:val="0000FF"/>
        </w:rPr>
        <w:t>brian.denyeau@icrinc.com</w:t>
      </w:r>
    </w:p>
    <w:p>
      <w:pPr>
        <w:spacing w:after="0"/>
        <w:rPr>
          <w:sz w:val="20"/>
          <w:szCs w:val="20"/>
          <w:color w:val="auto"/>
        </w:rPr>
      </w:pPr>
      <w:r>
        <w:rPr>
          <w:rFonts w:ascii="Arial" w:cs="Arial" w:eastAsia="Arial" w:hAnsi="Arial"/>
          <w:sz w:val="20"/>
          <w:szCs w:val="20"/>
          <w:color w:val="auto"/>
        </w:rPr>
        <w:t>646-277-1251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Danielle Johns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djohns@definitivehc.com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6" w:right="1440"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number of shares and par value;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146,934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387,498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deferred contract costs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413,745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444,232</w:t>
            </w:r>
          </w:p>
        </w:tc>
        <w:tc>
          <w:tcPr>
            <w:tcW w:w="100" w:type="dxa"/>
            <w:vAlign w:val="bottom"/>
          </w:tcPr>
          <w:p>
            <w:pPr>
              <w:spacing w:after="0"/>
              <w:rPr>
                <w:sz w:val="20"/>
                <w:szCs w:val="20"/>
                <w:color w:val="auto"/>
              </w:rPr>
            </w:pPr>
          </w:p>
        </w:tc>
      </w:tr>
      <w:tr>
        <w:trPr>
          <w:trHeight w:val="24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 net of current portion</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1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32,675</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350,722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352,470</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1,323,102</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1,261,444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2,120,993</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2,115,988</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83,611</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132,503</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117,795</w:t>
            </w:r>
          </w:p>
        </w:tc>
        <w:tc>
          <w:tcPr>
            <w:tcW w:w="100" w:type="dxa"/>
            <w:vAlign w:val="bottom"/>
            <w:tcBorders>
              <w:top w:val="single" w:sz="8" w:color="CFF0FC"/>
            </w:tcBorders>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255,765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263,808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156,311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153,529</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75,888</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633,772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612,726</w:t>
            </w:r>
          </w:p>
        </w:tc>
        <w:tc>
          <w:tcPr>
            <w:tcW w:w="100" w:type="dxa"/>
            <w:vAlign w:val="bottom"/>
          </w:tcPr>
          <w:p>
            <w:pPr>
              <w:spacing w:after="0"/>
              <w:rPr>
                <w:sz w:val="20"/>
                <w:szCs w:val="20"/>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Common Stock, par value $0.001, 600,000,000 shares authorized, 105,138,273 and</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97,030,095 shares issued and outstanding at December 31, 2022 and 2021, respectively</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21"/>
                <w:szCs w:val="21"/>
                <w:color w:val="auto"/>
              </w:rPr>
            </w:pPr>
          </w:p>
        </w:tc>
      </w:tr>
      <w:tr>
        <w:trPr>
          <w:trHeight w:val="21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 par value $0.00001, 65,000,000 shares authorized, 50,433,101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48,923,952 shares issued and outstanding, respectively, at December 31, 2022, and 58,244,627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55,488,221 shares issued and outstanding, respectively, at December 31, 2021</w:t>
            </w:r>
          </w:p>
        </w:tc>
        <w:tc>
          <w:tcPr>
            <w:tcW w:w="16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972,077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890,724</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(23,714 )</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(17,677 )</w:t>
            </w: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535,085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630,056</w:t>
            </w:r>
          </w:p>
        </w:tc>
        <w:tc>
          <w:tcPr>
            <w:tcW w:w="100" w:type="dxa"/>
            <w:vAlign w:val="bottom"/>
          </w:tcPr>
          <w:p>
            <w:pPr>
              <w:spacing w:after="0"/>
              <w:rPr>
                <w:sz w:val="20"/>
                <w:szCs w:val="20"/>
                <w:color w:val="auto"/>
              </w:rPr>
            </w:pPr>
          </w:p>
        </w:tc>
      </w:tr>
      <w:tr>
        <w:trPr>
          <w:trHeight w:val="238"/>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1,487,221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1,503,262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2,120,993</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2,115,988</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8"/>
        </w:trPr>
        <w:tc>
          <w:tcPr>
            <w:tcW w:w="7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-6282690</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-6282690</wp:posOffset>
            </wp:positionV>
            <wp:extent cx="6858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-5039995</wp:posOffset>
            </wp:positionV>
            <wp:extent cx="685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-5039995</wp:posOffset>
            </wp:positionV>
            <wp:extent cx="685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-3771265</wp:posOffset>
            </wp:positionV>
            <wp:extent cx="6858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-2527935</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-548005</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 amounts and per share data;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6"/>
                <w:szCs w:val="16"/>
                <w:color w:val="auto"/>
              </w:rPr>
            </w:pPr>
          </w:p>
        </w:tc>
        <w:tc>
          <w:tcPr>
            <w:tcW w:w="2600" w:type="dxa"/>
            <w:vAlign w:val="bottom"/>
            <w:gridSpan w:val="5"/>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60,599</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Cost of revenue exclusive of amortization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50,804</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180,028</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125,465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48,781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221,291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(1,483 )</w:t>
            </w:r>
          </w:p>
        </w:tc>
        <w:tc>
          <w:tcPr>
            <w:tcW w:w="28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(1,915 )</w:t>
            </w:r>
          </w:p>
        </w:tc>
        <w:tc>
          <w:tcPr>
            <w:tcW w:w="200" w:type="dxa"/>
            <w:vAlign w:val="bottom"/>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(8,413 )</w:t>
            </w:r>
          </w:p>
        </w:tc>
        <w:tc>
          <w:tcPr>
            <w:tcW w:w="2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(25,871 )</w:t>
            </w:r>
          </w:p>
        </w:tc>
        <w:tc>
          <w:tcPr>
            <w:tcW w:w="0" w:type="dxa"/>
            <w:vAlign w:val="bottom"/>
          </w:tcPr>
          <w:p>
            <w:pPr>
              <w:spacing w:after="0"/>
              <w:rPr>
                <w:sz w:val="1"/>
                <w:szCs w:val="1"/>
                <w:color w:val="auto"/>
              </w:rPr>
            </w:pPr>
          </w:p>
        </w:tc>
      </w:tr>
      <w:tr>
        <w:trPr>
          <w:trHeight w:val="243"/>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(9,873 )</w:t>
            </w:r>
          </w:p>
        </w:tc>
        <w:tc>
          <w:tcPr>
            <w:tcW w:w="0" w:type="dxa"/>
            <w:vAlign w:val="bottom"/>
          </w:tcPr>
          <w:p>
            <w:pPr>
              <w:spacing w:after="0"/>
              <w:rPr>
                <w:sz w:val="1"/>
                <w:szCs w:val="1"/>
                <w:color w:val="auto"/>
              </w:rPr>
            </w:pPr>
          </w:p>
        </w:tc>
      </w:tr>
      <w:tr>
        <w:trPr>
          <w:trHeight w:val="20"/>
        </w:trPr>
        <w:tc>
          <w:tcPr>
            <w:tcW w:w="5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0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(676 )</w:t>
            </w:r>
          </w:p>
        </w:tc>
        <w:tc>
          <w:tcPr>
            <w:tcW w:w="28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(1,915 )</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(35,601 )</w:t>
            </w:r>
          </w:p>
        </w:tc>
        <w:tc>
          <w:tcPr>
            <w:tcW w:w="0" w:type="dxa"/>
            <w:vAlign w:val="bottom"/>
          </w:tcPr>
          <w:p>
            <w:pPr>
              <w:spacing w:after="0"/>
              <w:rPr>
                <w:sz w:val="1"/>
                <w:szCs w:val="1"/>
                <w:color w:val="auto"/>
              </w:rPr>
            </w:pPr>
          </w:p>
        </w:tc>
      </w:tr>
      <w:tr>
        <w:trPr>
          <w:trHeight w:val="241"/>
        </w:trPr>
        <w:tc>
          <w:tcPr>
            <w:tcW w:w="5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(39,440</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(675 )</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0" w:type="dxa"/>
            <w:vAlign w:val="bottom"/>
          </w:tcPr>
          <w:p>
            <w:pPr>
              <w:spacing w:after="0"/>
              <w:rPr>
                <w:sz w:val="1"/>
                <w:szCs w:val="1"/>
                <w:color w:val="auto"/>
              </w:rPr>
            </w:pPr>
          </w:p>
        </w:tc>
      </w:tr>
      <w:tr>
        <w:trPr>
          <w:trHeight w:val="241"/>
        </w:trPr>
        <w:tc>
          <w:tcPr>
            <w:tcW w:w="54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1"/>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Definitive OpCo prior to the</w:t>
            </w:r>
          </w:p>
        </w:tc>
        <w:tc>
          <w:tcPr>
            <w:tcW w:w="200" w:type="dxa"/>
            <w:vAlign w:val="bottom"/>
          </w:tcPr>
          <w:p>
            <w:pPr>
              <w:spacing w:after="0"/>
              <w:rPr>
                <w:sz w:val="18"/>
                <w:szCs w:val="18"/>
                <w:color w:val="auto"/>
              </w:rPr>
            </w:pPr>
          </w:p>
        </w:tc>
        <w:tc>
          <w:tcPr>
            <w:tcW w:w="130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(33,343 )</w:t>
            </w:r>
          </w:p>
        </w:tc>
        <w:tc>
          <w:tcPr>
            <w:tcW w:w="0" w:type="dxa"/>
            <w:vAlign w:val="bottom"/>
          </w:tcPr>
          <w:p>
            <w:pPr>
              <w:spacing w:after="0"/>
              <w:rPr>
                <w:sz w:val="1"/>
                <w:szCs w:val="1"/>
                <w:color w:val="auto"/>
              </w:rPr>
            </w:pPr>
          </w:p>
        </w:tc>
      </w:tr>
      <w:tr>
        <w:trPr>
          <w:trHeight w:val="126"/>
        </w:trPr>
        <w:tc>
          <w:tcPr>
            <w:tcW w:w="5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Reorganization Transactions</w:t>
            </w:r>
          </w:p>
        </w:tc>
        <w:tc>
          <w:tcPr>
            <w:tcW w:w="2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(3,691 )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(5,065 )</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(16,218 )</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(10,237 )</w:t>
            </w:r>
          </w:p>
        </w:tc>
        <w:tc>
          <w:tcPr>
            <w:tcW w:w="0" w:type="dxa"/>
            <w:vAlign w:val="bottom"/>
          </w:tcPr>
          <w:p>
            <w:pPr>
              <w:spacing w:after="0"/>
              <w:rPr>
                <w:sz w:val="1"/>
                <w:szCs w:val="1"/>
                <w:color w:val="auto"/>
              </w:rPr>
            </w:pPr>
          </w:p>
        </w:tc>
      </w:tr>
      <w:tr>
        <w:trPr>
          <w:trHeight w:val="20"/>
        </w:trPr>
        <w:tc>
          <w:tcPr>
            <w:tcW w:w="5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income (loss) attributable to Definitive Healthcare Corp.</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(9,699 )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(6,037 )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(17,677 )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5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105,082,585</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92,551,423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101,114,105</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91,916,151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154,006,454</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92,551,423</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101,114,105</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91,916,151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Amounts include equity-based compensation expense as follows: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24"/>
                <w:szCs w:val="24"/>
                <w:color w:val="auto"/>
              </w:rPr>
            </w:pPr>
          </w:p>
        </w:tc>
        <w:tc>
          <w:tcPr>
            <w:tcW w:w="2600" w:type="dxa"/>
            <w:vAlign w:val="bottom"/>
            <w:gridSpan w:val="5"/>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5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-6145530</wp:posOffset>
            </wp:positionV>
            <wp:extent cx="7683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-6145530</wp:posOffset>
            </wp:positionV>
            <wp:extent cx="7747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-6145530</wp:posOffset>
            </wp:positionV>
            <wp:extent cx="6858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-6145530</wp:posOffset>
            </wp:positionV>
            <wp:extent cx="6858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-5211445</wp:posOffset>
            </wp:positionV>
            <wp:extent cx="7683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-5211445</wp:posOffset>
            </wp:positionV>
            <wp:extent cx="7747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-5211445</wp:posOffset>
            </wp:positionV>
            <wp:extent cx="685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-5211445</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-4268470</wp:posOffset>
            </wp:positionV>
            <wp:extent cx="7683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-4268470</wp:posOffset>
            </wp:positionV>
            <wp:extent cx="7747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-4268470</wp:posOffset>
            </wp:positionV>
            <wp:extent cx="685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-3179445</wp:posOffset>
            </wp:positionV>
            <wp:extent cx="7683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-3179445</wp:posOffset>
            </wp:positionV>
            <wp:extent cx="7747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-3179445</wp:posOffset>
            </wp:positionV>
            <wp:extent cx="685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-2502535</wp:posOffset>
            </wp:positionV>
            <wp:extent cx="2897505"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7505" cy="18034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-2167890</wp:posOffset>
            </wp:positionV>
            <wp:extent cx="2897505" cy="10026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7505" cy="100266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-385445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-368300</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-385445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-368300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-385445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-368300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ind w:left="45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i w:val="1"/>
          <w:iCs w:val="1"/>
          <w:color w:val="auto"/>
        </w:rPr>
        <w:t>(amounts in thousands;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6"/>
                <w:szCs w:val="16"/>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9"/>
        </w:trPr>
        <w:tc>
          <w:tcPr>
            <w:tcW w:w="5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provided by operating activities: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(14,764 )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(22,255 )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(61,257 )</w:t>
            </w:r>
          </w:p>
        </w:tc>
      </w:tr>
      <w:tr>
        <w:trPr>
          <w:trHeight w:val="212"/>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provided by operating</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tcPr>
          <w:p>
            <w:pPr>
              <w:spacing w:after="0"/>
              <w:rPr>
                <w:sz w:val="19"/>
                <w:szCs w:val="19"/>
                <w:color w:val="auto"/>
              </w:rPr>
            </w:pPr>
          </w:p>
        </w:tc>
      </w:tr>
      <w:tr>
        <w:trPr>
          <w:trHeight w:val="239"/>
        </w:trPr>
        <w:tc>
          <w:tcPr>
            <w:tcW w:w="57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54,711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58,196</w:t>
            </w:r>
          </w:p>
        </w:tc>
        <w:tc>
          <w:tcPr>
            <w:tcW w:w="100" w:type="dxa"/>
            <w:vAlign w:val="bottom"/>
            <w:shd w:val="clear" w:color="auto" w:fill="CFF0FC"/>
          </w:tcPr>
          <w:p>
            <w:pPr>
              <w:spacing w:after="0"/>
              <w:rPr>
                <w:sz w:val="20"/>
                <w:szCs w:val="20"/>
                <w:color w:val="auto"/>
              </w:rPr>
            </w:pPr>
          </w:p>
        </w:tc>
      </w:tr>
      <w:tr>
        <w:trPr>
          <w:trHeight w:val="220"/>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deferred contract costs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00" w:type="dxa"/>
            <w:vAlign w:val="bottom"/>
          </w:tcPr>
          <w:p>
            <w:pPr>
              <w:spacing w:after="0"/>
              <w:rPr>
                <w:sz w:val="19"/>
                <w:szCs w:val="19"/>
                <w:color w:val="auto"/>
              </w:rPr>
            </w:pPr>
          </w:p>
        </w:tc>
      </w:tr>
      <w:tr>
        <w:trPr>
          <w:trHeight w:val="239"/>
        </w:trPr>
        <w:tc>
          <w:tcPr>
            <w:tcW w:w="57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11,424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9,957</w:t>
            </w:r>
          </w:p>
        </w:tc>
        <w:tc>
          <w:tcPr>
            <w:tcW w:w="100" w:type="dxa"/>
            <w:vAlign w:val="bottom"/>
            <w:shd w:val="clear" w:color="auto" w:fill="CFF0FC"/>
          </w:tcPr>
          <w:p>
            <w:pPr>
              <w:spacing w:after="0"/>
              <w:rPr>
                <w:sz w:val="20"/>
                <w:szCs w:val="20"/>
                <w:color w:val="auto"/>
              </w:rPr>
            </w:pPr>
          </w:p>
        </w:tc>
      </w:tr>
      <w:tr>
        <w:trPr>
          <w:trHeight w:val="220"/>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00" w:type="dxa"/>
            <w:vAlign w:val="bottom"/>
          </w:tcPr>
          <w:p>
            <w:pPr>
              <w:spacing w:after="0"/>
              <w:rPr>
                <w:sz w:val="19"/>
                <w:szCs w:val="19"/>
                <w:color w:val="auto"/>
              </w:rPr>
            </w:pPr>
          </w:p>
        </w:tc>
      </w:tr>
      <w:tr>
        <w:trPr>
          <w:trHeight w:val="239"/>
        </w:trPr>
        <w:tc>
          <w:tcPr>
            <w:tcW w:w="57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Provision for doubtful accounts receivable</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shd w:val="clear" w:color="auto" w:fill="CFF0FC"/>
          </w:tcPr>
          <w:p>
            <w:pPr>
              <w:spacing w:after="0"/>
              <w:rPr>
                <w:sz w:val="20"/>
                <w:szCs w:val="20"/>
                <w:color w:val="auto"/>
              </w:rPr>
            </w:pPr>
          </w:p>
        </w:tc>
      </w:tr>
      <w:tr>
        <w:trPr>
          <w:trHeight w:val="220"/>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9"/>
                <w:szCs w:val="19"/>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9,843</w:t>
            </w:r>
          </w:p>
        </w:tc>
        <w:tc>
          <w:tcPr>
            <w:tcW w:w="100" w:type="dxa"/>
            <w:vAlign w:val="bottom"/>
          </w:tcPr>
          <w:p>
            <w:pPr>
              <w:spacing w:after="0"/>
              <w:rPr>
                <w:sz w:val="19"/>
                <w:szCs w:val="19"/>
                <w:color w:val="auto"/>
              </w:rPr>
            </w:pPr>
          </w:p>
        </w:tc>
      </w:tr>
      <w:tr>
        <w:trPr>
          <w:trHeight w:val="239"/>
        </w:trPr>
        <w:tc>
          <w:tcPr>
            <w:tcW w:w="57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Non-cash restructuring charges related to office leases</w:t>
            </w:r>
          </w:p>
        </w:tc>
        <w:tc>
          <w:tcPr>
            <w:tcW w:w="16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Tax receivable agreement remeasurement</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(1,078 )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(9,374 )</w:t>
            </w: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7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Changes in fair value of contingent consideration</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00" w:type="dxa"/>
            <w:vAlign w:val="bottom"/>
            <w:shd w:val="clear" w:color="auto" w:fill="CFF0FC"/>
          </w:tcPr>
          <w:p>
            <w:pPr>
              <w:spacing w:after="0"/>
              <w:rPr>
                <w:sz w:val="20"/>
                <w:szCs w:val="20"/>
                <w:color w:val="auto"/>
              </w:rPr>
            </w:pPr>
          </w:p>
        </w:tc>
      </w:tr>
      <w:tr>
        <w:trPr>
          <w:trHeight w:val="220"/>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(17,087 )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(17,293 )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9"/>
                <w:szCs w:val="19"/>
                <w:color w:val="auto"/>
              </w:rPr>
            </w:pPr>
          </w:p>
        </w:tc>
      </w:tr>
      <w:tr>
        <w:trPr>
          <w:trHeight w:val="239"/>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(25,676 )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(15,905 )</w:t>
            </w:r>
          </w:p>
        </w:tc>
        <w:tc>
          <w:tcPr>
            <w:tcW w:w="26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(13,222 )</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(10,726 )</w:t>
            </w:r>
          </w:p>
        </w:tc>
      </w:tr>
      <w:tr>
        <w:trPr>
          <w:trHeight w:val="239"/>
        </w:trPr>
        <w:tc>
          <w:tcPr>
            <w:tcW w:w="57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(2,681 )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(3,168 )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(127 )</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(3,729 )</w:t>
            </w:r>
          </w:p>
        </w:tc>
      </w:tr>
      <w:tr>
        <w:trPr>
          <w:trHeight w:val="220"/>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contract costs</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(5,182 )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(5,398 )</w:t>
            </w:r>
          </w:p>
        </w:tc>
        <w:tc>
          <w:tcPr>
            <w:tcW w:w="26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(15,252 )</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(14,441 )</w:t>
            </w:r>
          </w:p>
        </w:tc>
      </w:tr>
      <w:tr>
        <w:trPr>
          <w:trHeight w:val="239"/>
        </w:trPr>
        <w:tc>
          <w:tcPr>
            <w:tcW w:w="57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6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(6,400 )</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(3,598 )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9"/>
                <w:szCs w:val="19"/>
                <w:color w:val="auto"/>
              </w:rPr>
            </w:pPr>
          </w:p>
        </w:tc>
      </w:tr>
      <w:tr>
        <w:trPr>
          <w:trHeight w:val="233"/>
        </w:trPr>
        <w:tc>
          <w:tcPr>
            <w:tcW w:w="574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15,714</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12,690</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(4,220 )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35,579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25,212</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property, equipment, and other assets</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(4,871 )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(1,069 )</w:t>
            </w:r>
          </w:p>
        </w:tc>
        <w:tc>
          <w:tcPr>
            <w:tcW w:w="26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(8,326 )</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(6,731 )</w:t>
            </w:r>
          </w:p>
        </w:tc>
      </w:tr>
      <w:tr>
        <w:trPr>
          <w:trHeight w:val="239"/>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(120,695 )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(337,961 )</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153,680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paid for acquisitions and investments, net of cash acquired</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(40,000 )</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(56,296 )</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(40,000 )</w:t>
            </w:r>
          </w:p>
        </w:tc>
      </w:tr>
      <w:tr>
        <w:trPr>
          <w:trHeight w:val="23"/>
        </w:trPr>
        <w:tc>
          <w:tcPr>
            <w:tcW w:w="57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(67,886 )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(41,069 )</w:t>
            </w:r>
          </w:p>
        </w:tc>
        <w:tc>
          <w:tcPr>
            <w:tcW w:w="26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(248,903 )</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(46,731 )</w:t>
            </w:r>
          </w:p>
        </w:tc>
      </w:tr>
      <w:tr>
        <w:trPr>
          <w:trHeight w:val="23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provided by financing activities:</w:t>
            </w: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term loan</w:t>
            </w:r>
          </w:p>
        </w:tc>
        <w:tc>
          <w:tcPr>
            <w:tcW w:w="160" w:type="dxa"/>
            <w:vAlign w:val="bottom"/>
          </w:tcPr>
          <w:p>
            <w:pPr>
              <w:spacing w:after="0"/>
              <w:rPr>
                <w:sz w:val="19"/>
                <w:szCs w:val="19"/>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Pr>
          <w:p>
            <w:pPr>
              <w:spacing w:after="0"/>
              <w:rPr>
                <w:sz w:val="19"/>
                <w:szCs w:val="19"/>
                <w:color w:val="auto"/>
              </w:rPr>
            </w:pPr>
          </w:p>
        </w:tc>
      </w:tr>
      <w:tr>
        <w:trPr>
          <w:trHeight w:val="239"/>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Repayments of term loans and delayed draw term loan</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(1,719 )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(1,718 )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(6,875 )</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(474,460 )</w:t>
            </w:r>
          </w:p>
        </w:tc>
      </w:tr>
      <w:tr>
        <w:trPr>
          <w:trHeight w:val="220"/>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(1,371 )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(4,116 )</w:t>
            </w: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16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(1,100 )</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(1,500 )</w:t>
            </w:r>
          </w:p>
        </w:tc>
      </w:tr>
      <w:tr>
        <w:trPr>
          <w:trHeight w:val="220"/>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60" w:type="dxa"/>
            <w:vAlign w:val="bottom"/>
          </w:tcPr>
          <w:p>
            <w:pPr>
              <w:spacing w:after="0"/>
              <w:rPr>
                <w:sz w:val="19"/>
                <w:szCs w:val="19"/>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(3,511 )</w:t>
            </w:r>
          </w:p>
        </w:tc>
      </w:tr>
      <w:tr>
        <w:trPr>
          <w:trHeight w:val="239"/>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equity offering, net of underwriting discounts</w:t>
            </w:r>
          </w:p>
        </w:tc>
        <w:tc>
          <w:tcPr>
            <w:tcW w:w="16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382,140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834,952</w:t>
            </w:r>
          </w:p>
        </w:tc>
        <w:tc>
          <w:tcPr>
            <w:tcW w:w="100" w:type="dxa"/>
            <w:vAlign w:val="bottom"/>
            <w:shd w:val="clear" w:color="auto" w:fill="CFF0FC"/>
          </w:tcPr>
          <w:p>
            <w:pPr>
              <w:spacing w:after="0"/>
              <w:rPr>
                <w:sz w:val="20"/>
                <w:szCs w:val="20"/>
                <w:color w:val="auto"/>
              </w:rPr>
            </w:pPr>
          </w:p>
        </w:tc>
      </w:tr>
      <w:tr>
        <w:trPr>
          <w:trHeight w:val="220"/>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outstanding equity / Definitive OpCo units</w:t>
            </w:r>
          </w:p>
        </w:tc>
        <w:tc>
          <w:tcPr>
            <w:tcW w:w="160" w:type="dxa"/>
            <w:vAlign w:val="bottom"/>
          </w:tcPr>
          <w:p>
            <w:pPr>
              <w:spacing w:after="0"/>
              <w:rPr>
                <w:sz w:val="19"/>
                <w:szCs w:val="19"/>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(138,960 )</w:t>
            </w:r>
          </w:p>
        </w:tc>
        <w:tc>
          <w:tcPr>
            <w:tcW w:w="260" w:type="dxa"/>
            <w:vAlign w:val="bottom"/>
          </w:tcPr>
          <w:p>
            <w:pPr>
              <w:spacing w:after="0"/>
              <w:rPr>
                <w:sz w:val="19"/>
                <w:szCs w:val="19"/>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(231,772 )</w:t>
            </w:r>
          </w:p>
        </w:tc>
      </w:tr>
      <w:tr>
        <w:trPr>
          <w:trHeight w:val="239"/>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Payments of equity offering issuance costs</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(5,796 )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(1,734 )</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(11,709 )</w:t>
            </w:r>
          </w:p>
        </w:tc>
      </w:tr>
      <w:tr>
        <w:trPr>
          <w:trHeight w:val="220"/>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Member contributions</w:t>
            </w:r>
          </w:p>
        </w:tc>
        <w:tc>
          <w:tcPr>
            <w:tcW w:w="160" w:type="dxa"/>
            <w:vAlign w:val="bottom"/>
          </w:tcPr>
          <w:p>
            <w:pPr>
              <w:spacing w:after="0"/>
              <w:rPr>
                <w:sz w:val="19"/>
                <w:szCs w:val="19"/>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Member distributions</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(5,932 )</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(989 )</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(12,871 )</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(8,128 )</w:t>
            </w:r>
          </w:p>
        </w:tc>
      </w:tr>
      <w:tr>
        <w:trPr>
          <w:trHeight w:val="23"/>
        </w:trPr>
        <w:tc>
          <w:tcPr>
            <w:tcW w:w="57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(9,457 )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234,677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(26,696 )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384,372</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(81,563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197,827</w:t>
            </w: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(240,020</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362,853</w:t>
            </w:r>
          </w:p>
        </w:tc>
        <w:tc>
          <w:tcPr>
            <w:tcW w:w="100" w:type="dxa"/>
            <w:vAlign w:val="bottom"/>
            <w:shd w:val="clear" w:color="auto" w:fill="CFF0FC"/>
          </w:tcPr>
          <w:p>
            <w:pPr>
              <w:spacing w:after="0"/>
              <w:rPr>
                <w:sz w:val="19"/>
                <w:szCs w:val="19"/>
                <w:color w:val="auto"/>
              </w:rPr>
            </w:pPr>
          </w:p>
        </w:tc>
      </w:tr>
      <w:tr>
        <w:trPr>
          <w:trHeight w:val="220"/>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(81 )</w:t>
            </w:r>
          </w:p>
        </w:tc>
        <w:tc>
          <w:tcPr>
            <w:tcW w:w="26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(544 )</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(129 )</w:t>
            </w:r>
          </w:p>
        </w:tc>
      </w:tr>
      <w:tr>
        <w:trPr>
          <w:trHeight w:val="233"/>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228,828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189,752</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387,498</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387,498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146,934</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387,498</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29,569</w:t>
            </w:r>
          </w:p>
        </w:tc>
        <w:tc>
          <w:tcPr>
            <w:tcW w:w="100" w:type="dxa"/>
            <w:vAlign w:val="bottom"/>
            <w:shd w:val="clear" w:color="auto" w:fill="CFF0FC"/>
          </w:tcPr>
          <w:p>
            <w:pPr>
              <w:spacing w:after="0"/>
              <w:rPr>
                <w:sz w:val="20"/>
                <w:szCs w:val="20"/>
                <w:color w:val="auto"/>
              </w:rPr>
            </w:pPr>
          </w:p>
        </w:tc>
      </w:tr>
      <w:tr>
        <w:trPr>
          <w:trHeight w:val="220"/>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tcPr>
          <w:p>
            <w:pPr>
              <w:spacing w:after="0"/>
              <w:rPr>
                <w:sz w:val="19"/>
                <w:szCs w:val="19"/>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r>
      <w:tr>
        <w:trPr>
          <w:trHeight w:val="239"/>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Acquisitions:</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assets acquired, net of cash acquired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97,296</w:t>
            </w:r>
          </w:p>
        </w:tc>
        <w:tc>
          <w:tcPr>
            <w:tcW w:w="26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Initial cash investment in prior year</w:t>
            </w:r>
          </w:p>
        </w:tc>
        <w:tc>
          <w:tcPr>
            <w:tcW w:w="16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(40,000 )</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60" w:type="dxa"/>
            <w:vAlign w:val="bottom"/>
          </w:tcPr>
          <w:p>
            <w:pPr>
              <w:spacing w:after="0"/>
              <w:rPr>
                <w:sz w:val="19"/>
                <w:szCs w:val="19"/>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74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paid for acquisitions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449"/>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activities: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Capital expenditures included in accounts payable and accrued expenses and other</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FF0FC"/>
          </w:tcPr>
          <w:p>
            <w:pPr>
              <w:spacing w:after="0"/>
              <w:rPr>
                <w:sz w:val="19"/>
                <w:szCs w:val="19"/>
                <w:color w:val="auto"/>
              </w:rPr>
            </w:pPr>
          </w:p>
        </w:tc>
      </w:tr>
      <w:tr>
        <w:trPr>
          <w:trHeight w:val="221"/>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activities: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Unpaid equity offering costs included in accrued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shd w:val="clear" w:color="auto" w:fill="CFF0FC"/>
          </w:tcPr>
          <w:p>
            <w:pPr>
              <w:spacing w:after="0"/>
              <w:rPr>
                <w:sz w:val="20"/>
                <w:szCs w:val="20"/>
                <w:color w:val="auto"/>
              </w:rPr>
            </w:pPr>
          </w:p>
        </w:tc>
      </w:tr>
      <w:tr>
        <w:trPr>
          <w:trHeight w:val="547"/>
        </w:trPr>
        <w:tc>
          <w:tcPr>
            <w:tcW w:w="5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-5982970</wp:posOffset>
            </wp:positionV>
            <wp:extent cx="7747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-5982970</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-5982970</wp:posOffset>
            </wp:positionV>
            <wp:extent cx="6858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-5982970</wp:posOffset>
            </wp:positionV>
            <wp:extent cx="685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-5091430</wp:posOffset>
            </wp:positionV>
            <wp:extent cx="7747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-5091430</wp:posOffset>
            </wp:positionV>
            <wp:extent cx="6858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-5091430</wp:posOffset>
            </wp:positionV>
            <wp:extent cx="685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-5091430</wp:posOffset>
            </wp:positionV>
            <wp:extent cx="6858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-3325495</wp:posOffset>
            </wp:positionV>
            <wp:extent cx="7747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-3325495</wp:posOffset>
            </wp:positionV>
            <wp:extent cx="6858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-3325495</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-2725420</wp:posOffset>
            </wp:positionV>
            <wp:extent cx="7747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-2725420</wp:posOffset>
            </wp:positionV>
            <wp:extent cx="68580"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-2725420</wp:posOffset>
            </wp:positionV>
            <wp:extent cx="6858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-1391920</wp:posOffset>
            </wp:positionV>
            <wp:extent cx="7145020" cy="466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5020" cy="4667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556260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Closest GAAP Equivalent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GAAP Operating Cash Flow to Unlevered Free Cash Flow</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6"/>
                <w:szCs w:val="16"/>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5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3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25,212</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140" w:type="dxa"/>
            <w:vAlign w:val="bottom"/>
          </w:tcPr>
          <w:p>
            <w:pPr>
              <w:spacing w:after="0"/>
              <w:rPr>
                <w:sz w:val="20"/>
                <w:szCs w:val="20"/>
                <w:color w:val="auto"/>
              </w:rPr>
            </w:pP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(4,871 )</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(1,069 )</w:t>
            </w:r>
          </w:p>
        </w:tc>
        <w:tc>
          <w:tcPr>
            <w:tcW w:w="2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(8,326 )</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(6,731 )</w:t>
            </w: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paid in cash</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29,569</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Transaction, integration and restructuring expenses paid in cash </w:t>
            </w:r>
            <w:r>
              <w:rPr>
                <w:rFonts w:ascii="Times New Roman" w:cs="Times New Roman" w:eastAsia="Times New Roman" w:hAnsi="Times New Roman"/>
                <w:sz w:val="24"/>
                <w:szCs w:val="24"/>
                <w:color w:val="auto"/>
                <w:vertAlign w:val="superscript"/>
              </w:rPr>
              <w:t>(a)</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Earnout payment </w:t>
            </w:r>
            <w:r>
              <w:rPr>
                <w:rFonts w:ascii="Times New Roman" w:cs="Times New Roman" w:eastAsia="Times New Roman" w:hAnsi="Times New Roman"/>
                <w:sz w:val="24"/>
                <w:szCs w:val="24"/>
                <w:color w:val="auto"/>
                <w:vertAlign w:val="superscript"/>
              </w:rPr>
              <w:t>(b)</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Other non-recurring items </w:t>
            </w:r>
            <w:r>
              <w:rPr>
                <w:rFonts w:ascii="Times New Roman" w:cs="Times New Roman" w:eastAsia="Times New Roman" w:hAnsi="Times New Roman"/>
                <w:sz w:val="24"/>
                <w:szCs w:val="24"/>
                <w:color w:val="auto"/>
                <w:vertAlign w:val="superscript"/>
              </w:rPr>
              <w:t>(c)</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00" w:type="dxa"/>
            <w:vAlign w:val="bottom"/>
          </w:tcPr>
          <w:p>
            <w:pPr>
              <w:spacing w:after="0"/>
              <w:rPr>
                <w:sz w:val="21"/>
                <w:szCs w:val="21"/>
                <w:color w:val="auto"/>
              </w:rPr>
            </w:pPr>
          </w:p>
        </w:tc>
      </w:tr>
      <w:tr>
        <w:trPr>
          <w:trHeight w:val="277"/>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54,203</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right="120" w:hanging="452"/>
        <w:spacing w:after="0" w:line="257" w:lineRule="auto"/>
        <w:tabs>
          <w:tab w:leader="none" w:pos="3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paid in cash primarily represent legal, accounting and consulting expenses related to our acquisitions, including a go-to market integration project conducted in the third quarter of 2022. Restructuring expenses paid in cash primarily represent rent and exit costs related to office relocations.</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payment represents final settlement of contingent consideration included in cash flow from operations.</w:t>
      </w:r>
    </w:p>
    <w:p>
      <w:pPr>
        <w:spacing w:after="0" w:line="3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represent expenses that are typically one-time, non-operational in nature, and unrelated to our core operations.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Reconciliation of GAAP Net Income (Loss) to Adjusted Net Income and GAAP Operating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Loss to Adjusted Operating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 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6"/>
                <w:szCs w:val="16"/>
                <w:color w:val="auto"/>
              </w:rPr>
            </w:pPr>
          </w:p>
        </w:tc>
        <w:tc>
          <w:tcPr>
            <w:tcW w:w="2480" w:type="dxa"/>
            <w:vAlign w:val="bottom"/>
            <w:gridSpan w:val="5"/>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5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Income tax (benefit) provision</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(17,044 )</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(17,185 )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0"/>
                <w:szCs w:val="20"/>
                <w:color w:val="auto"/>
              </w:rPr>
            </w:pPr>
          </w:p>
        </w:tc>
      </w:tr>
      <w:tr>
        <w:trPr>
          <w:trHeight w:val="247"/>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Interest expense, net</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25,871</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Loss from extinguishment from debt</w:t>
            </w:r>
          </w:p>
        </w:tc>
        <w:tc>
          <w:tcPr>
            <w:tcW w:w="1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100" w:type="dxa"/>
            <w:vAlign w:val="bottom"/>
          </w:tcPr>
          <w:p>
            <w:pPr>
              <w:spacing w:after="0"/>
              <w:rPr>
                <w:sz w:val="20"/>
                <w:szCs w:val="20"/>
                <w:color w:val="auto"/>
              </w:rPr>
            </w:pPr>
          </w:p>
        </w:tc>
      </w:tr>
      <w:tr>
        <w:trPr>
          <w:trHeight w:val="243"/>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Other income, net</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(807 )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(10,236 )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0"/>
        </w:trPr>
        <w:tc>
          <w:tcPr>
            <w:tcW w:w="5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5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(9,633 )</w:t>
            </w:r>
          </w:p>
        </w:tc>
        <w:tc>
          <w:tcPr>
            <w:tcW w:w="1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(12,174 )</w:t>
            </w:r>
          </w:p>
        </w:tc>
        <w:tc>
          <w:tcPr>
            <w:tcW w:w="16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(41,263 )</w:t>
            </w: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(24,981 )</w:t>
            </w:r>
          </w:p>
        </w:tc>
      </w:tr>
      <w:tr>
        <w:trPr>
          <w:trHeight w:val="207"/>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Amortization of intangible assets acquired through business</w:t>
            </w: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combinations</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57,148</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Equity-based compensation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Pr>
          <w:p>
            <w:pPr>
              <w:spacing w:after="0"/>
              <w:rPr>
                <w:sz w:val="20"/>
                <w:szCs w:val="20"/>
                <w:color w:val="auto"/>
              </w:rPr>
            </w:pPr>
          </w:p>
        </w:tc>
      </w:tr>
      <w:tr>
        <w:trPr>
          <w:trHeight w:val="247"/>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Transaction, integration and restructuring expenses</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Other non-recurring items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00" w:type="dxa"/>
            <w:vAlign w:val="bottom"/>
          </w:tcPr>
          <w:p>
            <w:pPr>
              <w:spacing w:after="0"/>
              <w:rPr>
                <w:sz w:val="20"/>
                <w:szCs w:val="20"/>
                <w:color w:val="auto"/>
              </w:rPr>
            </w:pPr>
          </w:p>
        </w:tc>
      </w:tr>
      <w:tr>
        <w:trPr>
          <w:trHeight w:val="238"/>
        </w:trPr>
        <w:tc>
          <w:tcPr>
            <w:tcW w:w="5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60,509</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Interest expense, net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(1,483 )</w:t>
            </w:r>
          </w:p>
        </w:tc>
        <w:tc>
          <w:tcPr>
            <w:tcW w:w="1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(1,915 )</w:t>
            </w:r>
          </w:p>
        </w:tc>
        <w:tc>
          <w:tcPr>
            <w:tcW w:w="16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(8,413 )</w:t>
            </w: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(25,871 )</w:t>
            </w:r>
          </w:p>
        </w:tc>
      </w:tr>
      <w:tr>
        <w:trPr>
          <w:trHeight w:val="247"/>
        </w:trPr>
        <w:tc>
          <w:tcPr>
            <w:tcW w:w="5740" w:type="dxa"/>
            <w:vAlign w:val="bottom"/>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 xml:space="preserve">Less: Recurring income tax benefit </w:t>
            </w:r>
            <w:r>
              <w:rPr>
                <w:rFonts w:ascii="Times New Roman" w:cs="Times New Roman" w:eastAsia="Times New Roman" w:hAnsi="Times New Roman"/>
                <w:sz w:val="24"/>
                <w:szCs w:val="24"/>
                <w:color w:val="auto"/>
                <w:vertAlign w:val="superscript"/>
              </w:rPr>
              <w:t>(a)</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Foreign currency (loss) gain</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(271 )</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r>
      <w:tr>
        <w:trPr>
          <w:trHeight w:val="243"/>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Tax impacts of adjustments to net income (loss)</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(5,290 )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(3,960 )</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(18,760 )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(14,264 )</w:t>
            </w:r>
          </w:p>
        </w:tc>
      </w:tr>
      <w:tr>
        <w:trPr>
          <w:trHeight w:val="236"/>
        </w:trPr>
        <w:tc>
          <w:tcPr>
            <w:tcW w:w="57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35,928</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100" w:type="dxa"/>
            <w:vAlign w:val="bottom"/>
            <w:tcBorders>
              <w:top w:val="single" w:sz="8" w:color="CFF0FC"/>
            </w:tcBorders>
          </w:tcPr>
          <w:p>
            <w:pPr>
              <w:spacing w:after="0"/>
              <w:rPr>
                <w:sz w:val="20"/>
                <w:szCs w:val="20"/>
                <w:color w:val="auto"/>
              </w:rPr>
            </w:pPr>
          </w:p>
        </w:tc>
      </w:tr>
      <w:tr>
        <w:trPr>
          <w:trHeight w:val="241"/>
        </w:trPr>
        <w:tc>
          <w:tcPr>
            <w:tcW w:w="5740" w:type="dxa"/>
            <w:vAlign w:val="bottom"/>
            <w:shd w:val="clear" w:color="auto" w:fill="CFF0FC"/>
          </w:tcPr>
          <w:p>
            <w:pPr>
              <w:ind w:left="120"/>
              <w:spacing w:after="0" w:line="241" w:lineRule="exact"/>
              <w:rPr>
                <w:sz w:val="20"/>
                <w:szCs w:val="20"/>
                <w:color w:val="auto"/>
              </w:rPr>
            </w:pPr>
            <w:r>
              <w:rPr>
                <w:rFonts w:ascii="Times New Roman" w:cs="Times New Roman" w:eastAsia="Times New Roman" w:hAnsi="Times New Roman"/>
                <w:sz w:val="18"/>
                <w:szCs w:val="18"/>
                <w:color w:val="auto"/>
              </w:rPr>
              <w:t xml:space="preserve">Shares for Adjusted Net Income Per Diluted Share </w:t>
            </w:r>
            <w:r>
              <w:rPr>
                <w:rFonts w:ascii="Times New Roman" w:cs="Times New Roman" w:eastAsia="Times New Roman" w:hAnsi="Times New Roman"/>
                <w:sz w:val="24"/>
                <w:szCs w:val="24"/>
                <w:color w:val="auto"/>
                <w:vertAlign w:val="superscript"/>
              </w:rPr>
              <w:t>(b)</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154,006,454</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150,934,243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153,601,602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150,326,443</w:t>
            </w:r>
          </w:p>
        </w:tc>
        <w:tc>
          <w:tcPr>
            <w:tcW w:w="100" w:type="dxa"/>
            <w:vAlign w:val="bottom"/>
            <w:shd w:val="clear" w:color="auto" w:fill="CFF0FC"/>
          </w:tcPr>
          <w:p>
            <w:pPr>
              <w:spacing w:after="0"/>
              <w:rPr>
                <w:sz w:val="20"/>
                <w:szCs w:val="20"/>
                <w:color w:val="auto"/>
              </w:rPr>
            </w:pPr>
          </w:p>
        </w:tc>
      </w:tr>
      <w:tr>
        <w:trPr>
          <w:trHeight w:val="234"/>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Net Income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-2188210</wp:posOffset>
            </wp:positionV>
            <wp:extent cx="7747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-2188210</wp:posOffset>
            </wp:positionV>
            <wp:extent cx="685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-2188210</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-2188210</wp:posOffset>
            </wp:positionV>
            <wp:extent cx="685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-1099820</wp:posOffset>
            </wp:positionV>
            <wp:extent cx="7747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-1099820</wp:posOffset>
            </wp:positionV>
            <wp:extent cx="6858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-1099820</wp:posOffset>
            </wp:positionV>
            <wp:extent cx="6858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-1099820</wp:posOffset>
            </wp:positionV>
            <wp:extent cx="6858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-473710</wp:posOffset>
            </wp:positionV>
            <wp:extent cx="7747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-473710</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-473710</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6" w:lineRule="exact"/>
        <w:rPr>
          <w:sz w:val="20"/>
          <w:szCs w:val="20"/>
          <w:color w:val="auto"/>
        </w:rPr>
      </w:pPr>
    </w:p>
    <w:p>
      <w:pPr>
        <w:ind w:left="460" w:right="360" w:hanging="452"/>
        <w:spacing w:after="0" w:line="261" w:lineRule="auto"/>
        <w:tabs>
          <w:tab w:leader="none" w:pos="3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income tax (benefit) provision items were primarily driven by the impact of changes in the state effective tax rate during the fourth quarter of 2022.</w:t>
      </w:r>
    </w:p>
    <w:p>
      <w:pPr>
        <w:ind w:left="460" w:right="60" w:hanging="452"/>
        <w:spacing w:after="0" w:line="279" w:lineRule="auto"/>
        <w:tabs>
          <w:tab w:leader="none" w:pos="40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159,134,761 and 157,374,972 as of December 31,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jc w:val="center"/>
        <w:ind w:right="60"/>
        <w:spacing w:after="0"/>
        <w:rPr>
          <w:sz w:val="20"/>
          <w:szCs w:val="20"/>
          <w:color w:val="auto"/>
        </w:rPr>
      </w:pPr>
      <w:r>
        <w:rPr>
          <w:rFonts w:ascii="Times New Roman" w:cs="Times New Roman" w:eastAsia="Times New Roman" w:hAnsi="Times New Roman"/>
          <w:sz w:val="18"/>
          <w:szCs w:val="18"/>
          <w:color w:val="auto"/>
        </w:rPr>
        <w:t>Reconciliation of Adjusted EBITDA to GAAP Net Income (Loss)</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6"/>
                <w:szCs w:val="16"/>
                <w:color w:val="auto"/>
              </w:rPr>
            </w:pPr>
          </w:p>
        </w:tc>
        <w:tc>
          <w:tcPr>
            <w:tcW w:w="24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0"/>
        </w:trPr>
        <w:tc>
          <w:tcPr>
            <w:tcW w:w="5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(17,044 )</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(17,185 )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1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15,237</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56,904</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5740" w:type="dxa"/>
            <w:vAlign w:val="bottom"/>
            <w:shd w:val="clear" w:color="auto" w:fill="CFF0FC"/>
          </w:tcPr>
          <w:p>
            <w:pPr>
              <w:ind w:left="20"/>
              <w:spacing w:after="0" w:line="245"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(a)</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(807 )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(10,236 )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60" w:type="dxa"/>
            <w:vAlign w:val="bottom"/>
          </w:tcPr>
          <w:p>
            <w:pPr>
              <w:spacing w:after="0"/>
              <w:rPr>
                <w:sz w:val="21"/>
                <w:szCs w:val="21"/>
                <w:color w:val="auto"/>
              </w:rPr>
            </w:pPr>
          </w:p>
        </w:tc>
      </w:tr>
      <w:tr>
        <w:trPr>
          <w:trHeight w:val="243"/>
        </w:trPr>
        <w:tc>
          <w:tcPr>
            <w:tcW w:w="5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Equity-based compensation </w:t>
            </w:r>
            <w:r>
              <w:rPr>
                <w:rFonts w:ascii="Times New Roman" w:cs="Times New Roman" w:eastAsia="Times New Roman" w:hAnsi="Times New Roman"/>
                <w:sz w:val="24"/>
                <w:szCs w:val="24"/>
                <w:color w:val="auto"/>
                <w:vertAlign w:val="superscript"/>
              </w:rPr>
              <w:t>(b)</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7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Transaction, integration and restructuring expenses </w:t>
            </w:r>
            <w:r>
              <w:rPr>
                <w:rFonts w:ascii="Times New Roman" w:cs="Times New Roman" w:eastAsia="Times New Roman" w:hAnsi="Times New Roman"/>
                <w:sz w:val="24"/>
                <w:szCs w:val="24"/>
                <w:color w:val="auto"/>
                <w:vertAlign w:val="superscript"/>
              </w:rPr>
              <w:t>(c)</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non-recurring items </w:t>
            </w:r>
            <w:r>
              <w:rPr>
                <w:rFonts w:ascii="Times New Roman" w:cs="Times New Roman" w:eastAsia="Times New Roman" w:hAnsi="Times New Roman"/>
                <w:sz w:val="24"/>
                <w:szCs w:val="24"/>
                <w:color w:val="auto"/>
                <w:vertAlign w:val="superscript"/>
              </w:rPr>
              <w:t>(d)</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60,599</w:t>
            </w:r>
          </w:p>
        </w:tc>
        <w:tc>
          <w:tcPr>
            <w:tcW w:w="2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28 %</w:t>
            </w:r>
          </w:p>
        </w:tc>
        <w:tc>
          <w:tcPr>
            <w:tcW w:w="280" w:type="dxa"/>
            <w:vAlign w:val="bottom"/>
          </w:tcPr>
          <w:p>
            <w:pPr>
              <w:spacing w:after="0"/>
              <w:rPr>
                <w:sz w:val="21"/>
                <w:szCs w:val="21"/>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29 %</w:t>
            </w: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-1276350</wp:posOffset>
            </wp:positionV>
            <wp:extent cx="76835"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-1276350</wp:posOffset>
            </wp:positionV>
            <wp:extent cx="6858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-1276350</wp:posOffset>
            </wp:positionV>
            <wp:extent cx="6858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460" w:right="760" w:hanging="452"/>
        <w:spacing w:after="0" w:line="263" w:lineRule="auto"/>
        <w:tabs>
          <w:tab w:leader="none" w:pos="4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460" w:right="200" w:hanging="452"/>
        <w:spacing w:after="0" w:line="257" w:lineRule="auto"/>
        <w:tabs>
          <w:tab w:leader="none" w:pos="3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including a go-to market integration project conducted in the third quarter of 2022. Restructuring expenses relate to impairment and restructuring charges related to office relocations.</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represent expenses that are typically one-time, non-operational in nature, and unrelated to our core operations.</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Reconciliation of Adjusted Gross Profit to GAAP Gross Profit</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6"/>
                <w:szCs w:val="16"/>
                <w:color w:val="auto"/>
              </w:rPr>
            </w:pPr>
          </w:p>
        </w:tc>
        <w:tc>
          <w:tcPr>
            <w:tcW w:w="24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0"/>
        </w:trPr>
        <w:tc>
          <w:tcPr>
            <w:tcW w:w="5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
        </w:trPr>
        <w:tc>
          <w:tcPr>
            <w:tcW w:w="5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gross profit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50,804</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180,028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125,465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5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Amortization of intangible assets resulting from acquisition-related purchase</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8"/>
        </w:trPr>
        <w:tc>
          <w:tcPr>
            <w:tcW w:w="57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accounting adjustments </w:t>
            </w:r>
            <w:r>
              <w:rPr>
                <w:rFonts w:ascii="Times New Roman" w:cs="Times New Roman" w:eastAsia="Times New Roman" w:hAnsi="Times New Roman"/>
                <w:sz w:val="24"/>
                <w:szCs w:val="24"/>
                <w:color w:val="auto"/>
                <w:vertAlign w:val="superscript"/>
              </w:rPr>
              <w:t>(a)</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2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40,708</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196,685</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60,599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166,154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1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88 %</w:t>
            </w:r>
          </w:p>
        </w:tc>
        <w:tc>
          <w:tcPr>
            <w:tcW w:w="2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88 %</w:t>
            </w:r>
          </w:p>
        </w:tc>
        <w:tc>
          <w:tcPr>
            <w:tcW w:w="2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88 %</w:t>
            </w: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-467995</wp:posOffset>
            </wp:positionV>
            <wp:extent cx="76835"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-467995</wp:posOffset>
            </wp:positionV>
            <wp:extent cx="6858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-467995</wp:posOffset>
            </wp:positionV>
            <wp:extent cx="6858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wp:posOffset>
            </wp:positionV>
            <wp:extent cx="6858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82" w:lineRule="exact"/>
        <w:rPr>
          <w:sz w:val="20"/>
          <w:szCs w:val="20"/>
          <w:color w:val="auto"/>
        </w:rPr>
      </w:pPr>
    </w:p>
    <w:p>
      <w:pPr>
        <w:ind w:left="460" w:right="160" w:hanging="452"/>
        <w:spacing w:after="0" w:line="282" w:lineRule="auto"/>
        <w:tabs>
          <w:tab w:leader="none" w:pos="3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resulting from purchase accounting adjustments represents non-cash amortization of acquired intangibles, primarily resulting from the Advent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lvl w:ilvl="1">
      <w:lvlJc w:val="left"/>
      <w:lvlText w:val="(%2)"/>
      <w:numFmt w:val="lowerLetter"/>
      <w:start w:val="1"/>
    </w:lvl>
  </w:abstractNum>
  <w:abstractNum w:abstractNumId="3">
    <w:nsid w:val="109CF92E"/>
    <w:multiLevelType w:val="hybridMultilevel"/>
    <w:lvl w:ilvl="0">
      <w:lvlJc w:val="left"/>
      <w:lvlText w:val="%1"/>
      <w:numFmt w:val="decimal"/>
      <w:start w:val="1"/>
    </w:lvl>
    <w:lvl w:ilvl="1">
      <w:lvlJc w:val="left"/>
      <w:lvlText w:val="(%2)"/>
      <w:numFmt w:val="lowerLetter"/>
      <w:start w:val="11"/>
    </w:lvl>
  </w:abstractNum>
  <w:abstractNum w:abstractNumId="4">
    <w:nsid w:val="DED7263"/>
    <w:multiLevelType w:val="hybridMultilevel"/>
    <w:lvl w:ilvl="0">
      <w:lvlJc w:val="left"/>
      <w:lvlText w:val="%1."/>
      <w:numFmt w:val="decimal"/>
      <w:start w:val="3"/>
    </w:lvl>
    <w:lvl w:ilvl="1">
      <w:lvlJc w:val="left"/>
      <w:lvlText w:val="(%2)"/>
      <w:numFmt w:val="lowerLetter"/>
      <w:start w:val="1"/>
    </w:lvl>
  </w:abstractNum>
  <w:abstractNum w:abstractNumId="5">
    <w:nsid w:val="7FDCC233"/>
    <w:multiLevelType w:val="hybridMultilevel"/>
    <w:lvl w:ilvl="0">
      <w:lvlJc w:val="left"/>
      <w:lvlText w:val="%1"/>
      <w:numFmt w:val="decimal"/>
      <w:start w:val="1"/>
    </w:lvl>
    <w:lvl w:ilvl="1">
      <w:lvlJc w:val="left"/>
      <w:lvlText w:val="(%2)"/>
      <w:numFmt w:val="lowerLetter"/>
      <w:start w:val="4"/>
    </w:lvl>
  </w:abstractNum>
  <w:abstractNum w:abstractNumId="6">
    <w:nsid w:val="1BEFD79F"/>
    <w:multiLevelType w:val="hybridMultilevel"/>
    <w:lvl w:ilvl="0">
      <w:lvlJc w:val="left"/>
      <w:lvlText w:val="%1."/>
      <w:numFmt w:val="decimal"/>
      <w:start w:val="4"/>
    </w:lvl>
    <w:lvl w:ilvl="1">
      <w:lvlJc w:val="left"/>
      <w:lvlText w:val="(%2)"/>
      <w:numFmt w:val="lowerLetter"/>
      <w:start w:val="1"/>
    </w:lvl>
  </w:abstractNum>
  <w:abstractNum w:abstractNumId="7">
    <w:nsid w:val="41A7C4C9"/>
    <w:multiLevelType w:val="hybridMultilevel"/>
    <w:lvl w:ilvl="0">
      <w:lvlJc w:val="left"/>
      <w:lvlText w:val="%1"/>
      <w:numFmt w:val="decimal"/>
      <w:start w:val="1"/>
    </w:lvl>
    <w:lvl w:ilvl="1">
      <w:lvlJc w:val="left"/>
      <w:lvlText w:val="(%2)"/>
      <w:numFmt w:val="lowerLetter"/>
      <w:start w:val="4"/>
    </w:lvl>
  </w:abstractNum>
  <w:abstractNum w:abstractNumId="8">
    <w:nsid w:val="6B68079A"/>
    <w:multiLevelType w:val="hybridMultilevel"/>
    <w:lvl w:ilvl="0">
      <w:lvlJc w:val="left"/>
      <w:lvlText w:val="%1."/>
      <w:numFmt w:val="decimal"/>
      <w:start w:val="5"/>
    </w:lvl>
    <w:lvl w:ilvl="1">
      <w:lvlJc w:val="left"/>
      <w:lvlText w:val="(%2)"/>
      <w:numFmt w:val="lowerLetter"/>
      <w:start w:val="1"/>
    </w:lvl>
  </w:abstractNum>
  <w:abstractNum w:abstractNumId="9">
    <w:nsid w:val="4E6AFB66"/>
    <w:multiLevelType w:val="hybridMultilevel"/>
    <w:lvl w:ilvl="0">
      <w:lvlJc w:val="left"/>
      <w:lvlText w:val="%1"/>
      <w:numFmt w:val="decimal"/>
      <w:start w:val="1"/>
    </w:lvl>
    <w:lvl w:ilvl="1">
      <w:lvlJc w:val="left"/>
      <w:lvlText w:val="(%2)"/>
      <w:numFmt w:val="lowerLetter"/>
      <w:start w:val="6"/>
    </w:lvl>
  </w:abstractNum>
  <w:abstractNum w:abstractNumId="10">
    <w:nsid w:val="25E45D32"/>
    <w:multiLevelType w:val="hybridMultilevel"/>
    <w:lvl w:ilvl="0">
      <w:lvlJc w:val="left"/>
      <w:lvlText w:val="%1."/>
      <w:numFmt w:val="decimal"/>
      <w:start w:val="6"/>
    </w:lvl>
    <w:lvl w:ilvl="1">
      <w:lvlJc w:val="left"/>
      <w:lvlText w:val="(%2)"/>
      <w:numFmt w:val="lowerLetter"/>
      <w:start w:val="1"/>
    </w:lvl>
  </w:abstractNum>
  <w:abstractNum w:abstractNumId="11">
    <w:nsid w:val="519B500D"/>
    <w:multiLevelType w:val="hybridMultilevel"/>
    <w:lvl w:ilvl="0">
      <w:lvlJc w:val="left"/>
      <w:lvlText w:val="%1"/>
      <w:numFmt w:val="decimal"/>
      <w:start w:val="1"/>
    </w:lvl>
    <w:lvl w:ilvl="1">
      <w:lvlJc w:val="left"/>
      <w:lvlText w:val="(%2)"/>
      <w:numFmt w:val="lowerLetter"/>
      <w:start w:val="2"/>
    </w:lvl>
  </w:abstractNum>
  <w:abstractNum w:abstractNumId="12">
    <w:nsid w:val="431BD7B7"/>
    <w:multiLevelType w:val="hybridMultilevel"/>
    <w:lvl w:ilvl="0">
      <w:lvlJc w:val="left"/>
      <w:lvlText w:val="%1."/>
      <w:numFmt w:val="decimal"/>
      <w:start w:val="8"/>
    </w:lvl>
    <w:lvl w:ilvl="1">
      <w:lvlJc w:val="left"/>
      <w:lvlText w:val="(%2)"/>
      <w:numFmt w:val="lowerLetter"/>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2023-02-23T19:10:37Z</dcterms:created>
  <dcterms:modified xsi:type="dcterms:W3CDTF">2023-02-23T19:10:37Z</dcterms:modified>
</cp:coreProperties>
</file>