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6" w:lineRule="exact"/>
        <w:rPr>
          <w:sz w:val="24"/>
          <w:szCs w:val="24"/>
          <w:color w:val="auto"/>
        </w:rPr>
      </w:pPr>
    </w:p>
    <w:p>
      <w:pPr>
        <w:jc w:val="center"/>
        <w:ind w:right="8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1"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quarterly period ended June 30, 2022</w:t>
      </w:r>
    </w:p>
    <w:p>
      <w:pPr>
        <w:spacing w:after="0" w:line="100"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104"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5740" w:type="dxa"/>
            <w:vAlign w:val="bottom"/>
            <w:gridSpan w:val="5"/>
          </w:tcPr>
          <w:p>
            <w:pPr>
              <w:ind w:left="360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4660" w:type="dxa"/>
            <w:vAlign w:val="bottom"/>
            <w:gridSpan w:val="4"/>
          </w:tcPr>
          <w:p>
            <w:pPr>
              <w:jc w:val="right"/>
              <w:ind w:right="4406"/>
              <w:spacing w:after="0"/>
              <w:rPr>
                <w:sz w:val="20"/>
                <w:szCs w:val="20"/>
                <w:color w:val="auto"/>
              </w:rPr>
            </w:pPr>
            <w:r>
              <w:rPr>
                <w:rFonts w:ascii="Arial" w:cs="Arial" w:eastAsia="Arial" w:hAnsi="Arial"/>
                <w:sz w:val="16"/>
                <w:szCs w:val="16"/>
                <w:b w:val="1"/>
                <w:bCs w:val="1"/>
                <w:color w:val="auto"/>
              </w:rPr>
              <w:t>to</w:t>
            </w:r>
          </w:p>
        </w:tc>
      </w:tr>
      <w:tr>
        <w:trPr>
          <w:trHeight w:val="298"/>
        </w:trPr>
        <w:tc>
          <w:tcPr>
            <w:tcW w:w="3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0" w:type="dxa"/>
            <w:vAlign w:val="bottom"/>
            <w:gridSpan w:val="8"/>
          </w:tcPr>
          <w:p>
            <w:pPr>
              <w:jc w:val="center"/>
              <w:ind w:right="4126"/>
              <w:spacing w:after="0"/>
              <w:rPr>
                <w:sz w:val="20"/>
                <w:szCs w:val="20"/>
                <w:color w:val="auto"/>
              </w:rPr>
            </w:pPr>
            <w:r>
              <w:rPr>
                <w:rFonts w:ascii="Arial" w:cs="Arial" w:eastAsia="Arial" w:hAnsi="Arial"/>
                <w:sz w:val="16"/>
                <w:szCs w:val="16"/>
                <w:b w:val="1"/>
                <w:bCs w:val="1"/>
                <w:color w:val="auto"/>
                <w:w w:val="91"/>
              </w:rPr>
              <w:t>Commission File Number 001-40815</w:t>
            </w:r>
          </w:p>
        </w:tc>
      </w:tr>
      <w:tr>
        <w:trPr>
          <w:trHeight w:val="114"/>
        </w:trPr>
        <w:tc>
          <w:tcPr>
            <w:tcW w:w="42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200" w:type="dxa"/>
            <w:vAlign w:val="bottom"/>
            <w:gridSpan w:val="3"/>
          </w:tcPr>
          <w:p>
            <w:pPr>
              <w:spacing w:after="0"/>
              <w:rPr>
                <w:sz w:val="9"/>
                <w:szCs w:val="9"/>
                <w:color w:val="auto"/>
              </w:rPr>
            </w:pPr>
          </w:p>
        </w:tc>
        <w:tc>
          <w:tcPr>
            <w:tcW w:w="140" w:type="dxa"/>
            <w:vAlign w:val="bottom"/>
          </w:tcPr>
          <w:p>
            <w:pPr>
              <w:spacing w:after="0"/>
              <w:rPr>
                <w:sz w:val="9"/>
                <w:szCs w:val="9"/>
                <w:color w:val="auto"/>
              </w:rPr>
            </w:pPr>
          </w:p>
        </w:tc>
        <w:tc>
          <w:tcPr>
            <w:tcW w:w="4120" w:type="dxa"/>
            <w:vAlign w:val="bottom"/>
          </w:tcPr>
          <w:p>
            <w:pPr>
              <w:spacing w:after="0"/>
              <w:rPr>
                <w:sz w:val="9"/>
                <w:szCs w:val="9"/>
                <w:color w:val="auto"/>
              </w:rPr>
            </w:pPr>
          </w:p>
        </w:tc>
      </w:tr>
      <w:tr>
        <w:trPr>
          <w:trHeight w:val="479"/>
        </w:trPr>
        <w:tc>
          <w:tcPr>
            <w:tcW w:w="4480" w:type="dxa"/>
            <w:vAlign w:val="bottom"/>
            <w:gridSpan w:val="4"/>
          </w:tcPr>
          <w:p>
            <w:pPr>
              <w:ind w:left="3100"/>
              <w:spacing w:after="0"/>
              <w:rPr>
                <w:sz w:val="20"/>
                <w:szCs w:val="20"/>
                <w:color w:val="auto"/>
              </w:rPr>
            </w:pPr>
            <w:r>
              <w:rPr>
                <w:rFonts w:ascii="Arial" w:cs="Arial" w:eastAsia="Arial" w:hAnsi="Arial"/>
                <w:sz w:val="41"/>
                <w:szCs w:val="41"/>
                <w:b w:val="1"/>
                <w:bCs w:val="1"/>
                <w:color w:val="auto"/>
                <w:w w:val="73"/>
              </w:rPr>
              <w:t>Definitive</w:t>
            </w:r>
          </w:p>
        </w:tc>
        <w:tc>
          <w:tcPr>
            <w:tcW w:w="2240" w:type="dxa"/>
            <w:vAlign w:val="bottom"/>
            <w:tcBorders>
              <w:top w:val="single" w:sz="8" w:color="auto"/>
            </w:tcBorders>
            <w:gridSpan w:val="3"/>
          </w:tcPr>
          <w:p>
            <w:pPr>
              <w:jc w:val="right"/>
              <w:spacing w:after="0"/>
              <w:rPr>
                <w:sz w:val="20"/>
                <w:szCs w:val="20"/>
                <w:color w:val="auto"/>
              </w:rPr>
            </w:pPr>
            <w:r>
              <w:rPr>
                <w:rFonts w:ascii="Arial" w:cs="Arial" w:eastAsia="Arial" w:hAnsi="Arial"/>
                <w:sz w:val="41"/>
                <w:szCs w:val="41"/>
                <w:b w:val="1"/>
                <w:bCs w:val="1"/>
                <w:color w:val="auto"/>
              </w:rPr>
              <w:t>Healthcare</w:t>
            </w:r>
          </w:p>
        </w:tc>
        <w:tc>
          <w:tcPr>
            <w:tcW w:w="220" w:type="dxa"/>
            <w:vAlign w:val="bottom"/>
          </w:tcPr>
          <w:p>
            <w:pPr>
              <w:spacing w:after="0"/>
              <w:rPr>
                <w:sz w:val="24"/>
                <w:szCs w:val="24"/>
                <w:color w:val="auto"/>
              </w:rPr>
            </w:pPr>
          </w:p>
        </w:tc>
        <w:tc>
          <w:tcPr>
            <w:tcW w:w="4260" w:type="dxa"/>
            <w:vAlign w:val="bottom"/>
            <w:gridSpan w:val="2"/>
          </w:tcPr>
          <w:p>
            <w:pPr>
              <w:ind w:left="40"/>
              <w:spacing w:after="0"/>
              <w:rPr>
                <w:sz w:val="20"/>
                <w:szCs w:val="20"/>
                <w:color w:val="auto"/>
              </w:rPr>
            </w:pPr>
            <w:r>
              <w:rPr>
                <w:rFonts w:ascii="Arial" w:cs="Arial" w:eastAsia="Arial" w:hAnsi="Arial"/>
                <w:sz w:val="41"/>
                <w:szCs w:val="41"/>
                <w:b w:val="1"/>
                <w:bCs w:val="1"/>
                <w:color w:val="auto"/>
              </w:rPr>
              <w:t>Corp.</w:t>
            </w:r>
          </w:p>
        </w:tc>
      </w:tr>
      <w:tr>
        <w:trPr>
          <w:trHeight w:val="210"/>
        </w:trPr>
        <w:tc>
          <w:tcPr>
            <w:tcW w:w="3760" w:type="dxa"/>
            <w:vAlign w:val="bottom"/>
          </w:tcPr>
          <w:p>
            <w:pPr>
              <w:spacing w:after="0"/>
              <w:rPr>
                <w:sz w:val="18"/>
                <w:szCs w:val="18"/>
                <w:color w:val="auto"/>
              </w:rPr>
            </w:pPr>
          </w:p>
        </w:tc>
        <w:tc>
          <w:tcPr>
            <w:tcW w:w="7440" w:type="dxa"/>
            <w:vAlign w:val="bottom"/>
            <w:gridSpan w:val="9"/>
          </w:tcPr>
          <w:p>
            <w:pPr>
              <w:jc w:val="center"/>
              <w:ind w:right="3706"/>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r>
      <w:tr>
        <w:trPr>
          <w:trHeight w:val="114"/>
        </w:trPr>
        <w:tc>
          <w:tcPr>
            <w:tcW w:w="3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120" w:type="dxa"/>
            <w:vAlign w:val="bottom"/>
          </w:tcPr>
          <w:p>
            <w:pPr>
              <w:spacing w:after="0"/>
              <w:rPr>
                <w:sz w:val="9"/>
                <w:szCs w:val="9"/>
                <w:color w:val="auto"/>
              </w:rPr>
            </w:pPr>
          </w:p>
        </w:tc>
      </w:tr>
      <w:tr>
        <w:trPr>
          <w:trHeight w:val="376"/>
        </w:trPr>
        <w:tc>
          <w:tcPr>
            <w:tcW w:w="3760" w:type="dxa"/>
            <w:vAlign w:val="bottom"/>
          </w:tcPr>
          <w:p>
            <w:pPr>
              <w:jc w:val="center"/>
              <w:ind w:left="1731"/>
              <w:spacing w:after="0"/>
              <w:rPr>
                <w:sz w:val="20"/>
                <w:szCs w:val="20"/>
                <w:color w:val="auto"/>
              </w:rPr>
            </w:pPr>
            <w:r>
              <w:rPr>
                <w:rFonts w:ascii="Arial" w:cs="Arial" w:eastAsia="Arial" w:hAnsi="Arial"/>
                <w:sz w:val="16"/>
                <w:szCs w:val="16"/>
                <w:b w:val="1"/>
                <w:bCs w:val="1"/>
                <w:color w:val="auto"/>
                <w:w w:val="93"/>
              </w:rPr>
              <w:t>Delaware</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60" w:type="dxa"/>
            <w:vAlign w:val="bottom"/>
            <w:gridSpan w:val="4"/>
          </w:tcPr>
          <w:p>
            <w:pPr>
              <w:jc w:val="right"/>
              <w:ind w:right="2326"/>
              <w:spacing w:after="0"/>
              <w:rPr>
                <w:sz w:val="20"/>
                <w:szCs w:val="20"/>
                <w:color w:val="auto"/>
              </w:rPr>
            </w:pPr>
            <w:r>
              <w:rPr>
                <w:rFonts w:ascii="Arial" w:cs="Arial" w:eastAsia="Arial" w:hAnsi="Arial"/>
                <w:sz w:val="16"/>
                <w:szCs w:val="16"/>
                <w:b w:val="1"/>
                <w:bCs w:val="1"/>
                <w:color w:val="auto"/>
              </w:rPr>
              <w:t>86-3988281</w:t>
            </w:r>
          </w:p>
        </w:tc>
      </w:tr>
      <w:tr>
        <w:trPr>
          <w:trHeight w:val="149"/>
        </w:trPr>
        <w:tc>
          <w:tcPr>
            <w:tcW w:w="3760" w:type="dxa"/>
            <w:vAlign w:val="bottom"/>
          </w:tcPr>
          <w:p>
            <w:pPr>
              <w:jc w:val="center"/>
              <w:ind w:left="175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20" w:type="dxa"/>
            <w:vAlign w:val="bottom"/>
          </w:tcPr>
          <w:p>
            <w:pPr>
              <w:jc w:val="center"/>
              <w:ind w:right="1366"/>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60" w:type="dxa"/>
            <w:vAlign w:val="bottom"/>
          </w:tcPr>
          <w:p>
            <w:pPr>
              <w:jc w:val="center"/>
              <w:ind w:left="1751"/>
              <w:spacing w:after="0"/>
              <w:rPr>
                <w:sz w:val="20"/>
                <w:szCs w:val="20"/>
                <w:color w:val="auto"/>
              </w:rPr>
            </w:pPr>
            <w:r>
              <w:rPr>
                <w:rFonts w:ascii="Arial" w:cs="Arial" w:eastAsia="Arial" w:hAnsi="Arial"/>
                <w:sz w:val="14"/>
                <w:szCs w:val="14"/>
                <w:b w:val="1"/>
                <w:bCs w:val="1"/>
                <w:color w:val="auto"/>
                <w:w w:val="94"/>
              </w:rPr>
              <w:t>incorporation or organization)</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jc w:val="center"/>
              <w:ind w:right="1386"/>
              <w:spacing w:after="0"/>
              <w:rPr>
                <w:sz w:val="20"/>
                <w:szCs w:val="20"/>
                <w:color w:val="auto"/>
              </w:rPr>
            </w:pPr>
            <w:r>
              <w:rPr>
                <w:rFonts w:ascii="Arial" w:cs="Arial" w:eastAsia="Arial" w:hAnsi="Arial"/>
                <w:sz w:val="14"/>
                <w:szCs w:val="14"/>
                <w:b w:val="1"/>
                <w:bCs w:val="1"/>
                <w:color w:val="auto"/>
                <w:w w:val="96"/>
              </w:rPr>
              <w:t>Identification No.)</w:t>
            </w:r>
          </w:p>
        </w:tc>
      </w:tr>
      <w:tr>
        <w:trPr>
          <w:trHeight w:val="296"/>
        </w:trPr>
        <w:tc>
          <w:tcPr>
            <w:tcW w:w="3760" w:type="dxa"/>
            <w:vAlign w:val="bottom"/>
          </w:tcPr>
          <w:p>
            <w:pPr>
              <w:jc w:val="center"/>
              <w:ind w:left="1751"/>
              <w:spacing w:after="0"/>
              <w:rPr>
                <w:sz w:val="20"/>
                <w:szCs w:val="20"/>
                <w:color w:val="auto"/>
              </w:rPr>
            </w:pPr>
            <w:r>
              <w:rPr>
                <w:rFonts w:ascii="Arial" w:cs="Arial" w:eastAsia="Arial" w:hAnsi="Arial"/>
                <w:sz w:val="16"/>
                <w:szCs w:val="16"/>
                <w:b w:val="1"/>
                <w:bCs w:val="1"/>
                <w:color w:val="auto"/>
                <w:w w:val="90"/>
              </w:rPr>
              <w:t>550 Cochituate Road</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7"/>
        </w:trPr>
        <w:tc>
          <w:tcPr>
            <w:tcW w:w="3760" w:type="dxa"/>
            <w:vAlign w:val="bottom"/>
          </w:tcPr>
          <w:p>
            <w:pPr>
              <w:jc w:val="center"/>
              <w:ind w:left="1731"/>
              <w:spacing w:after="0"/>
              <w:rPr>
                <w:sz w:val="20"/>
                <w:szCs w:val="20"/>
                <w:color w:val="auto"/>
              </w:rPr>
            </w:pPr>
            <w:r>
              <w:rPr>
                <w:rFonts w:ascii="Arial" w:cs="Arial" w:eastAsia="Arial" w:hAnsi="Arial"/>
                <w:sz w:val="16"/>
                <w:szCs w:val="16"/>
                <w:b w:val="1"/>
                <w:bCs w:val="1"/>
                <w:color w:val="auto"/>
                <w:w w:val="97"/>
              </w:rPr>
              <w:t>Framingham, MA</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60" w:type="dxa"/>
            <w:vAlign w:val="bottom"/>
            <w:gridSpan w:val="4"/>
          </w:tcPr>
          <w:p>
            <w:pPr>
              <w:jc w:val="right"/>
              <w:ind w:right="2506"/>
              <w:spacing w:after="0"/>
              <w:rPr>
                <w:sz w:val="20"/>
                <w:szCs w:val="20"/>
                <w:color w:val="auto"/>
              </w:rPr>
            </w:pPr>
            <w:r>
              <w:rPr>
                <w:rFonts w:ascii="Arial" w:cs="Arial" w:eastAsia="Arial" w:hAnsi="Arial"/>
                <w:sz w:val="16"/>
                <w:szCs w:val="16"/>
                <w:b w:val="1"/>
                <w:bCs w:val="1"/>
                <w:color w:val="auto"/>
              </w:rPr>
              <w:t>01701</w:t>
            </w:r>
          </w:p>
        </w:tc>
      </w:tr>
      <w:tr>
        <w:trPr>
          <w:trHeight w:val="186"/>
        </w:trPr>
        <w:tc>
          <w:tcPr>
            <w:tcW w:w="6540" w:type="dxa"/>
            <w:vAlign w:val="bottom"/>
            <w:gridSpan w:val="6"/>
          </w:tcPr>
          <w:p>
            <w:pPr>
              <w:jc w:val="center"/>
              <w:ind w:right="9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20" w:type="dxa"/>
            <w:vAlign w:val="bottom"/>
          </w:tcPr>
          <w:p>
            <w:pPr>
              <w:jc w:val="center"/>
              <w:ind w:right="1386"/>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3760" w:type="dxa"/>
            <w:vAlign w:val="bottom"/>
          </w:tcPr>
          <w:p>
            <w:pPr>
              <w:spacing w:after="0"/>
              <w:rPr>
                <w:sz w:val="24"/>
                <w:szCs w:val="24"/>
                <w:color w:val="auto"/>
              </w:rPr>
            </w:pPr>
          </w:p>
        </w:tc>
        <w:tc>
          <w:tcPr>
            <w:tcW w:w="2780" w:type="dxa"/>
            <w:vAlign w:val="bottom"/>
            <w:gridSpan w:val="5"/>
          </w:tcPr>
          <w:p>
            <w:pPr>
              <w:jc w:val="center"/>
              <w:ind w:left="782"/>
              <w:spacing w:after="0"/>
              <w:rPr>
                <w:sz w:val="20"/>
                <w:szCs w:val="20"/>
                <w:color w:val="auto"/>
              </w:rPr>
            </w:pPr>
            <w:r>
              <w:rPr>
                <w:rFonts w:ascii="Arial" w:cs="Arial" w:eastAsia="Arial" w:hAnsi="Arial"/>
                <w:sz w:val="16"/>
                <w:szCs w:val="16"/>
                <w:b w:val="1"/>
                <w:bCs w:val="1"/>
                <w:color w:val="auto"/>
                <w:w w:val="91"/>
              </w:rPr>
              <w:t>(508) 720-4224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86"/>
        </w:trPr>
        <w:tc>
          <w:tcPr>
            <w:tcW w:w="3760" w:type="dxa"/>
            <w:vAlign w:val="bottom"/>
          </w:tcPr>
          <w:p>
            <w:pPr>
              <w:spacing w:after="0"/>
              <w:rPr>
                <w:sz w:val="16"/>
                <w:szCs w:val="16"/>
                <w:color w:val="auto"/>
              </w:rPr>
            </w:pPr>
          </w:p>
        </w:tc>
        <w:tc>
          <w:tcPr>
            <w:tcW w:w="7440" w:type="dxa"/>
            <w:vAlign w:val="bottom"/>
            <w:gridSpan w:val="9"/>
          </w:tcPr>
          <w:p>
            <w:pPr>
              <w:jc w:val="center"/>
              <w:ind w:right="372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20"/>
        </w:trPr>
        <w:tc>
          <w:tcPr>
            <w:tcW w:w="42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120" w:type="dxa"/>
            <w:vAlign w:val="bottom"/>
          </w:tcPr>
          <w:p>
            <w:pPr>
              <w:spacing w:after="0"/>
              <w:rPr>
                <w:sz w:val="10"/>
                <w:szCs w:val="10"/>
                <w:color w:val="auto"/>
              </w:rPr>
            </w:pPr>
          </w:p>
        </w:tc>
      </w:tr>
      <w:tr>
        <w:trPr>
          <w:trHeight w:val="285"/>
        </w:trPr>
        <w:tc>
          <w:tcPr>
            <w:tcW w:w="6540" w:type="dxa"/>
            <w:vAlign w:val="bottom"/>
            <w:gridSpan w:val="6"/>
          </w:tcPr>
          <w:p>
            <w:pPr>
              <w:ind w:left="500"/>
              <w:spacing w:after="0"/>
              <w:rPr>
                <w:sz w:val="20"/>
                <w:szCs w:val="20"/>
                <w:color w:val="auto"/>
              </w:rPr>
            </w:pPr>
            <w:r>
              <w:rPr>
                <w:rFonts w:ascii="Arial" w:cs="Arial" w:eastAsia="Arial" w:hAnsi="Arial"/>
                <w:sz w:val="16"/>
                <w:szCs w:val="16"/>
                <w:color w:val="auto"/>
              </w:rPr>
              <w:t>Securities registered pursuant to Section 12(b) of the Act: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378"/>
        </w:trPr>
        <w:tc>
          <w:tcPr>
            <w:tcW w:w="3760" w:type="dxa"/>
            <w:vAlign w:val="bottom"/>
            <w:tcBorders>
              <w:bottom w:val="single" w:sz="8" w:color="auto"/>
            </w:tcBorders>
          </w:tcPr>
          <w:p>
            <w:pPr>
              <w:jc w:val="center"/>
              <w:ind w:left="351"/>
              <w:spacing w:after="0"/>
              <w:rPr>
                <w:sz w:val="20"/>
                <w:szCs w:val="20"/>
                <w:color w:val="auto"/>
              </w:rPr>
            </w:pPr>
            <w:r>
              <w:rPr>
                <w:rFonts w:ascii="Arial" w:cs="Arial" w:eastAsia="Arial" w:hAnsi="Arial"/>
                <w:sz w:val="14"/>
                <w:szCs w:val="14"/>
                <w:b w:val="1"/>
                <w:bCs w:val="1"/>
                <w:color w:val="auto"/>
                <w:w w:val="93"/>
              </w:rPr>
              <w:t>Title of Each Class</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Trading Symbol(s)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12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7"/>
        </w:trPr>
        <w:tc>
          <w:tcPr>
            <w:tcW w:w="3760" w:type="dxa"/>
            <w:vAlign w:val="bottom"/>
          </w:tcPr>
          <w:p>
            <w:pPr>
              <w:jc w:val="center"/>
              <w:ind w:left="351"/>
              <w:spacing w:after="0"/>
              <w:rPr>
                <w:sz w:val="20"/>
                <w:szCs w:val="20"/>
                <w:color w:val="auto"/>
              </w:rPr>
            </w:pPr>
            <w:r>
              <w:rPr>
                <w:rFonts w:ascii="Arial" w:cs="Arial" w:eastAsia="Arial" w:hAnsi="Arial"/>
                <w:sz w:val="16"/>
                <w:szCs w:val="16"/>
                <w:b w:val="1"/>
                <w:bCs w:val="1"/>
                <w:color w:val="auto"/>
                <w:w w:val="90"/>
              </w:rPr>
              <w:t>Class A Common Stock, $0.001 par value</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2"/>
          </w:tcPr>
          <w:p>
            <w:pPr>
              <w:jc w:val="center"/>
              <w:ind w:left="20"/>
              <w:spacing w:after="0"/>
              <w:rPr>
                <w:sz w:val="20"/>
                <w:szCs w:val="20"/>
                <w:color w:val="auto"/>
              </w:rPr>
            </w:pPr>
            <w:r>
              <w:rPr>
                <w:rFonts w:ascii="Arial" w:cs="Arial" w:eastAsia="Arial" w:hAnsi="Arial"/>
                <w:sz w:val="16"/>
                <w:szCs w:val="16"/>
                <w:b w:val="1"/>
                <w:bCs w:val="1"/>
                <w:color w:val="auto"/>
              </w:rPr>
              <w:t>DH</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20" w:type="dxa"/>
            <w:vAlign w:val="bottom"/>
          </w:tcPr>
          <w:p>
            <w:pPr>
              <w:ind w:left="900"/>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77" w:lineRule="exact"/>
        <w:rPr>
          <w:sz w:val="24"/>
          <w:szCs w:val="24"/>
          <w:color w:val="auto"/>
        </w:rPr>
      </w:pPr>
    </w:p>
    <w:p>
      <w:pPr>
        <w:ind w:firstLine="50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180" w:firstLine="509"/>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40" w:firstLine="509"/>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6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9" w:lineRule="exact"/>
        <w:rPr>
          <w:sz w:val="24"/>
          <w:szCs w:val="24"/>
          <w:color w:val="auto"/>
        </w:rPr>
      </w:pPr>
    </w:p>
    <w:p>
      <w:pPr>
        <w:ind w:right="80" w:firstLine="509"/>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right="21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by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2, 2022, the number of outstanding shares of the registrant’s Class A Common Stock was 100,511,143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0000FF"/>
            </w:tcBorders>
            <w:gridSpan w:val="2"/>
          </w:tcPr>
          <w:p>
            <w:pPr>
              <w:spacing w:after="0"/>
              <w:rPr>
                <w:rFonts w:ascii="Arial" w:cs="Arial" w:eastAsia="Arial" w:hAnsi="Arial"/>
                <w:sz w:val="18"/>
                <w:szCs w:val="18"/>
                <w:color w:val="0000FF"/>
                <w:w w:val="87"/>
              </w:rPr>
            </w:pPr>
            <w:hyperlink w:anchor="page3">
              <w:r>
                <w:rPr>
                  <w:rFonts w:ascii="Arial" w:cs="Arial" w:eastAsia="Arial" w:hAnsi="Arial"/>
                  <w:sz w:val="18"/>
                  <w:szCs w:val="18"/>
                  <w:color w:val="0000FF"/>
                  <w:w w:val="87"/>
                </w:rPr>
                <w:t>Glossary</w:t>
              </w:r>
            </w:hyperlink>
          </w:p>
        </w:tc>
        <w:tc>
          <w:tcPr>
            <w:tcW w:w="20" w:type="dxa"/>
            <w:vAlign w:val="bottom"/>
            <w:tcBorders>
              <w:bottom w:val="single" w:sz="8" w:color="0000EE"/>
            </w:tcBorders>
          </w:tcPr>
          <w:p>
            <w:pPr>
              <w:spacing w:after="0"/>
              <w:rPr>
                <w:sz w:val="24"/>
                <w:szCs w:val="24"/>
                <w:color w:val="auto"/>
              </w:rPr>
            </w:pPr>
          </w:p>
        </w:tc>
        <w:tc>
          <w:tcPr>
            <w:tcW w:w="8600" w:type="dxa"/>
            <w:vAlign w:val="bottom"/>
            <w:gridSpan w:val="2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Cautionary Note Regarding Forward-Looking Statements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w:t>
            </w:r>
          </w:p>
        </w:tc>
        <w:tc>
          <w:tcPr>
            <w:tcW w:w="4140" w:type="dxa"/>
            <w:vAlign w:val="bottom"/>
            <w:tcBorders>
              <w:top w:val="single" w:sz="8" w:color="0000FF"/>
            </w:tcBorders>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5120" w:type="dxa"/>
            <w:vAlign w:val="bottom"/>
            <w:gridSpan w:val="13"/>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5920" w:type="dxa"/>
            <w:vAlign w:val="bottom"/>
            <w:tcBorders>
              <w:bottom w:val="single" w:sz="8" w:color="0000EE"/>
            </w:tcBorders>
            <w:gridSpan w:val="1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 June 30, 2022 and December 31, 2021</w:t>
              </w:r>
            </w:hyperlink>
          </w:p>
        </w:tc>
        <w:tc>
          <w:tcPr>
            <w:tcW w:w="3340" w:type="dxa"/>
            <w:vAlign w:val="bottom"/>
            <w:gridSpan w:val="7"/>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 Three and Six Months ended June 30, 2022 and 2021</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0" w:type="dxa"/>
            <w:vAlign w:val="bottom"/>
            <w:tcBorders>
              <w:bottom w:val="single" w:sz="8" w:color="0000FF"/>
            </w:tcBorders>
            <w:gridSpan w:val="23"/>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Consolidated Statements of Comprehensive Loss – Three and Six Months ended June 30, 2022 and 2021</w:t>
              </w:r>
            </w:hyperlink>
          </w:p>
        </w:tc>
        <w:tc>
          <w:tcPr>
            <w:tcW w:w="20" w:type="dxa"/>
            <w:vAlign w:val="bottom"/>
            <w:tcBorders>
              <w:bottom w:val="single" w:sz="8" w:color="0000EE"/>
            </w:tcBorders>
          </w:tcPr>
          <w:p>
            <w:pPr>
              <w:spacing w:after="0"/>
              <w:rPr>
                <w:sz w:val="24"/>
                <w:szCs w:val="24"/>
                <w:color w:val="auto"/>
              </w:rPr>
            </w:pPr>
          </w:p>
        </w:tc>
        <w:tc>
          <w:tcPr>
            <w:tcW w:w="840" w:type="dxa"/>
            <w:vAlign w:val="bottom"/>
            <w:gridSpan w:val="2"/>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60" w:type="dxa"/>
            <w:vAlign w:val="bottom"/>
            <w:gridSpan w:val="26"/>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Condensed Consolidated Statements of Changes in Members’ Equity and Total Equity – Three and Six Months ended June 30,</w:t>
              </w:r>
            </w:hyperlink>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160" w:type="dxa"/>
            <w:vAlign w:val="bottom"/>
            <w:tcBorders>
              <w:top w:val="single" w:sz="8" w:color="0000FF"/>
            </w:tcBorders>
            <w:gridSpan w:val="25"/>
          </w:tcPr>
          <w:p>
            <w:pPr>
              <w:spacing w:after="0" w:line="156" w:lineRule="exact"/>
              <w:rPr>
                <w:rFonts w:ascii="Arial" w:cs="Arial" w:eastAsia="Arial" w:hAnsi="Arial"/>
                <w:sz w:val="18"/>
                <w:szCs w:val="18"/>
                <w:color w:val="0000FF"/>
              </w:rPr>
            </w:pPr>
            <w:hyperlink w:anchor="page8">
              <w:r>
                <w:rPr>
                  <w:rFonts w:ascii="Arial" w:cs="Arial" w:eastAsia="Arial" w:hAnsi="Arial"/>
                  <w:sz w:val="18"/>
                  <w:szCs w:val="18"/>
                  <w:color w:val="0000FF"/>
                </w:rPr>
                <w:t>2022 and 2021</w:t>
              </w:r>
            </w:hyperlink>
          </w:p>
        </w:tc>
        <w:tc>
          <w:tcPr>
            <w:tcW w:w="1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tcBorders>
              <w:bottom w:val="single" w:sz="8" w:color="0000FF"/>
            </w:tcBorders>
            <w:gridSpan w:val="21"/>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Consolidated Statements of Cash Flows – Six Months ended June 30, 2022 and 2021</w:t>
              </w:r>
            </w:hyperlink>
          </w:p>
        </w:tc>
        <w:tc>
          <w:tcPr>
            <w:tcW w:w="2300" w:type="dxa"/>
            <w:vAlign w:val="bottom"/>
            <w:gridSpan w:val="5"/>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11">
              <w:r>
                <w:rPr>
                  <w:rFonts w:ascii="Arial" w:cs="Arial" w:eastAsia="Arial" w:hAnsi="Arial"/>
                  <w:sz w:val="18"/>
                  <w:szCs w:val="18"/>
                  <w:color w:val="0000FF"/>
                  <w:w w:val="88"/>
                </w:rPr>
                <w:t>Notes to the Condensed Consolidated Financial Statements</w:t>
              </w:r>
            </w:hyperlink>
          </w:p>
        </w:tc>
        <w:tc>
          <w:tcPr>
            <w:tcW w:w="20" w:type="dxa"/>
            <w:vAlign w:val="bottom"/>
            <w:tcBorders>
              <w:bottom w:val="single" w:sz="8" w:color="0000EE"/>
            </w:tcBorders>
          </w:tcPr>
          <w:p>
            <w:pPr>
              <w:spacing w:after="0"/>
              <w:rPr>
                <w:sz w:val="24"/>
                <w:szCs w:val="24"/>
                <w:color w:val="auto"/>
              </w:rPr>
            </w:pPr>
          </w:p>
        </w:tc>
        <w:tc>
          <w:tcPr>
            <w:tcW w:w="4980" w:type="dxa"/>
            <w:vAlign w:val="bottom"/>
            <w:gridSpan w:val="11"/>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800" w:type="dxa"/>
            <w:vAlign w:val="bottom"/>
            <w:gridSpan w:val="6"/>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260" w:type="dxa"/>
            <w:vAlign w:val="bottom"/>
            <w:gridSpan w:val="2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4960" w:type="dxa"/>
            <w:vAlign w:val="bottom"/>
            <w:gridSpan w:val="10"/>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2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gridSpan w:val="3"/>
            <w:vMerge w:val="continue"/>
          </w:tcPr>
          <w:p>
            <w:pPr>
              <w:spacing w:after="0"/>
              <w:rPr>
                <w:sz w:val="24"/>
                <w:szCs w:val="24"/>
                <w:color w:val="auto"/>
              </w:rPr>
            </w:pPr>
          </w:p>
        </w:tc>
        <w:tc>
          <w:tcPr>
            <w:tcW w:w="1880" w:type="dxa"/>
            <w:vAlign w:val="bottom"/>
            <w:tcBorders>
              <w:bottom w:val="single" w:sz="8" w:color="0000FF"/>
            </w:tcBorders>
            <w:gridSpan w:val="10"/>
          </w:tcPr>
          <w:p>
            <w:pPr>
              <w:spacing w:after="0"/>
              <w:rPr>
                <w:rFonts w:ascii="Arial" w:cs="Arial" w:eastAsia="Arial" w:hAnsi="Arial"/>
                <w:sz w:val="18"/>
                <w:szCs w:val="18"/>
                <w:color w:val="0000FF"/>
                <w:w w:val="95"/>
              </w:rPr>
            </w:pPr>
            <w:hyperlink w:anchor="page41">
              <w:r>
                <w:rPr>
                  <w:rFonts w:ascii="Arial" w:cs="Arial" w:eastAsia="Arial" w:hAnsi="Arial"/>
                  <w:sz w:val="18"/>
                  <w:szCs w:val="18"/>
                  <w:color w:val="0000FF"/>
                  <w:w w:val="95"/>
                </w:rPr>
                <w:t>OTHER INFORMATION</w:t>
              </w:r>
            </w:hyperlink>
          </w:p>
        </w:tc>
        <w:tc>
          <w:tcPr>
            <w:tcW w:w="7380" w:type="dxa"/>
            <w:vAlign w:val="bottom"/>
            <w:gridSpan w:val="16"/>
          </w:tcPr>
          <w:p>
            <w:pPr>
              <w:spacing w:after="0"/>
              <w:rPr>
                <w:sz w:val="24"/>
                <w:szCs w:val="24"/>
                <w:color w:val="auto"/>
              </w:rPr>
            </w:pPr>
          </w:p>
        </w:tc>
        <w:tc>
          <w:tcPr>
            <w:tcW w:w="920" w:type="dxa"/>
            <w:vAlign w:val="bottom"/>
          </w:tcPr>
          <w:p>
            <w:pPr>
              <w:jc w:val="right"/>
              <w:ind w:right="251"/>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2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7"/>
              </w:rPr>
            </w:pPr>
            <w:hyperlink w:anchor="page41">
              <w:r>
                <w:rPr>
                  <w:rFonts w:ascii="Arial" w:cs="Arial" w:eastAsia="Arial" w:hAnsi="Arial"/>
                  <w:sz w:val="18"/>
                  <w:szCs w:val="18"/>
                  <w:color w:val="0000FF"/>
                  <w:w w:val="87"/>
                </w:rPr>
                <w:t>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3"/>
          </w:tcPr>
          <w:p>
            <w:pPr>
              <w:spacing w:after="0"/>
              <w:rPr>
                <w:sz w:val="24"/>
                <w:szCs w:val="24"/>
                <w:color w:val="auto"/>
              </w:rPr>
            </w:pPr>
          </w:p>
        </w:tc>
        <w:tc>
          <w:tcPr>
            <w:tcW w:w="7940" w:type="dxa"/>
            <w:vAlign w:val="bottom"/>
            <w:gridSpan w:val="18"/>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2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w:anchor="page41">
              <w:r>
                <w:rPr>
                  <w:rFonts w:ascii="Arial" w:cs="Arial" w:eastAsia="Arial" w:hAnsi="Arial"/>
                  <w:sz w:val="18"/>
                  <w:szCs w:val="18"/>
                  <w:color w:val="0000FF"/>
                  <w:w w:val="90"/>
                </w:rPr>
                <w:t>Defaults Upon Senior Securities</w:t>
              </w:r>
            </w:hyperlink>
          </w:p>
        </w:tc>
        <w:tc>
          <w:tcPr>
            <w:tcW w:w="2020" w:type="dxa"/>
            <w:vAlign w:val="bottom"/>
            <w:tcBorders>
              <w:top w:val="single" w:sz="8" w:color="0000FF"/>
            </w:tcBorders>
            <w:gridSpan w:val="5"/>
          </w:tcPr>
          <w:p>
            <w:pPr>
              <w:spacing w:after="0"/>
              <w:rPr>
                <w:sz w:val="24"/>
                <w:szCs w:val="24"/>
                <w:color w:val="auto"/>
              </w:rPr>
            </w:pPr>
          </w:p>
        </w:tc>
        <w:tc>
          <w:tcPr>
            <w:tcW w:w="4920" w:type="dxa"/>
            <w:vAlign w:val="bottom"/>
            <w:gridSpan w:val="9"/>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2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9"/>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7480" w:type="dxa"/>
            <w:vAlign w:val="bottom"/>
            <w:gridSpan w:val="17"/>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7"/>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Exhibits</w:t>
              </w:r>
            </w:hyperlink>
          </w:p>
        </w:tc>
        <w:tc>
          <w:tcPr>
            <w:tcW w:w="7960" w:type="dxa"/>
            <w:vAlign w:val="bottom"/>
            <w:gridSpan w:val="19"/>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20"/>
              <w:spacing w:after="0"/>
              <w:rPr>
                <w:rFonts w:ascii="Arial" w:cs="Arial" w:eastAsia="Arial" w:hAnsi="Arial"/>
                <w:sz w:val="18"/>
                <w:szCs w:val="18"/>
                <w:color w:val="0000FF"/>
              </w:rPr>
            </w:pPr>
            <w:hyperlink w:anchor="page43">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gridSpan w:val="18"/>
          </w:tcPr>
          <w:p>
            <w:pPr>
              <w:ind w:left="45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310"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As used in this quarterly report on Form 10-Q, the terms identified below have the meanings specified below unless otherwise noted or the context indicates otherwise. References in this Form 10-Q to “Definitive Healthcare Corp.” refer to Definitive Healthcare Corp. and not to any of its subsidiaries unless the context indicates otherwise. References in this Form 10-Q to “Definitive Healthcare”, "Definitive”, the “Company”, “we”, “us”, and “our” refer</w:t>
      </w:r>
    </w:p>
    <w:p>
      <w:pPr>
        <w:ind w:right="120" w:firstLine="8"/>
        <w:spacing w:after="0" w:line="303"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prior to the consummation of the Reorganization Transactions, to Definitive OpCo and its consolidated subsidiaries, and (2) after the consummation of the Reorganization Transactions, to Definitive Healthcare Corp. and its consolidated subsidiaries unless the context indicates otherwise.</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refers to funds affiliated with Advent International, a global private equity firm.</w:t>
      </w:r>
    </w:p>
    <w:p>
      <w:pPr>
        <w:spacing w:after="0" w:line="11" w:lineRule="exact"/>
        <w:rPr>
          <w:rFonts w:ascii="Arial" w:cs="Arial" w:eastAsia="Arial" w:hAnsi="Arial"/>
          <w:sz w:val="18"/>
          <w:szCs w:val="18"/>
          <w:color w:val="auto"/>
        </w:rPr>
      </w:pPr>
    </w:p>
    <w:p>
      <w:pPr>
        <w:ind w:left="1020" w:right="2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 Acquisition</w:t>
      </w:r>
      <w:r>
        <w:rPr>
          <w:rFonts w:ascii="Arial" w:cs="Arial" w:eastAsia="Arial" w:hAnsi="Arial"/>
          <w:sz w:val="18"/>
          <w:szCs w:val="18"/>
          <w:color w:val="auto"/>
        </w:rPr>
        <w:t>” refers to the purchase of a majority of the issued and outstanding units of DH Holdings by Advent on July 16, 2019. The acquisition was accounted for as a business combination and purchase accounting was applied.</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AIDH Management Holdings, LLC</w:t>
      </w:r>
      <w:r>
        <w:rPr>
          <w:rFonts w:ascii="Arial" w:cs="Arial" w:eastAsia="Arial" w:hAnsi="Arial"/>
          <w:sz w:val="18"/>
          <w:szCs w:val="18"/>
          <w:color w:val="auto"/>
        </w:rPr>
        <w:t>” is a special purpose investment vehicle through which certain persons, primarily employees and certain legacy investors, indirectly hold interests in Definitive OpCo.</w:t>
      </w:r>
    </w:p>
    <w:p>
      <w:pPr>
        <w:spacing w:after="0" w:line="1" w:lineRule="exact"/>
        <w:rPr>
          <w:rFonts w:ascii="Arial" w:cs="Arial" w:eastAsia="Arial" w:hAnsi="Arial"/>
          <w:sz w:val="18"/>
          <w:szCs w:val="18"/>
          <w:color w:val="auto"/>
        </w:rPr>
      </w:pPr>
    </w:p>
    <w:p>
      <w:pPr>
        <w:jc w:val="both"/>
        <w:ind w:left="1020" w:right="8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LLC Agreement</w:t>
      </w:r>
      <w:r>
        <w:rPr>
          <w:rFonts w:ascii="Arial" w:cs="Arial" w:eastAsia="Arial" w:hAnsi="Arial"/>
          <w:sz w:val="18"/>
          <w:szCs w:val="18"/>
          <w:color w:val="auto"/>
        </w:rPr>
        <w:t>” refers to the second amended and restated limited liability company agreement entered into by Definitive Opco pursuant to which members have the right to exchange all or a portion of their LLC units for newly issued shares of Class A Common Stock in Definitive Healthcare Corp.</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w:t>
      </w:r>
      <w:r>
        <w:rPr>
          <w:rFonts w:ascii="Arial" w:cs="Arial" w:eastAsia="Arial" w:hAnsi="Arial"/>
          <w:sz w:val="18"/>
          <w:szCs w:val="18"/>
          <w:color w:val="auto"/>
        </w:rPr>
        <w:t>” refers to annualized recurring revenue as of period end.</w:t>
      </w:r>
    </w:p>
    <w:p>
      <w:pPr>
        <w:ind w:left="1020" w:right="30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Company</w:t>
      </w:r>
      <w:r>
        <w:rPr>
          <w:rFonts w:ascii="Arial" w:cs="Arial" w:eastAsia="Arial" w:hAnsi="Arial"/>
          <w:sz w:val="18"/>
          <w:szCs w:val="18"/>
          <w:color w:val="auto"/>
        </w:rPr>
        <w:t>” or “</w:t>
      </w:r>
      <w:r>
        <w:rPr>
          <w:rFonts w:ascii="Arial" w:cs="Arial" w:eastAsia="Arial" w:hAnsi="Arial"/>
          <w:sz w:val="18"/>
          <w:szCs w:val="18"/>
          <w:u w:val="single" w:color="auto"/>
          <w:color w:val="auto"/>
        </w:rPr>
        <w:t>Blocker Companies</w:t>
      </w:r>
      <w:r>
        <w:rPr>
          <w:rFonts w:ascii="Arial" w:cs="Arial" w:eastAsia="Arial" w:hAnsi="Arial"/>
          <w:sz w:val="18"/>
          <w:szCs w:val="18"/>
          <w:color w:val="auto"/>
        </w:rPr>
        <w:t>” refers to certain entities treated as corporations for U.S. tax purposes that held LLC units in Definitive OpCo which, through the Reorganization Transactions, were merged into Definitive Healthcare Corp. and are now holders of Class A Common Stock.</w:t>
      </w:r>
    </w:p>
    <w:p>
      <w:pPr>
        <w:spacing w:after="0" w:line="2" w:lineRule="exact"/>
        <w:rPr>
          <w:rFonts w:ascii="Arial" w:cs="Arial" w:eastAsia="Arial" w:hAnsi="Arial"/>
          <w:sz w:val="18"/>
          <w:szCs w:val="18"/>
          <w:color w:val="auto"/>
        </w:rPr>
      </w:pPr>
    </w:p>
    <w:p>
      <w:pPr>
        <w:jc w:val="both"/>
        <w:ind w:left="1020" w:right="6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B Units</w:t>
      </w:r>
      <w:r>
        <w:rPr>
          <w:rFonts w:ascii="Arial" w:cs="Arial" w:eastAsia="Arial" w:hAnsi="Arial"/>
          <w:sz w:val="18"/>
          <w:szCs w:val="18"/>
          <w:color w:val="auto"/>
        </w:rPr>
        <w:t>” refers to units granted by AIDH Management Holdings, LLC prior to the Reorganization Transactions intended to be treated as “profit interests” for U.S. federal income tax purposes which have economic interests similar to Stock Appreciation Rights (“SARS”) and which are subject to vesting.</w:t>
      </w:r>
    </w:p>
    <w:p>
      <w:pPr>
        <w:spacing w:after="0" w:line="2"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LLC Members</w:t>
      </w:r>
      <w:r>
        <w:rPr>
          <w:rFonts w:ascii="Arial" w:cs="Arial" w:eastAsia="Arial" w:hAnsi="Arial"/>
          <w:sz w:val="18"/>
          <w:szCs w:val="18"/>
          <w:color w:val="auto"/>
        </w:rPr>
        <w:t>” refers to holders of LLC Units under the Amended LLC Agreement.</w:t>
      </w:r>
    </w:p>
    <w:p>
      <w:pPr>
        <w:ind w:left="1020" w:right="46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w:t>
      </w:r>
      <w:r>
        <w:rPr>
          <w:rFonts w:ascii="Arial" w:cs="Arial" w:eastAsia="Arial" w:hAnsi="Arial"/>
          <w:sz w:val="18"/>
          <w:szCs w:val="18"/>
          <w:color w:val="auto"/>
        </w:rPr>
        <w:t>” refers to AIDH TopCo, LLC, a Delaware limited liability company, and a subsidiary of Definitive Healthcare Corp., following the Reorganization Transactions.</w:t>
      </w:r>
    </w:p>
    <w:p>
      <w:pPr>
        <w:spacing w:after="0" w:line="1" w:lineRule="exact"/>
        <w:rPr>
          <w:rFonts w:ascii="Arial" w:cs="Arial" w:eastAsia="Arial" w:hAnsi="Arial"/>
          <w:sz w:val="18"/>
          <w:szCs w:val="18"/>
          <w:color w:val="auto"/>
        </w:rPr>
      </w:pPr>
    </w:p>
    <w:p>
      <w:pPr>
        <w:ind w:left="1020" w:right="24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OpCo Units</w:t>
      </w:r>
      <w:r>
        <w:rPr>
          <w:rFonts w:ascii="Arial" w:cs="Arial" w:eastAsia="Arial" w:hAnsi="Arial"/>
          <w:sz w:val="18"/>
          <w:szCs w:val="18"/>
          <w:color w:val="auto"/>
        </w:rPr>
        <w:t>” refers to unvested Class B Units held by employees of the Company or indirectly through Definitive OpCo at the time of the Reorganization Transactions that were exchanged for unvested Definitive OpCo units based on their respective participation thresholds and the IPO price of $27.00 per share.</w:t>
      </w:r>
    </w:p>
    <w:p>
      <w:pPr>
        <w:spacing w:after="0" w:line="2" w:lineRule="exact"/>
        <w:rPr>
          <w:rFonts w:ascii="Arial" w:cs="Arial" w:eastAsia="Arial" w:hAnsi="Arial"/>
          <w:sz w:val="18"/>
          <w:szCs w:val="18"/>
          <w:color w:val="auto"/>
        </w:rPr>
      </w:pPr>
    </w:p>
    <w:p>
      <w:pPr>
        <w:ind w:left="1020" w:right="58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DH Holdings</w:t>
      </w:r>
      <w:r>
        <w:rPr>
          <w:rFonts w:ascii="Arial" w:cs="Arial" w:eastAsia="Arial" w:hAnsi="Arial"/>
          <w:sz w:val="18"/>
          <w:szCs w:val="18"/>
          <w:color w:val="auto"/>
        </w:rPr>
        <w:t>” refers to Definitive Healthcare Holdings, LLC, a Delaware limited liability company and wholly-owned subsidiary of Definitive Healthcare Corp.</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Units</w:t>
      </w:r>
      <w:r>
        <w:rPr>
          <w:rFonts w:ascii="Arial" w:cs="Arial" w:eastAsia="Arial" w:hAnsi="Arial"/>
          <w:sz w:val="18"/>
          <w:szCs w:val="18"/>
          <w:color w:val="auto"/>
        </w:rPr>
        <w:t>” refers to limited liability company interests in Definitive OpCo.</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Definitive Healthcare Corp.</w:t>
      </w:r>
    </w:p>
    <w:p>
      <w:pPr>
        <w:ind w:left="1020" w:right="20" w:hanging="503"/>
        <w:spacing w:after="0" w:line="248"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NDR</w:t>
      </w:r>
      <w:r>
        <w:rPr>
          <w:rFonts w:ascii="Arial" w:cs="Arial" w:eastAsia="Arial" w:hAnsi="Arial"/>
          <w:sz w:val="17"/>
          <w:szCs w:val="17"/>
          <w:color w:val="auto"/>
        </w:rPr>
        <w:t>” or “</w:t>
      </w:r>
      <w:r>
        <w:rPr>
          <w:rFonts w:ascii="Arial" w:cs="Arial" w:eastAsia="Arial" w:hAnsi="Arial"/>
          <w:sz w:val="17"/>
          <w:szCs w:val="17"/>
          <w:u w:val="single" w:color="auto"/>
          <w:color w:val="auto"/>
        </w:rPr>
        <w:t>Net Dollar Retention Rate</w:t>
      </w:r>
      <w:r>
        <w:rPr>
          <w:rFonts w:ascii="Arial" w:cs="Arial" w:eastAsia="Arial" w:hAnsi="Arial"/>
          <w:sz w:val="17"/>
          <w:szCs w:val="17"/>
          <w:color w:val="auto"/>
        </w:rPr>
        <w:t>”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2" w:lineRule="exact"/>
        <w:rPr>
          <w:rFonts w:ascii="Arial" w:cs="Arial" w:eastAsia="Arial" w:hAnsi="Arial"/>
          <w:sz w:val="17"/>
          <w:szCs w:val="17"/>
          <w:color w:val="auto"/>
        </w:rPr>
      </w:pPr>
    </w:p>
    <w:p>
      <w:pPr>
        <w:ind w:left="1020" w:right="5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transactions completed in connection with the Company’s IPO as defined within Note 1 to our unaudited condensed consolidated financial statements included in Part I, Item 1 of this Form 10-Q.</w:t>
      </w:r>
    </w:p>
    <w:p>
      <w:pPr>
        <w:spacing w:after="0" w:line="1" w:lineRule="exact"/>
        <w:rPr>
          <w:rFonts w:ascii="Arial" w:cs="Arial" w:eastAsia="Arial" w:hAnsi="Arial"/>
          <w:sz w:val="18"/>
          <w:szCs w:val="18"/>
          <w:color w:val="auto"/>
        </w:rPr>
      </w:pP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 Equity</w:t>
      </w:r>
      <w:r>
        <w:rPr>
          <w:rFonts w:ascii="Arial" w:cs="Arial" w:eastAsia="Arial" w:hAnsi="Arial"/>
          <w:sz w:val="18"/>
          <w:szCs w:val="18"/>
          <w:color w:val="auto"/>
        </w:rPr>
        <w:t>” refers to investment funds associated with Spectrum Equity Management, L.P., a private equity firm.</w:t>
      </w:r>
    </w:p>
    <w:p>
      <w:pPr>
        <w:ind w:left="1020" w:hanging="503"/>
        <w:spacing w:after="0" w:line="23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Advent, 22C Capital, and Spectrum Equity.</w:t>
      </w:r>
    </w:p>
    <w:p>
      <w:pPr>
        <w:ind w:left="1020" w:hanging="503"/>
        <w:spacing w:after="0"/>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22C Capital</w:t>
      </w:r>
      <w:r>
        <w:rPr>
          <w:rFonts w:ascii="Arial" w:cs="Arial" w:eastAsia="Arial" w:hAnsi="Arial"/>
          <w:sz w:val="18"/>
          <w:szCs w:val="18"/>
          <w:color w:val="auto"/>
        </w:rPr>
        <w:t>” refers to investment funds associated with 22C Capital LLC, a private equity firm.</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8"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This Quarterly Report on Form 10-Q (“Quarterly Report”)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47"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but are not limited to, regional, national or global political, economic, business, competitive, market and regulatory conditions.</w:t>
      </w:r>
    </w:p>
    <w:p>
      <w:pPr>
        <w:spacing w:after="0" w:line="81"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For the reasons described above, we caution you against relying on any forward-looking statements, which should also be read in conjunction with Part I, Item 1A, “Risk Factors”, in our Annual Report on Form 10-K for the year ended December 31, 2021, or our “2021 Form 10-K”, and Part II, Item 1A in this Quarterly Report and the other cautionary statements that are included elsewhere in this Quarterly Report and in our public filings, including under “Management’s Discussion and Analysis of Financial Condition and Results of Operations”. Any forward-looking statement made by us speaks only as of the date on which we make it. We undertake no obligation to publicly update or revise any forward-looking statement, whether as a result of new information, future developments or otherwise, except as may be required by law.</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PART I - FINANCIAL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line="234" w:lineRule="auto"/>
        <w:rPr>
          <w:sz w:val="20"/>
          <w:szCs w:val="20"/>
          <w:color w:val="auto"/>
        </w:rPr>
      </w:pPr>
      <w:r>
        <w:rPr>
          <w:rFonts w:ascii="Arial" w:cs="Arial" w:eastAsia="Arial" w:hAnsi="Arial"/>
          <w:sz w:val="18"/>
          <w:szCs w:val="18"/>
          <w:i w:val="1"/>
          <w:iCs w:val="1"/>
          <w:color w:val="auto"/>
        </w:rPr>
        <w:t>(in thousands, except number of shares and par value)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228,202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387,498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118,216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31,734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43,336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9,591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6,518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deferred contract costs</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8,469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6,880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396,212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444,232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 net</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10,552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3,243</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Deferred contract costs, net of current portion</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12,933</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11,667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Investment in equity securities</w:t>
            </w:r>
          </w:p>
        </w:tc>
        <w:tc>
          <w:tcPr>
            <w:tcW w:w="24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32,675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372,196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352,470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1,322,959</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2,122,855</w:t>
            </w:r>
          </w:p>
        </w:tc>
        <w:tc>
          <w:tcPr>
            <w:tcW w:w="2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2,115,988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Equity</w:t>
            </w: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6,692</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14,682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22,658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deferred revenue</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88,714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83,611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term loan</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6,875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6,875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2,225</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70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119,188</w:t>
            </w:r>
          </w:p>
        </w:tc>
        <w:tc>
          <w:tcPr>
            <w:tcW w:w="26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117,795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 term liabilities: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278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Term loan, net of current portion</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260,646</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263,808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10,596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receivable agreements liability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155,900</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153,529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85,596</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75,888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1,951</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634,155</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Equity:</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700" w:type="dxa"/>
            <w:vAlign w:val="bottom"/>
          </w:tcPr>
          <w:p>
            <w:pPr>
              <w:ind w:left="200"/>
              <w:spacing w:after="0" w:line="162" w:lineRule="exact"/>
              <w:rPr>
                <w:sz w:val="20"/>
                <w:szCs w:val="20"/>
                <w:color w:val="auto"/>
              </w:rPr>
            </w:pPr>
            <w:r>
              <w:rPr>
                <w:rFonts w:ascii="Arial" w:cs="Arial" w:eastAsia="Arial" w:hAnsi="Arial"/>
                <w:sz w:val="18"/>
                <w:szCs w:val="18"/>
                <w:color w:val="auto"/>
              </w:rPr>
              <w:t>Class A Common Stock, par value $0.001, 600,000,000 shares authorized, 100,484,715 and</w:t>
            </w:r>
          </w:p>
        </w:tc>
        <w:tc>
          <w:tcPr>
            <w:tcW w:w="24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w w:val="95"/>
              </w:rPr>
              <w:t>97,030,095 shares issued and outstanding at June 30, 2022 and December 31, 2021, respectively</w:t>
            </w:r>
          </w:p>
        </w:tc>
        <w:tc>
          <w:tcPr>
            <w:tcW w:w="2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70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Class B Common Stock, par value $0.00001, 65,000,000 shares authorized, 54,745,380 and</w:t>
            </w:r>
          </w:p>
        </w:tc>
        <w:tc>
          <w:tcPr>
            <w:tcW w:w="24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8"/>
              </w:rPr>
              <w:t>52,196,192 shares issued and outstanding, respectively, at June 30, 2022, and 58,244,627 and</w:t>
            </w:r>
          </w:p>
        </w:tc>
        <w:tc>
          <w:tcPr>
            <w:tcW w:w="240" w:type="dxa"/>
            <w:vAlign w:val="bottom"/>
            <w:shd w:val="clear" w:color="auto" w:fill="CFF0FC"/>
          </w:tcPr>
          <w:p>
            <w:pPr>
              <w:spacing w:after="0"/>
              <w:rPr>
                <w:sz w:val="15"/>
                <w:szCs w:val="15"/>
                <w:color w:val="auto"/>
              </w:rPr>
            </w:pPr>
          </w:p>
        </w:tc>
        <w:tc>
          <w:tcPr>
            <w:tcW w:w="16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5"/>
                <w:szCs w:val="15"/>
                <w:color w:val="auto"/>
              </w:rPr>
            </w:pPr>
          </w:p>
        </w:tc>
        <w:tc>
          <w:tcPr>
            <w:tcW w:w="15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55,488,221 shares issued and outstanding, respectively at December 31, 2021</w:t>
            </w:r>
          </w:p>
        </w:tc>
        <w:tc>
          <w:tcPr>
            <w:tcW w:w="240" w:type="dxa"/>
            <w:vAlign w:val="bottom"/>
            <w:shd w:val="clear" w:color="auto" w:fill="CFF0FC"/>
          </w:tcPr>
          <w:p>
            <w:pPr>
              <w:spacing w:after="0"/>
              <w:rPr>
                <w:sz w:val="18"/>
                <w:szCs w:val="18"/>
                <w:color w:val="auto"/>
              </w:rPr>
            </w:pPr>
          </w:p>
        </w:tc>
        <w:tc>
          <w:tcPr>
            <w:tcW w:w="1620" w:type="dxa"/>
            <w:vAlign w:val="bottom"/>
            <w:gridSpan w:val="2"/>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929,842</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890,724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1,994</w:t>
            </w: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7"/>
                <w:szCs w:val="17"/>
                <w:color w:val="auto"/>
              </w:rPr>
            </w:pPr>
          </w:p>
        </w:tc>
        <w:tc>
          <w:tcPr>
            <w:tcW w:w="1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(31,451 )</w:t>
            </w:r>
          </w:p>
        </w:tc>
        <w:tc>
          <w:tcPr>
            <w:tcW w:w="160" w:type="dxa"/>
            <w:vAlign w:val="bottom"/>
          </w:tcPr>
          <w:p>
            <w:pPr>
              <w:spacing w:after="0"/>
              <w:rPr>
                <w:sz w:val="17"/>
                <w:szCs w:val="17"/>
                <w:color w:val="auto"/>
              </w:rPr>
            </w:pPr>
          </w:p>
        </w:tc>
        <w:tc>
          <w:tcPr>
            <w:tcW w:w="15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(17,677 )</w:t>
            </w:r>
          </w:p>
        </w:tc>
        <w:tc>
          <w:tcPr>
            <w:tcW w:w="0" w:type="dxa"/>
            <w:vAlign w:val="bottom"/>
          </w:tcPr>
          <w:p>
            <w:pPr>
              <w:spacing w:after="0"/>
              <w:rPr>
                <w:sz w:val="1"/>
                <w:szCs w:val="1"/>
                <w:color w:val="auto"/>
              </w:rPr>
            </w:pPr>
          </w:p>
        </w:tc>
      </w:tr>
      <w:tr>
        <w:trPr>
          <w:trHeight w:val="203"/>
        </w:trPr>
        <w:tc>
          <w:tcPr>
            <w:tcW w:w="77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588,215</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630,056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0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equity</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1,488,700</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1,503,262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7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2,122,855</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2,115,988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-4942840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-4942840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-3905250</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-3905250</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-2842260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-1805305</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-1805305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-296545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20"/>
        <w:spacing w:after="0" w:line="234" w:lineRule="auto"/>
        <w:rPr>
          <w:sz w:val="20"/>
          <w:szCs w:val="20"/>
          <w:color w:val="auto"/>
        </w:rPr>
      </w:pPr>
      <w:r>
        <w:rPr>
          <w:rFonts w:ascii="Arial" w:cs="Arial" w:eastAsia="Arial" w:hAnsi="Arial"/>
          <w:sz w:val="18"/>
          <w:szCs w:val="18"/>
          <w:i w:val="1"/>
          <w:iCs w:val="1"/>
          <w:color w:val="auto"/>
        </w:rPr>
        <w:t>(amounts in thousands, except share amounts and per share data)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80" w:type="dxa"/>
            <w:vAlign w:val="bottom"/>
            <w:gridSpan w:val="5"/>
          </w:tcPr>
          <w:p>
            <w:pPr>
              <w:jc w:val="right"/>
              <w:ind w:right="4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54,548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39,821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104,672</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76,757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revenue exclusive of amortization</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12,148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5,580</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10,958</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42,770</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29,952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81,566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57,451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23,585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12,884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44,878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24,627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Product development</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8,706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15,556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19,846</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10,194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9,608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20,068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19,054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Transaction and restructuring expenses</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2,107</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3,431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3,417</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3,469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53,984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103,765</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66,232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(11,214</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(6,623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(22,199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3,901</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7"/>
                <w:szCs w:val="17"/>
                <w:color w:val="auto"/>
              </w:rPr>
            </w:pPr>
          </w:p>
        </w:tc>
        <w:tc>
          <w:tcPr>
            <w:tcW w:w="12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(2,580 )</w:t>
            </w:r>
          </w:p>
        </w:tc>
        <w:tc>
          <w:tcPr>
            <w:tcW w:w="26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(8,316 )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(4,464 )</w:t>
            </w:r>
          </w:p>
        </w:tc>
        <w:tc>
          <w:tcPr>
            <w:tcW w:w="26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(16,770 )</w:t>
            </w:r>
          </w:p>
        </w:tc>
        <w:tc>
          <w:tcPr>
            <w:tcW w:w="0" w:type="dxa"/>
            <w:vAlign w:val="bottom"/>
          </w:tcPr>
          <w:p>
            <w:pPr>
              <w:spacing w:after="0"/>
              <w:rPr>
                <w:sz w:val="1"/>
                <w:szCs w:val="1"/>
                <w:color w:val="auto"/>
              </w:rPr>
            </w:pPr>
          </w:p>
        </w:tc>
      </w:tr>
      <w:tr>
        <w:trPr>
          <w:trHeight w:val="183"/>
        </w:trPr>
        <w:tc>
          <w:tcPr>
            <w:tcW w:w="576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(8,416</w:t>
            </w:r>
          </w:p>
        </w:tc>
        <w:tc>
          <w:tcPr>
            <w:tcW w:w="100" w:type="dxa"/>
            <w:vAlign w:val="bottom"/>
            <w:tcBorders>
              <w:top w:val="single" w:sz="8" w:color="CFF0FC"/>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(563</w:t>
            </w:r>
          </w:p>
        </w:tc>
        <w:tc>
          <w:tcPr>
            <w:tcW w:w="200" w:type="dxa"/>
            <w:vAlign w:val="bottom"/>
            <w:tcBorders>
              <w:top w:val="single" w:sz="8" w:color="CFF0FC"/>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(16,746</w:t>
            </w:r>
          </w:p>
        </w:tc>
        <w:tc>
          <w:tcPr>
            <w:tcW w:w="100" w:type="dxa"/>
            <w:vAlign w:val="bottom"/>
            <w:tcBorders>
              <w:top w:val="single" w:sz="8" w:color="CFF0FC"/>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760" w:type="dxa"/>
            <w:vAlign w:val="bottom"/>
          </w:tcPr>
          <w:p>
            <w:pPr>
              <w:ind w:left="560"/>
              <w:spacing w:after="0" w:line="196" w:lineRule="exact"/>
              <w:rPr>
                <w:sz w:val="20"/>
                <w:szCs w:val="20"/>
                <w:color w:val="auto"/>
              </w:rPr>
            </w:pPr>
            <w:r>
              <w:rPr>
                <w:rFonts w:ascii="Arial" w:cs="Arial" w:eastAsia="Arial" w:hAnsi="Arial"/>
                <w:sz w:val="18"/>
                <w:szCs w:val="18"/>
                <w:color w:val="auto"/>
              </w:rPr>
              <w:t>Net loss before income taxes</w:t>
            </w:r>
          </w:p>
        </w:tc>
        <w:tc>
          <w:tcPr>
            <w:tcW w:w="220" w:type="dxa"/>
            <w:vAlign w:val="bottom"/>
          </w:tcPr>
          <w:p>
            <w:pPr>
              <w:spacing w:after="0"/>
              <w:rPr>
                <w:sz w:val="17"/>
                <w:szCs w:val="17"/>
                <w:color w:val="auto"/>
              </w:rPr>
            </w:pP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(9,792 )</w:t>
            </w:r>
          </w:p>
        </w:tc>
        <w:tc>
          <w:tcPr>
            <w:tcW w:w="26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(15,039 )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(22,762 )</w:t>
            </w:r>
          </w:p>
        </w:tc>
        <w:tc>
          <w:tcPr>
            <w:tcW w:w="26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(25,527 )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213</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60" w:type="dxa"/>
            <w:vAlign w:val="bottom"/>
          </w:tcPr>
          <w:p>
            <w:pPr>
              <w:ind w:left="56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7"/>
                <w:szCs w:val="17"/>
                <w:color w:val="auto"/>
              </w:rPr>
            </w:pP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(9,579 )</w:t>
            </w:r>
          </w:p>
        </w:tc>
        <w:tc>
          <w:tcPr>
            <w:tcW w:w="260" w:type="dxa"/>
            <w:vAlign w:val="bottom"/>
          </w:tcPr>
          <w:p>
            <w:pPr>
              <w:spacing w:after="0"/>
              <w:rPr>
                <w:sz w:val="17"/>
                <w:szCs w:val="17"/>
                <w:color w:val="auto"/>
              </w:rPr>
            </w:pP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(15,039 )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(22,636 )</w:t>
            </w:r>
          </w:p>
        </w:tc>
        <w:tc>
          <w:tcPr>
            <w:tcW w:w="26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(25,527 )</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rPr>
              <w:t>Less: Net loss attributable to Definitive OpCo prior to the</w:t>
            </w:r>
          </w:p>
        </w:tc>
        <w:tc>
          <w:tcPr>
            <w:tcW w:w="22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(15,039 )</w:t>
            </w: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3"/>
                <w:szCs w:val="13"/>
                <w:color w:val="auto"/>
              </w:rPr>
            </w:pPr>
          </w:p>
        </w:tc>
        <w:tc>
          <w:tcPr>
            <w:tcW w:w="9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(25,527 )</w:t>
            </w:r>
          </w:p>
        </w:tc>
        <w:tc>
          <w:tcPr>
            <w:tcW w:w="0" w:type="dxa"/>
            <w:vAlign w:val="bottom"/>
          </w:tcPr>
          <w:p>
            <w:pPr>
              <w:spacing w:after="0"/>
              <w:rPr>
                <w:sz w:val="1"/>
                <w:szCs w:val="1"/>
                <w:color w:val="auto"/>
              </w:rPr>
            </w:pPr>
          </w:p>
        </w:tc>
      </w:tr>
      <w:tr>
        <w:trPr>
          <w:trHeight w:val="135"/>
        </w:trPr>
        <w:tc>
          <w:tcPr>
            <w:tcW w:w="5760" w:type="dxa"/>
            <w:vAlign w:val="bottom"/>
            <w:vMerge w:val="restart"/>
            <w:shd w:val="clear" w:color="auto" w:fill="CFF0FC"/>
          </w:tcPr>
          <w:p>
            <w:pPr>
              <w:ind w:left="200"/>
              <w:spacing w:after="0"/>
              <w:rPr>
                <w:sz w:val="20"/>
                <w:szCs w:val="20"/>
                <w:color w:val="auto"/>
              </w:rPr>
            </w:pPr>
            <w:r>
              <w:rPr>
                <w:rFonts w:ascii="Arial" w:cs="Arial" w:eastAsia="Arial" w:hAnsi="Arial"/>
                <w:sz w:val="18"/>
                <w:szCs w:val="18"/>
                <w:color w:val="auto"/>
              </w:rPr>
              <w:t>Reorganization Transactions</w:t>
            </w:r>
          </w:p>
        </w:tc>
        <w:tc>
          <w:tcPr>
            <w:tcW w:w="220" w:type="dxa"/>
            <w:vAlign w:val="bottom"/>
            <w:shd w:val="clear" w:color="auto" w:fill="CFF0FC"/>
          </w:tcPr>
          <w:p>
            <w:pPr>
              <w:spacing w:after="0"/>
              <w:rPr>
                <w:sz w:val="11"/>
                <w:szCs w:val="11"/>
                <w:color w:val="auto"/>
              </w:rPr>
            </w:pPr>
          </w:p>
        </w:tc>
        <w:tc>
          <w:tcPr>
            <w:tcW w:w="96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40" w:type="dxa"/>
            <w:vAlign w:val="bottom"/>
            <w:gridSpan w:val="2"/>
            <w:vMerge w:val="continue"/>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9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760" w:type="dxa"/>
            <w:vAlign w:val="bottom"/>
            <w:vMerge w:val="continue"/>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6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220" w:type="dxa"/>
            <w:vAlign w:val="bottom"/>
            <w:shd w:val="clear" w:color="auto" w:fill="CFF0FC"/>
          </w:tcPr>
          <w:p>
            <w:pPr>
              <w:spacing w:after="0"/>
              <w:rPr>
                <w:sz w:val="7"/>
                <w:szCs w:val="7"/>
                <w:color w:val="auto"/>
              </w:rPr>
            </w:pPr>
          </w:p>
        </w:tc>
        <w:tc>
          <w:tcPr>
            <w:tcW w:w="940" w:type="dxa"/>
            <w:vAlign w:val="bottom"/>
            <w:shd w:val="clear" w:color="auto" w:fill="CFF0FC"/>
          </w:tcPr>
          <w:p>
            <w:pPr>
              <w:spacing w:after="0"/>
              <w:rPr>
                <w:sz w:val="7"/>
                <w:szCs w:val="7"/>
                <w:color w:val="auto"/>
              </w:rPr>
            </w:pPr>
          </w:p>
        </w:tc>
        <w:tc>
          <w:tcPr>
            <w:tcW w:w="200" w:type="dxa"/>
            <w:vAlign w:val="bottom"/>
            <w:shd w:val="clear" w:color="auto" w:fill="CFF0FC"/>
          </w:tcPr>
          <w:p>
            <w:pPr>
              <w:spacing w:after="0"/>
              <w:rPr>
                <w:sz w:val="7"/>
                <w:szCs w:val="7"/>
                <w:color w:val="auto"/>
              </w:rPr>
            </w:pPr>
          </w:p>
        </w:tc>
        <w:tc>
          <w:tcPr>
            <w:tcW w:w="260" w:type="dxa"/>
            <w:vAlign w:val="bottom"/>
            <w:shd w:val="clear" w:color="auto" w:fill="CFF0FC"/>
          </w:tcPr>
          <w:p>
            <w:pPr>
              <w:spacing w:after="0"/>
              <w:rPr>
                <w:sz w:val="7"/>
                <w:szCs w:val="7"/>
                <w:color w:val="auto"/>
              </w:rPr>
            </w:pPr>
          </w:p>
        </w:tc>
        <w:tc>
          <w:tcPr>
            <w:tcW w:w="8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0"/>
              <w:spacing w:after="0" w:line="202" w:lineRule="exact"/>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tcPr>
          <w:p>
            <w:pPr>
              <w:spacing w:after="0"/>
              <w:rPr>
                <w:sz w:val="17"/>
                <w:szCs w:val="17"/>
                <w:color w:val="auto"/>
              </w:rPr>
            </w:pPr>
          </w:p>
        </w:tc>
        <w:tc>
          <w:tcPr>
            <w:tcW w:w="12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(4,429 )</w:t>
            </w:r>
          </w:p>
        </w:tc>
        <w:tc>
          <w:tcPr>
            <w:tcW w:w="260" w:type="dxa"/>
            <w:vAlign w:val="bottom"/>
          </w:tcPr>
          <w:p>
            <w:pPr>
              <w:spacing w:after="0"/>
              <w:rPr>
                <w:sz w:val="17"/>
                <w:szCs w:val="17"/>
                <w:color w:val="auto"/>
              </w:rPr>
            </w:pPr>
          </w:p>
        </w:tc>
        <w:tc>
          <w:tcPr>
            <w:tcW w:w="10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(8,862 )</w:t>
            </w:r>
          </w:p>
        </w:tc>
        <w:tc>
          <w:tcPr>
            <w:tcW w:w="260" w:type="dxa"/>
            <w:vAlign w:val="bottom"/>
          </w:tcPr>
          <w:p>
            <w:pPr>
              <w:spacing w:after="0"/>
              <w:rPr>
                <w:sz w:val="17"/>
                <w:szCs w:val="17"/>
                <w:color w:val="auto"/>
              </w:rPr>
            </w:pPr>
          </w:p>
        </w:tc>
        <w:tc>
          <w:tcPr>
            <w:tcW w:w="9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76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Net loss attributable to Definitive Healthcare Corp.</w:t>
            </w: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(5,150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(13,774</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tcPr>
          <w:p>
            <w:pPr>
              <w:ind w:left="20"/>
              <w:spacing w:after="0" w:line="183" w:lineRule="exact"/>
              <w:rPr>
                <w:sz w:val="20"/>
                <w:szCs w:val="20"/>
                <w:color w:val="auto"/>
              </w:rPr>
            </w:pPr>
            <w:r>
              <w:rPr>
                <w:rFonts w:ascii="Arial" w:cs="Arial" w:eastAsia="Arial" w:hAnsi="Arial"/>
                <w:sz w:val="18"/>
                <w:szCs w:val="18"/>
                <w:color w:val="auto"/>
              </w:rPr>
              <w:t>Net loss per share of Class A Common Stock:</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shd w:val="clear" w:color="auto" w:fill="CFF0FC"/>
          </w:tcPr>
          <w:p>
            <w:pPr>
              <w:ind w:left="380"/>
              <w:spacing w:after="0" w:line="202" w:lineRule="exact"/>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23"/>
                <w:szCs w:val="23"/>
                <w:color w:val="auto"/>
                <w:vertAlign w:val="superscript"/>
              </w:rPr>
              <w:t>(1)</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(0.05 )</w:t>
            </w:r>
          </w:p>
        </w:tc>
        <w:tc>
          <w:tcPr>
            <w:tcW w:w="26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ind w:left="540"/>
              <w:spacing w:after="0" w:line="202" w:lineRule="exact"/>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(0.14 )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83"/>
        </w:trPr>
        <w:tc>
          <w:tcPr>
            <w:tcW w:w="5760" w:type="dxa"/>
            <w:vAlign w:val="bottom"/>
            <w:tcBorders>
              <w:top w:val="single" w:sz="8" w:color="CFF0FC"/>
            </w:tcBorders>
          </w:tcPr>
          <w:p>
            <w:pPr>
              <w:ind w:left="20"/>
              <w:spacing w:after="0" w:line="183" w:lineRule="exact"/>
              <w:rPr>
                <w:sz w:val="20"/>
                <w:szCs w:val="20"/>
                <w:color w:val="auto"/>
              </w:rPr>
            </w:pPr>
            <w:r>
              <w:rPr>
                <w:rFonts w:ascii="Arial" w:cs="Arial" w:eastAsia="Arial" w:hAnsi="Arial"/>
                <w:sz w:val="18"/>
                <w:szCs w:val="18"/>
                <w:color w:val="auto"/>
              </w:rPr>
              <w:t>Weighted average Class A Common Stock outstanding:</w:t>
            </w: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7"/>
                <w:szCs w:val="17"/>
                <w:color w:val="auto"/>
              </w:rPr>
              <w:t xml:space="preserve">Basic and diluted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99,203,697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ind w:left="540"/>
              <w:spacing w:after="0" w:line="202" w:lineRule="exact"/>
              <w:rPr>
                <w:sz w:val="20"/>
                <w:szCs w:val="20"/>
                <w:color w:val="auto"/>
              </w:rPr>
            </w:pPr>
            <w:r>
              <w:rPr>
                <w:rFonts w:ascii="Arial" w:cs="Arial" w:eastAsia="Arial" w:hAnsi="Arial"/>
                <w:sz w:val="18"/>
                <w:szCs w:val="18"/>
                <w:color w:val="auto"/>
                <w:w w:val="99"/>
              </w:rPr>
              <w:t>N/A</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98,186,909</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-3074035</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-3074035</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-3074035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-3074035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-2293620</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-2293620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-2293620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-2293620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-1649095</wp:posOffset>
            </wp:positionV>
            <wp:extent cx="10287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-1649095</wp:posOffset>
            </wp:positionV>
            <wp:extent cx="93980"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-1649095</wp:posOffset>
            </wp:positionV>
            <wp:extent cx="93980"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6978650</wp:posOffset>
            </wp:positionH>
            <wp:positionV relativeFrom="paragraph">
              <wp:posOffset>-1649095</wp:posOffset>
            </wp:positionV>
            <wp:extent cx="93980" cy="1625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-1239520</wp:posOffset>
            </wp:positionV>
            <wp:extent cx="774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-1239520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-1239520</wp:posOffset>
            </wp:positionV>
            <wp:extent cx="685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-1239520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-591185</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-574040</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-591185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-574040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-591185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-574040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-591185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-574040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-307975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-290830</wp:posOffset>
            </wp:positionV>
            <wp:extent cx="774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-307975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-290830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-307975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-290830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-307975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-290830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firstLine="8"/>
        <w:spacing w:after="0" w:line="358" w:lineRule="auto"/>
        <w:tabs>
          <w:tab w:leader="none" w:pos="204" w:val="left"/>
        </w:tabs>
        <w:numPr>
          <w:ilvl w:val="0"/>
          <w:numId w:val="4"/>
        </w:numPr>
        <w:rPr>
          <w:rFonts w:ascii="Arial" w:cs="Arial" w:eastAsia="Arial" w:hAnsi="Arial"/>
          <w:sz w:val="12"/>
          <w:szCs w:val="12"/>
          <w:color w:val="auto"/>
        </w:rPr>
      </w:pPr>
      <w:r>
        <w:rPr>
          <w:rFonts w:ascii="Arial" w:cs="Arial" w:eastAsia="Arial" w:hAnsi="Arial"/>
          <w:sz w:val="12"/>
          <w:szCs w:val="12"/>
          <w:color w:val="auto"/>
        </w:rPr>
        <w:t>Basic and diluted net loss per share of Class A Common Stock is applicable only for the periods beginning from September 15, 2021, which is the period following the IPO and related Reorganization Transactions. See Note 19 for the number of shares used in the computation of net loss per share of Class A Common Stock and the basis for the computation of net loss per share.</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3000" w:type="dxa"/>
            <w:vAlign w:val="bottom"/>
            <w:gridSpan w:val="6"/>
          </w:tcPr>
          <w:p>
            <w:pPr>
              <w:jc w:val="right"/>
              <w:ind w:right="601"/>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780" w:type="dxa"/>
            <w:vAlign w:val="bottom"/>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(9,579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(15,039</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(22,636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(25,527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7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(19 )</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780" w:type="dxa"/>
            <w:vAlign w:val="bottom"/>
          </w:tcPr>
          <w:p>
            <w:pPr>
              <w:spacing w:after="0"/>
              <w:rPr>
                <w:sz w:val="17"/>
                <w:szCs w:val="17"/>
                <w:color w:val="auto"/>
              </w:rPr>
            </w:pPr>
          </w:p>
        </w:tc>
        <w:tc>
          <w:tcPr>
            <w:tcW w:w="7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(143 )</w:t>
            </w:r>
          </w:p>
        </w:tc>
        <w:tc>
          <w:tcPr>
            <w:tcW w:w="300" w:type="dxa"/>
            <w:vAlign w:val="bottom"/>
          </w:tcPr>
          <w:p>
            <w:pPr>
              <w:spacing w:after="0"/>
              <w:rPr>
                <w:sz w:val="17"/>
                <w:szCs w:val="17"/>
                <w:color w:val="auto"/>
              </w:rPr>
            </w:pP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(452 )</w:t>
            </w:r>
          </w:p>
        </w:tc>
        <w:tc>
          <w:tcPr>
            <w:tcW w:w="30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on interest rate hedging instruments</w:t>
            </w:r>
          </w:p>
        </w:tc>
        <w:tc>
          <w:tcPr>
            <w:tcW w:w="7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1,694</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3,340</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ind w:left="380"/>
              <w:spacing w:after="0" w:line="196" w:lineRule="exact"/>
              <w:rPr>
                <w:sz w:val="20"/>
                <w:szCs w:val="20"/>
                <w:color w:val="auto"/>
              </w:rPr>
            </w:pPr>
            <w:r>
              <w:rPr>
                <w:rFonts w:ascii="Arial" w:cs="Arial" w:eastAsia="Arial" w:hAnsi="Arial"/>
                <w:sz w:val="18"/>
                <w:szCs w:val="18"/>
                <w:color w:val="auto"/>
              </w:rPr>
              <w:t>Comprehensive loss</w:t>
            </w:r>
          </w:p>
        </w:tc>
        <w:tc>
          <w:tcPr>
            <w:tcW w:w="780" w:type="dxa"/>
            <w:vAlign w:val="bottom"/>
          </w:tcPr>
          <w:p>
            <w:pPr>
              <w:spacing w:after="0"/>
              <w:rPr>
                <w:sz w:val="17"/>
                <w:szCs w:val="17"/>
                <w:color w:val="auto"/>
              </w:rPr>
            </w:pPr>
          </w:p>
        </w:tc>
        <w:tc>
          <w:tcPr>
            <w:tcW w:w="7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w w:val="86"/>
              </w:rPr>
              <w:t>(7,923 )</w:t>
            </w:r>
          </w:p>
        </w:tc>
        <w:tc>
          <w:tcPr>
            <w:tcW w:w="300" w:type="dxa"/>
            <w:vAlign w:val="bottom"/>
          </w:tcPr>
          <w:p>
            <w:pPr>
              <w:spacing w:after="0"/>
              <w:rPr>
                <w:sz w:val="17"/>
                <w:szCs w:val="17"/>
                <w:color w:val="auto"/>
              </w:rPr>
            </w:pPr>
          </w:p>
        </w:tc>
        <w:tc>
          <w:tcPr>
            <w:tcW w:w="120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(15,058 )</w:t>
            </w:r>
          </w:p>
        </w:tc>
        <w:tc>
          <w:tcPr>
            <w:tcW w:w="280" w:type="dxa"/>
            <w:vAlign w:val="bottom"/>
          </w:tcPr>
          <w:p>
            <w:pPr>
              <w:spacing w:after="0"/>
              <w:rPr>
                <w:sz w:val="17"/>
                <w:szCs w:val="17"/>
                <w:color w:val="auto"/>
              </w:rPr>
            </w:pPr>
          </w:p>
        </w:tc>
        <w:tc>
          <w:tcPr>
            <w:tcW w:w="116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(19,637 )</w:t>
            </w:r>
          </w:p>
        </w:tc>
        <w:tc>
          <w:tcPr>
            <w:tcW w:w="30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(25,383 )</w:t>
            </w:r>
          </w:p>
        </w:tc>
        <w:tc>
          <w:tcPr>
            <w:tcW w:w="0" w:type="dxa"/>
            <w:vAlign w:val="bottom"/>
          </w:tcPr>
          <w:p>
            <w:pPr>
              <w:spacing w:after="0"/>
              <w:rPr>
                <w:sz w:val="1"/>
                <w:szCs w:val="1"/>
                <w:color w:val="auto"/>
              </w:rPr>
            </w:pPr>
          </w:p>
        </w:tc>
      </w:tr>
      <w:tr>
        <w:trPr>
          <w:trHeight w:val="162"/>
        </w:trPr>
        <w:tc>
          <w:tcPr>
            <w:tcW w:w="54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5"/>
              </w:rPr>
              <w:t>Less: Comprehensive loss attributable to Definitive OpCo prior to the</w:t>
            </w:r>
          </w:p>
        </w:tc>
        <w:tc>
          <w:tcPr>
            <w:tcW w:w="780" w:type="dxa"/>
            <w:vAlign w:val="bottom"/>
            <w:shd w:val="clear" w:color="auto" w:fill="CFF0FC"/>
          </w:tcPr>
          <w:p>
            <w:pPr>
              <w:spacing w:after="0"/>
              <w:rPr>
                <w:sz w:val="14"/>
                <w:szCs w:val="14"/>
                <w:color w:val="auto"/>
              </w:rPr>
            </w:pPr>
          </w:p>
        </w:tc>
        <w:tc>
          <w:tcPr>
            <w:tcW w:w="720" w:type="dxa"/>
            <w:vAlign w:val="bottom"/>
            <w:gridSpan w:val="2"/>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81"/>
              <w:spacing w:after="0"/>
              <w:rPr>
                <w:sz w:val="20"/>
                <w:szCs w:val="20"/>
                <w:color w:val="auto"/>
              </w:rPr>
            </w:pPr>
            <w:r>
              <w:rPr>
                <w:rFonts w:ascii="Arial" w:cs="Arial" w:eastAsia="Arial" w:hAnsi="Arial"/>
                <w:sz w:val="18"/>
                <w:szCs w:val="18"/>
                <w:color w:val="auto"/>
              </w:rPr>
              <w:t>(15,058 )</w:t>
            </w:r>
          </w:p>
        </w:tc>
        <w:tc>
          <w:tcPr>
            <w:tcW w:w="28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(25,383 )</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Reorganization Transactions</w:t>
            </w:r>
          </w:p>
        </w:tc>
        <w:tc>
          <w:tcPr>
            <w:tcW w:w="780" w:type="dxa"/>
            <w:vAlign w:val="bottom"/>
            <w:shd w:val="clear" w:color="auto" w:fill="CFF0FC"/>
          </w:tcPr>
          <w:p>
            <w:pPr>
              <w:spacing w:after="0"/>
              <w:rPr>
                <w:sz w:val="18"/>
                <w:szCs w:val="18"/>
                <w:color w:val="auto"/>
              </w:rPr>
            </w:pPr>
          </w:p>
        </w:tc>
        <w:tc>
          <w:tcPr>
            <w:tcW w:w="72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gridSpan w:val="2"/>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00"/>
              <w:spacing w:after="0" w:line="202" w:lineRule="exact"/>
              <w:rPr>
                <w:sz w:val="20"/>
                <w:szCs w:val="20"/>
                <w:color w:val="auto"/>
              </w:rPr>
            </w:pPr>
            <w:r>
              <w:rPr>
                <w:rFonts w:ascii="Arial" w:cs="Arial" w:eastAsia="Arial" w:hAnsi="Arial"/>
                <w:sz w:val="18"/>
                <w:szCs w:val="18"/>
                <w:color w:val="auto"/>
              </w:rPr>
              <w:t>Less: Comprehensive loss attributable to noncontrolling interests</w:t>
            </w:r>
          </w:p>
        </w:tc>
        <w:tc>
          <w:tcPr>
            <w:tcW w:w="780" w:type="dxa"/>
            <w:vAlign w:val="bottom"/>
          </w:tcPr>
          <w:p>
            <w:pPr>
              <w:spacing w:after="0"/>
              <w:rPr>
                <w:sz w:val="17"/>
                <w:szCs w:val="17"/>
                <w:color w:val="auto"/>
              </w:rPr>
            </w:pPr>
          </w:p>
        </w:tc>
        <w:tc>
          <w:tcPr>
            <w:tcW w:w="7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w w:val="86"/>
              </w:rPr>
              <w:t>(3,849 )</w:t>
            </w:r>
          </w:p>
        </w:tc>
        <w:tc>
          <w:tcPr>
            <w:tcW w:w="300" w:type="dxa"/>
            <w:vAlign w:val="bottom"/>
          </w:tcPr>
          <w:p>
            <w:pPr>
              <w:spacing w:after="0"/>
              <w:rPr>
                <w:sz w:val="17"/>
                <w:szCs w:val="17"/>
                <w:color w:val="auto"/>
              </w:rPr>
            </w:pPr>
          </w:p>
        </w:tc>
        <w:tc>
          <w:tcPr>
            <w:tcW w:w="12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1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(7,795 )</w:t>
            </w:r>
          </w:p>
        </w:tc>
        <w:tc>
          <w:tcPr>
            <w:tcW w:w="300" w:type="dxa"/>
            <w:vAlign w:val="bottom"/>
          </w:tcPr>
          <w:p>
            <w:pPr>
              <w:spacing w:after="0"/>
              <w:rPr>
                <w:sz w:val="17"/>
                <w:szCs w:val="17"/>
                <w:color w:val="auto"/>
              </w:rPr>
            </w:pPr>
          </w:p>
        </w:tc>
        <w:tc>
          <w:tcPr>
            <w:tcW w:w="106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Comprehensive loss attributable to Definitive Healthcare Corp.</w:t>
            </w:r>
          </w:p>
        </w:tc>
        <w:tc>
          <w:tcPr>
            <w:tcW w:w="780" w:type="dxa"/>
            <w:vAlign w:val="bottom"/>
            <w:tcBorders>
              <w:top w:val="single" w:sz="8" w:color="auto"/>
              <w:bottom w:val="single" w:sz="8" w:color="auto"/>
            </w:tcBorders>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0"/>
              </w:rPr>
              <w:t>(4,074</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(11,842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-664845</wp:posOffset>
            </wp:positionV>
            <wp:extent cx="7747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-664845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-664845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-664845</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CHANGES IN MEMBERS’ EQUITY AND TOTAL EQUITY</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 except share and unit amounts)</w:t>
      </w: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260" w:type="dxa"/>
            <w:vAlign w:val="bottom"/>
          </w:tcPr>
          <w:p>
            <w:pPr>
              <w:spacing w:after="0"/>
              <w:rPr>
                <w:sz w:val="10"/>
                <w:szCs w:val="10"/>
                <w:color w:val="auto"/>
              </w:rPr>
            </w:pPr>
          </w:p>
        </w:tc>
        <w:tc>
          <w:tcPr>
            <w:tcW w:w="1100" w:type="dxa"/>
            <w:vAlign w:val="bottom"/>
            <w:vMerge w:val="restart"/>
          </w:tcPr>
          <w:p>
            <w:pPr>
              <w:jc w:val="right"/>
              <w:ind w:right="261"/>
              <w:spacing w:after="0"/>
              <w:rPr>
                <w:sz w:val="20"/>
                <w:szCs w:val="20"/>
                <w:color w:val="auto"/>
              </w:rPr>
            </w:pPr>
            <w:r>
              <w:rPr>
                <w:rFonts w:ascii="Arial" w:cs="Arial" w:eastAsia="Arial" w:hAnsi="Arial"/>
                <w:sz w:val="13"/>
                <w:szCs w:val="13"/>
                <w:b w:val="1"/>
                <w:bCs w:val="1"/>
                <w:color w:val="auto"/>
              </w:rPr>
              <w:t>Class A</w:t>
            </w:r>
          </w:p>
        </w:tc>
        <w:tc>
          <w:tcPr>
            <w:tcW w:w="140" w:type="dxa"/>
            <w:vAlign w:val="bottom"/>
          </w:tcPr>
          <w:p>
            <w:pPr>
              <w:spacing w:after="0"/>
              <w:rPr>
                <w:sz w:val="10"/>
                <w:szCs w:val="10"/>
                <w:color w:val="auto"/>
              </w:rPr>
            </w:pPr>
          </w:p>
        </w:tc>
        <w:tc>
          <w:tcPr>
            <w:tcW w:w="820" w:type="dxa"/>
            <w:vAlign w:val="bottom"/>
            <w:gridSpan w:val="2"/>
            <w:vMerge w:val="restart"/>
          </w:tcPr>
          <w:p>
            <w:pPr>
              <w:jc w:val="right"/>
              <w:ind w:right="119"/>
              <w:spacing w:after="0"/>
              <w:rPr>
                <w:sz w:val="20"/>
                <w:szCs w:val="20"/>
                <w:color w:val="auto"/>
              </w:rPr>
            </w:pPr>
            <w:r>
              <w:rPr>
                <w:rFonts w:ascii="Arial" w:cs="Arial" w:eastAsia="Arial" w:hAnsi="Arial"/>
                <w:sz w:val="13"/>
                <w:szCs w:val="13"/>
                <w:b w:val="1"/>
                <w:bCs w:val="1"/>
                <w:color w:val="auto"/>
              </w:rPr>
              <w:t>Class A</w:t>
            </w:r>
          </w:p>
        </w:tc>
        <w:tc>
          <w:tcPr>
            <w:tcW w:w="120" w:type="dxa"/>
            <w:vAlign w:val="bottom"/>
          </w:tcPr>
          <w:p>
            <w:pPr>
              <w:spacing w:after="0"/>
              <w:rPr>
                <w:sz w:val="10"/>
                <w:szCs w:val="10"/>
                <w:color w:val="auto"/>
              </w:rPr>
            </w:pPr>
          </w:p>
        </w:tc>
        <w:tc>
          <w:tcPr>
            <w:tcW w:w="100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Class B</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1"/>
              <w:spacing w:after="0"/>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80"/>
              <w:spacing w:after="0" w:line="126" w:lineRule="exact"/>
              <w:rPr>
                <w:sz w:val="20"/>
                <w:szCs w:val="20"/>
                <w:color w:val="auto"/>
              </w:rPr>
            </w:pPr>
            <w:r>
              <w:rPr>
                <w:rFonts w:ascii="Arial" w:cs="Arial" w:eastAsia="Arial" w:hAnsi="Arial"/>
                <w:sz w:val="13"/>
                <w:szCs w:val="13"/>
                <w:b w:val="1"/>
                <w:bCs w:val="1"/>
                <w:color w:val="auto"/>
                <w:w w:val="86"/>
              </w:rPr>
              <w:t>Comprehensiv</w:t>
            </w:r>
          </w:p>
        </w:tc>
        <w:tc>
          <w:tcPr>
            <w:tcW w:w="9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9"/>
              </w:rPr>
              <w:t>Noncontrolling</w:t>
            </w:r>
          </w:p>
        </w:tc>
        <w:tc>
          <w:tcPr>
            <w:tcW w:w="240" w:type="dxa"/>
            <w:vAlign w:val="bottom"/>
          </w:tcPr>
          <w:p>
            <w:pPr>
              <w:spacing w:after="0"/>
              <w:rPr>
                <w:sz w:val="10"/>
                <w:szCs w:val="10"/>
                <w:color w:val="auto"/>
              </w:rPr>
            </w:pPr>
          </w:p>
        </w:tc>
        <w:tc>
          <w:tcPr>
            <w:tcW w:w="78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2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right"/>
              <w:ind w:right="257"/>
              <w:spacing w:after="0" w:line="144" w:lineRule="exact"/>
              <w:rPr>
                <w:sz w:val="20"/>
                <w:szCs w:val="20"/>
                <w:color w:val="auto"/>
              </w:rPr>
            </w:pPr>
            <w:r>
              <w:rPr>
                <w:rFonts w:ascii="Arial" w:cs="Arial" w:eastAsia="Arial" w:hAnsi="Arial"/>
                <w:sz w:val="13"/>
                <w:szCs w:val="13"/>
                <w:b w:val="1"/>
                <w:bCs w:val="1"/>
                <w:color w:val="auto"/>
                <w:w w:val="90"/>
              </w:rPr>
              <w:t>Accumulated</w:t>
            </w: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2"/>
              </w:rPr>
              <w:t>e</w:t>
            </w: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100" w:type="dxa"/>
            <w:vAlign w:val="bottom"/>
          </w:tcPr>
          <w:p>
            <w:pPr>
              <w:jc w:val="right"/>
              <w:ind w:right="321"/>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Deficit</w:t>
            </w: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Income</w:t>
            </w:r>
          </w:p>
        </w:tc>
        <w:tc>
          <w:tcPr>
            <w:tcW w:w="960" w:type="dxa"/>
            <w:vAlign w:val="bottom"/>
            <w:gridSpan w:val="3"/>
          </w:tcPr>
          <w:p>
            <w:pPr>
              <w:jc w:val="right"/>
              <w:ind w:right="237"/>
              <w:spacing w:after="0"/>
              <w:rPr>
                <w:sz w:val="20"/>
                <w:szCs w:val="20"/>
                <w:color w:val="auto"/>
              </w:rPr>
            </w:pPr>
            <w:r>
              <w:rPr>
                <w:rFonts w:ascii="Arial" w:cs="Arial" w:eastAsia="Arial" w:hAnsi="Arial"/>
                <w:sz w:val="13"/>
                <w:szCs w:val="13"/>
                <w:b w:val="1"/>
                <w:bCs w:val="1"/>
                <w:color w:val="auto"/>
              </w:rPr>
              <w:t>Interests</w:t>
            </w:r>
          </w:p>
        </w:tc>
        <w:tc>
          <w:tcPr>
            <w:tcW w:w="24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7"/>
        </w:trPr>
        <w:tc>
          <w:tcPr>
            <w:tcW w:w="226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Balance at January 1, 2022</w:t>
            </w: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gridSpan w:val="2"/>
            <w:shd w:val="clear" w:color="auto" w:fill="CFF0FC"/>
          </w:tcPr>
          <w:p>
            <w:pPr>
              <w:jc w:val="right"/>
              <w:spacing w:after="0" w:line="147" w:lineRule="exact"/>
              <w:rPr>
                <w:sz w:val="20"/>
                <w:szCs w:val="20"/>
                <w:color w:val="auto"/>
              </w:rPr>
            </w:pPr>
            <w:r>
              <w:rPr>
                <w:rFonts w:ascii="Arial" w:cs="Arial" w:eastAsia="Arial" w:hAnsi="Arial"/>
                <w:sz w:val="16"/>
                <w:szCs w:val="16"/>
                <w:color w:val="auto"/>
              </w:rPr>
              <w:t>58,244,62</w:t>
            </w: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60" w:type="dxa"/>
            <w:vAlign w:val="bottom"/>
            <w:vMerge w:val="continue"/>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97,030,095</w:t>
            </w:r>
          </w:p>
        </w:tc>
        <w:tc>
          <w:tcPr>
            <w:tcW w:w="660" w:type="dxa"/>
            <w:vAlign w:val="bottom"/>
            <w:gridSpan w:val="2"/>
            <w:vMerge w:val="restart"/>
            <w:shd w:val="clear" w:color="auto" w:fill="CFF0FC"/>
          </w:tcPr>
          <w:p>
            <w:pPr>
              <w:jc w:val="right"/>
              <w:ind w:right="373"/>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w:t>
            </w:r>
          </w:p>
        </w:tc>
        <w:tc>
          <w:tcPr>
            <w:tcW w:w="10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890,724</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(17,677 ) $</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6"/>
              </w:rPr>
              <w:t>630,056</w:t>
            </w:r>
          </w:p>
        </w:tc>
        <w:tc>
          <w:tcPr>
            <w:tcW w:w="12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center"/>
              <w:ind w:right="7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1,503,262</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260" w:type="dxa"/>
            <w:vAlign w:val="bottom"/>
            <w:shd w:val="clear" w:color="auto" w:fill="CFF0FC"/>
          </w:tcPr>
          <w:p>
            <w:pPr>
              <w:spacing w:after="0"/>
              <w:rPr>
                <w:sz w:val="6"/>
                <w:szCs w:val="6"/>
                <w:color w:val="auto"/>
              </w:rPr>
            </w:pPr>
          </w:p>
        </w:tc>
        <w:tc>
          <w:tcPr>
            <w:tcW w:w="1100" w:type="dxa"/>
            <w:vAlign w:val="bottom"/>
            <w:vMerge w:val="continue"/>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300" w:type="dxa"/>
            <w:vAlign w:val="bottom"/>
            <w:vMerge w:val="continue"/>
            <w:shd w:val="clear" w:color="auto" w:fill="CFF0FC"/>
          </w:tcPr>
          <w:p>
            <w:pPr>
              <w:spacing w:after="0"/>
              <w:rPr>
                <w:sz w:val="6"/>
                <w:szCs w:val="6"/>
                <w:color w:val="auto"/>
              </w:rPr>
            </w:pPr>
          </w:p>
        </w:tc>
        <w:tc>
          <w:tcPr>
            <w:tcW w:w="100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920" w:type="dxa"/>
            <w:vAlign w:val="bottom"/>
            <w:gridSpan w:val="3"/>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vMerge w:val="continue"/>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(8,624 )</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(4,433 )</w:t>
            </w: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(13,057 )</w:t>
            </w:r>
          </w:p>
        </w:tc>
        <w:tc>
          <w:tcPr>
            <w:tcW w:w="0" w:type="dxa"/>
            <w:vAlign w:val="bottom"/>
          </w:tcPr>
          <w:p>
            <w:pPr>
              <w:spacing w:after="0"/>
              <w:rPr>
                <w:sz w:val="1"/>
                <w:szCs w:val="1"/>
                <w:color w:val="auto"/>
              </w:rPr>
            </w:pPr>
          </w:p>
        </w:tc>
      </w:tr>
      <w:tr>
        <w:trPr>
          <w:trHeight w:val="18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(696 )</w:t>
            </w:r>
          </w:p>
        </w:tc>
        <w:tc>
          <w:tcPr>
            <w:tcW w:w="160" w:type="dxa"/>
            <w:vAlign w:val="bottom"/>
          </w:tcPr>
          <w:p>
            <w:pPr>
              <w:spacing w:after="0"/>
              <w:rPr>
                <w:sz w:val="16"/>
                <w:szCs w:val="16"/>
                <w:color w:val="auto"/>
              </w:rPr>
            </w:pPr>
          </w:p>
        </w:tc>
        <w:tc>
          <w:tcPr>
            <w:tcW w:w="920" w:type="dxa"/>
            <w:vAlign w:val="bottom"/>
            <w:gridSpan w:val="3"/>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LLC unit exchanges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544,302</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(544,302 )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5,080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(5,978 )</w:t>
            </w:r>
          </w:p>
        </w:tc>
        <w:tc>
          <w:tcPr>
            <w:tcW w:w="2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(897 )</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w w:val="93"/>
              </w:rPr>
              <w:t>Forfeited unvested incentive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60"/>
              <w:spacing w:after="0"/>
              <w:rPr>
                <w:sz w:val="20"/>
                <w:szCs w:val="20"/>
                <w:color w:val="auto"/>
              </w:rPr>
            </w:pPr>
            <w:r>
              <w:rPr>
                <w:rFonts w:ascii="Arial" w:cs="Arial" w:eastAsia="Arial" w:hAnsi="Arial"/>
                <w:sz w:val="16"/>
                <w:szCs w:val="16"/>
                <w:color w:val="auto"/>
              </w:rPr>
              <w:t>(33,549 )</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920" w:type="dxa"/>
            <w:vAlign w:val="bottom"/>
            <w:gridSpan w:val="3"/>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00" w:type="dxa"/>
            <w:vAlign w:val="bottom"/>
            <w:gridSpan w:val="2"/>
          </w:tcPr>
          <w:p>
            <w:pPr>
              <w:jc w:val="right"/>
              <w:ind w:right="57"/>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Equity-based compensation</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4,377</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2,495</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tcPr>
          <w:p>
            <w:pPr>
              <w:ind w:left="20"/>
              <w:spacing w:after="0" w:line="152" w:lineRule="exact"/>
              <w:rPr>
                <w:sz w:val="20"/>
                <w:szCs w:val="20"/>
                <w:color w:val="auto"/>
              </w:rPr>
            </w:pPr>
            <w:r>
              <w:rPr>
                <w:rFonts w:ascii="Arial" w:cs="Arial" w:eastAsia="Arial" w:hAnsi="Arial"/>
                <w:sz w:val="16"/>
                <w:szCs w:val="16"/>
                <w:color w:val="auto"/>
              </w:rPr>
              <w:t>Distributions to noncontrolling</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680" w:type="dxa"/>
            <w:vAlign w:val="bottom"/>
            <w:vMerge w:val="restart"/>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3"/>
                <w:szCs w:val="13"/>
                <w:color w:val="auto"/>
              </w:rPr>
            </w:pPr>
          </w:p>
        </w:tc>
        <w:tc>
          <w:tcPr>
            <w:tcW w:w="920" w:type="dxa"/>
            <w:vAlign w:val="bottom"/>
            <w:gridSpan w:val="3"/>
            <w:vMerge w:val="restart"/>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6"/>
                <w:szCs w:val="16"/>
                <w:color w:val="auto"/>
              </w:rPr>
              <w:t>(258 )</w:t>
            </w:r>
          </w:p>
        </w:tc>
        <w:tc>
          <w:tcPr>
            <w:tcW w:w="240" w:type="dxa"/>
            <w:vAlign w:val="bottom"/>
          </w:tcPr>
          <w:p>
            <w:pPr>
              <w:spacing w:after="0"/>
              <w:rPr>
                <w:sz w:val="13"/>
                <w:szCs w:val="13"/>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(258 )</w:t>
            </w: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60" w:type="dxa"/>
            <w:vAlign w:val="bottom"/>
            <w:vMerge w:val="restart"/>
            <w:shd w:val="clear" w:color="auto" w:fill="CFF0FC"/>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1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tcBorders>
              <w:top w:val="single" w:sz="8" w:color="auto"/>
            </w:tcBorders>
            <w:gridSpan w:val="2"/>
            <w:shd w:val="clear" w:color="auto" w:fill="CFF0FC"/>
          </w:tcPr>
          <w:p>
            <w:pPr>
              <w:jc w:val="right"/>
              <w:spacing w:after="0" w:line="146" w:lineRule="exact"/>
              <w:rPr>
                <w:sz w:val="20"/>
                <w:szCs w:val="20"/>
                <w:color w:val="auto"/>
              </w:rPr>
            </w:pPr>
            <w:r>
              <w:rPr>
                <w:rFonts w:ascii="Arial" w:cs="Arial" w:eastAsia="Arial" w:hAnsi="Arial"/>
                <w:sz w:val="16"/>
                <w:szCs w:val="16"/>
                <w:color w:val="auto"/>
              </w:rPr>
              <w:t>57,666,77</w:t>
            </w:r>
          </w:p>
        </w:tc>
        <w:tc>
          <w:tcPr>
            <w:tcW w:w="1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260" w:type="dxa"/>
            <w:vAlign w:val="bottom"/>
            <w:vMerge w:val="continue"/>
            <w:shd w:val="clear" w:color="auto" w:fill="CFF0FC"/>
          </w:tcPr>
          <w:p>
            <w:pPr>
              <w:spacing w:after="0"/>
              <w:rPr>
                <w:sz w:val="10"/>
                <w:szCs w:val="10"/>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97,574,397</w:t>
            </w:r>
          </w:p>
        </w:tc>
        <w:tc>
          <w:tcPr>
            <w:tcW w:w="660" w:type="dxa"/>
            <w:vAlign w:val="bottom"/>
            <w:gridSpan w:val="2"/>
            <w:vMerge w:val="restart"/>
            <w:shd w:val="clear" w:color="auto" w:fill="CFF0FC"/>
          </w:tcPr>
          <w:p>
            <w:pPr>
              <w:jc w:val="right"/>
              <w:ind w:right="373"/>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899,485</w:t>
            </w:r>
          </w:p>
        </w:tc>
        <w:tc>
          <w:tcPr>
            <w:tcW w:w="100" w:type="dxa"/>
            <w:vAlign w:val="bottom"/>
            <w:shd w:val="clear" w:color="auto" w:fill="CFF0FC"/>
          </w:tcPr>
          <w:p>
            <w:pPr>
              <w:spacing w:after="0"/>
              <w:rPr>
                <w:sz w:val="10"/>
                <w:szCs w:val="10"/>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vMerge w:val="restart"/>
            <w:shd w:val="clear" w:color="auto" w:fill="CFF0FC"/>
          </w:tcPr>
          <w:p>
            <w:pPr>
              <w:jc w:val="right"/>
              <w:spacing w:after="0"/>
              <w:rPr>
                <w:sz w:val="20"/>
                <w:szCs w:val="20"/>
                <w:color w:val="auto"/>
              </w:rPr>
            </w:pPr>
            <w:r>
              <w:rPr>
                <w:rFonts w:ascii="Arial" w:cs="Arial" w:eastAsia="Arial" w:hAnsi="Arial"/>
                <w:sz w:val="16"/>
                <w:szCs w:val="16"/>
                <w:color w:val="auto"/>
              </w:rPr>
              <w:t>(26,301 ) $</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FF0FC"/>
          </w:tcPr>
          <w:p>
            <w:pPr>
              <w:spacing w:after="0"/>
              <w:rPr>
                <w:sz w:val="10"/>
                <w:szCs w:val="10"/>
                <w:color w:val="auto"/>
              </w:rPr>
            </w:pPr>
          </w:p>
        </w:tc>
        <w:tc>
          <w:tcPr>
            <w:tcW w:w="26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96"/>
              </w:rPr>
              <w:t>623,065</w:t>
            </w:r>
          </w:p>
        </w:tc>
        <w:tc>
          <w:tcPr>
            <w:tcW w:w="12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center"/>
              <w:ind w:right="79"/>
              <w:spacing w:after="0"/>
              <w:rPr>
                <w:sz w:val="20"/>
                <w:szCs w:val="20"/>
                <w:color w:val="auto"/>
              </w:rPr>
            </w:pPr>
            <w:r>
              <w:rPr>
                <w:rFonts w:ascii="Arial" w:cs="Arial" w:eastAsia="Arial" w:hAnsi="Arial"/>
                <w:sz w:val="16"/>
                <w:szCs w:val="16"/>
                <w:color w:val="auto"/>
                <w:w w:val="89"/>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1,497,265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260" w:type="dxa"/>
            <w:vAlign w:val="bottom"/>
            <w:shd w:val="clear" w:color="auto" w:fill="CFF0FC"/>
          </w:tcPr>
          <w:p>
            <w:pPr>
              <w:spacing w:after="0"/>
              <w:rPr>
                <w:sz w:val="6"/>
                <w:szCs w:val="6"/>
                <w:color w:val="auto"/>
              </w:rPr>
            </w:pPr>
          </w:p>
        </w:tc>
        <w:tc>
          <w:tcPr>
            <w:tcW w:w="1100" w:type="dxa"/>
            <w:vAlign w:val="bottom"/>
            <w:vMerge w:val="continue"/>
            <w:shd w:val="clear" w:color="auto" w:fill="CFF0FC"/>
          </w:tcPr>
          <w:p>
            <w:pPr>
              <w:spacing w:after="0"/>
              <w:rPr>
                <w:sz w:val="6"/>
                <w:szCs w:val="6"/>
                <w:color w:val="auto"/>
              </w:rPr>
            </w:pPr>
          </w:p>
        </w:tc>
        <w:tc>
          <w:tcPr>
            <w:tcW w:w="660" w:type="dxa"/>
            <w:vAlign w:val="bottom"/>
            <w:gridSpan w:val="2"/>
            <w:vMerge w:val="continue"/>
            <w:shd w:val="clear" w:color="auto" w:fill="CFF0FC"/>
          </w:tcPr>
          <w:p>
            <w:pPr>
              <w:spacing w:after="0"/>
              <w:rPr>
                <w:sz w:val="6"/>
                <w:szCs w:val="6"/>
                <w:color w:val="auto"/>
              </w:rPr>
            </w:pPr>
          </w:p>
        </w:tc>
        <w:tc>
          <w:tcPr>
            <w:tcW w:w="300" w:type="dxa"/>
            <w:vAlign w:val="bottom"/>
            <w:vMerge w:val="continue"/>
            <w:shd w:val="clear" w:color="auto" w:fill="CFF0FC"/>
          </w:tcPr>
          <w:p>
            <w:pPr>
              <w:spacing w:after="0"/>
              <w:rPr>
                <w:sz w:val="6"/>
                <w:szCs w:val="6"/>
                <w:color w:val="auto"/>
              </w:rPr>
            </w:pPr>
          </w:p>
        </w:tc>
        <w:tc>
          <w:tcPr>
            <w:tcW w:w="1000" w:type="dxa"/>
            <w:vAlign w:val="bottom"/>
            <w:gridSpan w:val="3"/>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220" w:type="dxa"/>
            <w:vAlign w:val="bottom"/>
            <w:gridSpan w:val="2"/>
            <w:vMerge w:val="continue"/>
            <w:shd w:val="clear" w:color="auto" w:fill="CFF0FC"/>
          </w:tcPr>
          <w:p>
            <w:pPr>
              <w:spacing w:after="0"/>
              <w:rPr>
                <w:sz w:val="6"/>
                <w:szCs w:val="6"/>
                <w:color w:val="auto"/>
              </w:rPr>
            </w:pPr>
          </w:p>
        </w:tc>
        <w:tc>
          <w:tcPr>
            <w:tcW w:w="8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60" w:type="dxa"/>
            <w:vAlign w:val="bottom"/>
            <w:vMerge w:val="continue"/>
            <w:shd w:val="clear" w:color="auto" w:fill="CFF0FC"/>
          </w:tcPr>
          <w:p>
            <w:pPr>
              <w:spacing w:after="0"/>
              <w:rPr>
                <w:sz w:val="6"/>
                <w:szCs w:val="6"/>
                <w:color w:val="auto"/>
              </w:rPr>
            </w:pPr>
          </w:p>
        </w:tc>
        <w:tc>
          <w:tcPr>
            <w:tcW w:w="920" w:type="dxa"/>
            <w:vAlign w:val="bottom"/>
            <w:gridSpan w:val="3"/>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60" w:type="dxa"/>
            <w:vAlign w:val="bottom"/>
            <w:vMerge w:val="continue"/>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40" w:type="dxa"/>
            <w:vAlign w:val="bottom"/>
            <w:vMerge w:val="continue"/>
            <w:shd w:val="clear" w:color="auto" w:fill="CFF0FC"/>
          </w:tcPr>
          <w:p>
            <w:pPr>
              <w:spacing w:after="0"/>
              <w:rPr>
                <w:sz w:val="6"/>
                <w:szCs w:val="6"/>
                <w:color w:val="auto"/>
              </w:rPr>
            </w:pP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(5,150 )</w:t>
            </w:r>
          </w:p>
        </w:tc>
        <w:tc>
          <w:tcPr>
            <w:tcW w:w="16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(4,429 )</w:t>
            </w: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(9,579 )</w:t>
            </w:r>
          </w:p>
        </w:tc>
        <w:tc>
          <w:tcPr>
            <w:tcW w:w="0" w:type="dxa"/>
            <w:vAlign w:val="bottom"/>
          </w:tcPr>
          <w:p>
            <w:pPr>
              <w:spacing w:after="0"/>
              <w:rPr>
                <w:sz w:val="1"/>
                <w:szCs w:val="1"/>
                <w:color w:val="auto"/>
              </w:rPr>
            </w:pPr>
          </w:p>
        </w:tc>
      </w:tr>
      <w:tr>
        <w:trPr>
          <w:trHeight w:val="18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comprehensive income</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Vested incentive units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(358 )</w:t>
            </w:r>
          </w:p>
        </w:tc>
        <w:tc>
          <w:tcPr>
            <w:tcW w:w="160" w:type="dxa"/>
            <w:vAlign w:val="bottom"/>
          </w:tcPr>
          <w:p>
            <w:pPr>
              <w:spacing w:after="0"/>
              <w:rPr>
                <w:sz w:val="16"/>
                <w:szCs w:val="16"/>
                <w:color w:val="auto"/>
              </w:rPr>
            </w:pPr>
          </w:p>
        </w:tc>
        <w:tc>
          <w:tcPr>
            <w:tcW w:w="920" w:type="dxa"/>
            <w:vAlign w:val="bottom"/>
            <w:gridSpan w:val="3"/>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22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Issuance of Class A Common</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11,729</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78"/>
              </w:rPr>
              <w:t>45</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3"/>
            <w:vMerge w:val="restart"/>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(45 )</w:t>
            </w:r>
          </w:p>
        </w:tc>
        <w:tc>
          <w:tcPr>
            <w:tcW w:w="24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 upon vesting of RSUs</w:t>
            </w:r>
          </w:p>
        </w:tc>
        <w:tc>
          <w:tcPr>
            <w:tcW w:w="1100" w:type="dxa"/>
            <w:vAlign w:val="bottom"/>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gridSpan w:val="3"/>
            <w:vMerge w:val="continue"/>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Effect of LLC unit exchanges</w:t>
            </w:r>
          </w:p>
        </w:tc>
        <w:tc>
          <w:tcPr>
            <w:tcW w:w="1100" w:type="dxa"/>
            <w:vAlign w:val="bottom"/>
          </w:tcPr>
          <w:p>
            <w:pPr>
              <w:jc w:val="right"/>
              <w:spacing w:after="0"/>
              <w:rPr>
                <w:sz w:val="20"/>
                <w:szCs w:val="20"/>
                <w:color w:val="auto"/>
              </w:rPr>
            </w:pPr>
            <w:r>
              <w:rPr>
                <w:rFonts w:ascii="Arial" w:cs="Arial" w:eastAsia="Arial" w:hAnsi="Arial"/>
                <w:sz w:val="16"/>
                <w:szCs w:val="16"/>
                <w:color w:val="auto"/>
              </w:rPr>
              <w:t>2,898,589</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120" w:type="dxa"/>
            <w:vAlign w:val="bottom"/>
            <w:gridSpan w:val="4"/>
          </w:tcPr>
          <w:p>
            <w:pPr>
              <w:jc w:val="right"/>
              <w:ind w:right="60"/>
              <w:spacing w:after="0"/>
              <w:rPr>
                <w:sz w:val="20"/>
                <w:szCs w:val="20"/>
                <w:color w:val="auto"/>
              </w:rPr>
            </w:pPr>
            <w:r>
              <w:rPr>
                <w:rFonts w:ascii="Arial" w:cs="Arial" w:eastAsia="Arial" w:hAnsi="Arial"/>
                <w:sz w:val="16"/>
                <w:szCs w:val="16"/>
                <w:color w:val="auto"/>
              </w:rPr>
              <w:t>(2,898,589 )</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24,818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(29,438 )</w:t>
            </w: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(4,618 )</w:t>
            </w:r>
          </w:p>
        </w:tc>
        <w:tc>
          <w:tcPr>
            <w:tcW w:w="0" w:type="dxa"/>
            <w:vAlign w:val="bottom"/>
          </w:tcPr>
          <w:p>
            <w:pPr>
              <w:spacing w:after="0"/>
              <w:rPr>
                <w:sz w:val="1"/>
                <w:szCs w:val="1"/>
                <w:color w:val="auto"/>
              </w:rPr>
            </w:pPr>
          </w:p>
        </w:tc>
      </w:tr>
      <w:tr>
        <w:trPr>
          <w:trHeight w:val="18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w w:val="93"/>
              </w:rPr>
              <w:t>Forfeited unvested incentive units</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4"/>
            <w:shd w:val="clear" w:color="auto" w:fill="CFF0FC"/>
          </w:tcPr>
          <w:p>
            <w:pPr>
              <w:jc w:val="right"/>
              <w:ind w:right="60"/>
              <w:spacing w:after="0"/>
              <w:rPr>
                <w:sz w:val="20"/>
                <w:szCs w:val="20"/>
                <w:color w:val="auto"/>
              </w:rPr>
            </w:pPr>
            <w:r>
              <w:rPr>
                <w:rFonts w:ascii="Arial" w:cs="Arial" w:eastAsia="Arial" w:hAnsi="Arial"/>
                <w:sz w:val="16"/>
                <w:szCs w:val="16"/>
                <w:color w:val="auto"/>
              </w:rPr>
              <w:t>(22,807 )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920" w:type="dxa"/>
            <w:vAlign w:val="bottom"/>
            <w:gridSpan w:val="3"/>
            <w:shd w:val="clear" w:color="auto" w:fill="CFF0FC"/>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57"/>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680" w:type="dxa"/>
            <w:vAlign w:val="bottom"/>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jc w:val="right"/>
              <w:ind w:right="217"/>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9,005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60" w:type="dxa"/>
            <w:vAlign w:val="bottom"/>
            <w:shd w:val="clear" w:color="auto" w:fill="CFF0FC"/>
          </w:tcPr>
          <w:p>
            <w:pPr>
              <w:ind w:left="20"/>
              <w:spacing w:after="0" w:line="152" w:lineRule="exact"/>
              <w:rPr>
                <w:sz w:val="20"/>
                <w:szCs w:val="20"/>
                <w:color w:val="auto"/>
              </w:rPr>
            </w:pPr>
            <w:r>
              <w:rPr>
                <w:rFonts w:ascii="Arial" w:cs="Arial" w:eastAsia="Arial" w:hAnsi="Arial"/>
                <w:sz w:val="16"/>
                <w:szCs w:val="16"/>
                <w:color w:val="auto"/>
              </w:rPr>
              <w:t>Distributions to noncontrolling</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3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100" w:type="dxa"/>
            <w:vAlign w:val="bottom"/>
            <w:vMerge w:val="restart"/>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(5,029 )</w:t>
            </w:r>
          </w:p>
        </w:tc>
        <w:tc>
          <w:tcPr>
            <w:tcW w:w="24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(5,029 )</w:t>
            </w:r>
          </w:p>
        </w:tc>
        <w:tc>
          <w:tcPr>
            <w:tcW w:w="0" w:type="dxa"/>
            <w:vAlign w:val="bottom"/>
          </w:tcPr>
          <w:p>
            <w:pPr>
              <w:spacing w:after="0"/>
              <w:rPr>
                <w:sz w:val="1"/>
                <w:szCs w:val="1"/>
                <w:color w:val="auto"/>
              </w:rPr>
            </w:pPr>
          </w:p>
        </w:tc>
      </w:tr>
      <w:tr>
        <w:trPr>
          <w:trHeight w:val="185"/>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interests</w:t>
            </w:r>
          </w:p>
        </w:tc>
        <w:tc>
          <w:tcPr>
            <w:tcW w:w="110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00" w:type="dxa"/>
            <w:vAlign w:val="bottom"/>
            <w:gridSpan w:val="2"/>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260" w:type="dxa"/>
            <w:vAlign w:val="bottom"/>
            <w:tcBorders>
              <w:top w:val="single" w:sz="8" w:color="CFF0FC"/>
            </w:tcBorders>
            <w:vMerge w:val="restart"/>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8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6"/>
                <w:szCs w:val="16"/>
                <w:color w:val="auto"/>
              </w:rPr>
              <w:t>54,745,38</w:t>
            </w:r>
          </w:p>
        </w:tc>
        <w:tc>
          <w:tcPr>
            <w:tcW w:w="1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vMerge w:val="continue"/>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100,484,715</w:t>
            </w:r>
          </w:p>
        </w:tc>
        <w:tc>
          <w:tcPr>
            <w:tcW w:w="140" w:type="dxa"/>
            <w:vAlign w:val="bottom"/>
            <w:vMerge w:val="restart"/>
          </w:tcPr>
          <w:p>
            <w:pPr>
              <w:spacing w:after="0"/>
              <w:rPr>
                <w:sz w:val="12"/>
                <w:szCs w:val="12"/>
                <w:color w:val="auto"/>
              </w:rPr>
            </w:pPr>
          </w:p>
        </w:tc>
        <w:tc>
          <w:tcPr>
            <w:tcW w:w="520" w:type="dxa"/>
            <w:vAlign w:val="bottom"/>
            <w:vMerge w:val="restart"/>
          </w:tcPr>
          <w:p>
            <w:pPr>
              <w:jc w:val="right"/>
              <w:ind w:right="373"/>
              <w:spacing w:after="0"/>
              <w:rPr>
                <w:sz w:val="20"/>
                <w:szCs w:val="20"/>
                <w:color w:val="auto"/>
              </w:rPr>
            </w:pPr>
            <w:r>
              <w:rPr>
                <w:rFonts w:ascii="Arial" w:cs="Arial" w:eastAsia="Arial" w:hAnsi="Arial"/>
                <w:sz w:val="15"/>
                <w:szCs w:val="15"/>
                <w:color w:val="auto"/>
                <w:w w:val="71"/>
              </w:rPr>
              <w:t>$</w:t>
            </w: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100</w:t>
            </w:r>
          </w:p>
        </w:tc>
        <w:tc>
          <w:tcPr>
            <w:tcW w:w="120" w:type="dxa"/>
            <w:vAlign w:val="bottom"/>
            <w:vMerge w:val="restart"/>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ind w:left="500"/>
              <w:spacing w:after="0"/>
              <w:rPr>
                <w:sz w:val="20"/>
                <w:szCs w:val="20"/>
                <w:color w:val="auto"/>
              </w:rPr>
            </w:pPr>
            <w:r>
              <w:rPr>
                <w:rFonts w:ascii="Arial" w:cs="Arial" w:eastAsia="Arial" w:hAnsi="Arial"/>
                <w:sz w:val="16"/>
                <w:szCs w:val="16"/>
                <w:color w:val="auto"/>
                <w:w w:val="99"/>
              </w:rPr>
              <w:t>—</w:t>
            </w:r>
          </w:p>
        </w:tc>
        <w:tc>
          <w:tcPr>
            <w:tcW w:w="12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929,842</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auto"/>
              </w:rPr>
              <w:t>(31,451 ) $</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1,994</w:t>
            </w:r>
          </w:p>
        </w:tc>
        <w:tc>
          <w:tcPr>
            <w:tcW w:w="100" w:type="dxa"/>
            <w:vAlign w:val="bottom"/>
          </w:tcPr>
          <w:p>
            <w:pPr>
              <w:spacing w:after="0"/>
              <w:rPr>
                <w:sz w:val="12"/>
                <w:szCs w:val="12"/>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w w:val="96"/>
              </w:rPr>
              <w:t>588,215</w:t>
            </w:r>
          </w:p>
        </w:tc>
        <w:tc>
          <w:tcPr>
            <w:tcW w:w="120" w:type="dxa"/>
            <w:vAlign w:val="bottom"/>
          </w:tcPr>
          <w:p>
            <w:pPr>
              <w:spacing w:after="0"/>
              <w:rPr>
                <w:sz w:val="12"/>
                <w:szCs w:val="12"/>
                <w:color w:val="auto"/>
              </w:rPr>
            </w:pPr>
          </w:p>
        </w:tc>
        <w:tc>
          <w:tcPr>
            <w:tcW w:w="240" w:type="dxa"/>
            <w:vAlign w:val="bottom"/>
            <w:vMerge w:val="restart"/>
          </w:tcPr>
          <w:p>
            <w:pPr>
              <w:jc w:val="center"/>
              <w:ind w:right="79"/>
              <w:spacing w:after="0"/>
              <w:rPr>
                <w:sz w:val="20"/>
                <w:szCs w:val="20"/>
                <w:color w:val="auto"/>
              </w:rPr>
            </w:pPr>
            <w:r>
              <w:rPr>
                <w:rFonts w:ascii="Arial" w:cs="Arial" w:eastAsia="Arial" w:hAnsi="Arial"/>
                <w:sz w:val="16"/>
                <w:szCs w:val="16"/>
                <w:color w:val="auto"/>
                <w:w w:val="89"/>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w w:val="89"/>
              </w:rPr>
              <w:t>1,488,700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2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left="383"/>
              <w:spacing w:after="0"/>
              <w:rPr>
                <w:sz w:val="20"/>
                <w:szCs w:val="20"/>
                <w:color w:val="auto"/>
              </w:rPr>
            </w:pPr>
            <w:r>
              <w:rPr>
                <w:rFonts w:ascii="Arial" w:cs="Arial" w:eastAsia="Arial" w:hAnsi="Arial"/>
                <w:sz w:val="13"/>
                <w:szCs w:val="13"/>
                <w:b w:val="1"/>
                <w:bCs w:val="1"/>
                <w:color w:val="auto"/>
                <w:w w:val="97"/>
              </w:rPr>
              <w:t>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Total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ind w:left="80"/>
              <w:spacing w:after="0"/>
              <w:rPr>
                <w:sz w:val="20"/>
                <w:szCs w:val="20"/>
                <w:color w:val="auto"/>
              </w:rPr>
            </w:pPr>
            <w:r>
              <w:rPr>
                <w:rFonts w:ascii="Arial" w:cs="Arial" w:eastAsia="Arial" w:hAnsi="Arial"/>
                <w:sz w:val="13"/>
                <w:szCs w:val="13"/>
                <w:b w:val="1"/>
                <w:bCs w:val="1"/>
                <w:color w:val="auto"/>
                <w:w w:val="96"/>
              </w:rPr>
              <w:t>Members'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4"/>
              </w:rPr>
              <w:t>Comprehensive</w:t>
            </w:r>
          </w:p>
        </w:tc>
        <w:tc>
          <w:tcPr>
            <w:tcW w:w="260" w:type="dxa"/>
            <w:vAlign w:val="bottom"/>
          </w:tcPr>
          <w:p>
            <w:pPr>
              <w:spacing w:after="0"/>
              <w:rPr>
                <w:sz w:val="12"/>
                <w:szCs w:val="12"/>
                <w:color w:val="auto"/>
              </w:rPr>
            </w:pPr>
          </w:p>
        </w:tc>
        <w:tc>
          <w:tcPr>
            <w:tcW w:w="172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Members'</w:t>
            </w: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Equity</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83"/>
              </w:rPr>
              <w:t>(Loss) Income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421"/>
              <w:spacing w:after="0"/>
              <w:rPr>
                <w:sz w:val="20"/>
                <w:szCs w:val="20"/>
                <w:color w:val="auto"/>
              </w:rPr>
            </w:pPr>
            <w:r>
              <w:rPr>
                <w:rFonts w:ascii="Arial" w:cs="Arial" w:eastAsia="Arial" w:hAnsi="Arial"/>
                <w:sz w:val="13"/>
                <w:szCs w:val="13"/>
                <w:b w:val="1"/>
                <w:bCs w:val="1"/>
                <w:color w:val="auto"/>
                <w:w w:val="90"/>
              </w:rPr>
              <w:t>Equity</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Balance at January 1, 2021</w:t>
            </w: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5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1,195,694</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(131 ) $</w:t>
            </w: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1,195,563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Net loss prior to Reorganization Transactions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(10,488 )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(10,488 )</w:t>
            </w:r>
          </w:p>
        </w:tc>
        <w:tc>
          <w:tcPr>
            <w:tcW w:w="0" w:type="dxa"/>
            <w:vAlign w:val="bottom"/>
          </w:tcPr>
          <w:p>
            <w:pPr>
              <w:spacing w:after="0"/>
              <w:rPr>
                <w:sz w:val="1"/>
                <w:szCs w:val="1"/>
                <w:color w:val="auto"/>
              </w:rPr>
            </w:pPr>
          </w:p>
        </w:tc>
      </w:tr>
      <w:tr>
        <w:trPr>
          <w:trHeight w:val="152"/>
        </w:trPr>
        <w:tc>
          <w:tcPr>
            <w:tcW w:w="4020" w:type="dxa"/>
            <w:vAlign w:val="bottom"/>
            <w:gridSpan w:val="4"/>
            <w:shd w:val="clear" w:color="auto" w:fill="CFF0FC"/>
          </w:tcPr>
          <w:p>
            <w:pPr>
              <w:ind w:left="20"/>
              <w:spacing w:after="0" w:line="152" w:lineRule="exact"/>
              <w:rPr>
                <w:sz w:val="20"/>
                <w:szCs w:val="20"/>
                <w:color w:val="auto"/>
              </w:rPr>
            </w:pPr>
            <w:r>
              <w:rPr>
                <w:rFonts w:ascii="Arial" w:cs="Arial" w:eastAsia="Arial" w:hAnsi="Arial"/>
                <w:sz w:val="16"/>
                <w:szCs w:val="16"/>
                <w:color w:val="auto"/>
                <w:w w:val="95"/>
              </w:rPr>
              <w:t>Other comprehensive income (loss) prior to Reorganization</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163</w:t>
            </w: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6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March 31, 2021</w:t>
            </w: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spacing w:after="0"/>
              <w:rPr>
                <w:sz w:val="15"/>
                <w:szCs w:val="15"/>
                <w:color w:val="auto"/>
              </w:rPr>
            </w:pPr>
          </w:p>
        </w:tc>
        <w:tc>
          <w:tcPr>
            <w:tcW w:w="580" w:type="dxa"/>
            <w:vAlign w:val="bottom"/>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7"/>
              </w:rPr>
              <w:t>1,185,612</w:t>
            </w:r>
          </w:p>
        </w:tc>
        <w:tc>
          <w:tcPr>
            <w:tcW w:w="28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32</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1,185,644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ind w:left="20"/>
              <w:spacing w:after="0"/>
              <w:rPr>
                <w:sz w:val="20"/>
                <w:szCs w:val="20"/>
                <w:color w:val="auto"/>
              </w:rPr>
            </w:pPr>
            <w:r>
              <w:rPr>
                <w:rFonts w:ascii="Arial" w:cs="Arial" w:eastAsia="Arial" w:hAnsi="Arial"/>
                <w:sz w:val="16"/>
                <w:szCs w:val="16"/>
                <w:color w:val="auto"/>
              </w:rPr>
              <w:t>Net loss prior to Reorganization Transactions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9"/>
              <w:spacing w:after="0"/>
              <w:rPr>
                <w:sz w:val="20"/>
                <w:szCs w:val="20"/>
                <w:color w:val="auto"/>
              </w:rPr>
            </w:pPr>
            <w:r>
              <w:rPr>
                <w:rFonts w:ascii="Arial" w:cs="Arial" w:eastAsia="Arial" w:hAnsi="Arial"/>
                <w:sz w:val="16"/>
                <w:szCs w:val="16"/>
                <w:color w:val="auto"/>
              </w:rPr>
              <w:t>(15,039 )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(15,039 )</w:t>
            </w:r>
          </w:p>
        </w:tc>
        <w:tc>
          <w:tcPr>
            <w:tcW w:w="0" w:type="dxa"/>
            <w:vAlign w:val="bottom"/>
          </w:tcPr>
          <w:p>
            <w:pPr>
              <w:spacing w:after="0"/>
              <w:rPr>
                <w:sz w:val="1"/>
                <w:szCs w:val="1"/>
                <w:color w:val="auto"/>
              </w:rPr>
            </w:pPr>
          </w:p>
        </w:tc>
      </w:tr>
      <w:tr>
        <w:trPr>
          <w:trHeight w:val="152"/>
        </w:trPr>
        <w:tc>
          <w:tcPr>
            <w:tcW w:w="4020" w:type="dxa"/>
            <w:vAlign w:val="bottom"/>
            <w:gridSpan w:val="4"/>
            <w:shd w:val="clear" w:color="auto" w:fill="CFF0FC"/>
          </w:tcPr>
          <w:p>
            <w:pPr>
              <w:ind w:left="20"/>
              <w:spacing w:after="0" w:line="152" w:lineRule="exact"/>
              <w:rPr>
                <w:sz w:val="20"/>
                <w:szCs w:val="20"/>
                <w:color w:val="auto"/>
              </w:rPr>
            </w:pPr>
            <w:r>
              <w:rPr>
                <w:rFonts w:ascii="Arial" w:cs="Arial" w:eastAsia="Arial" w:hAnsi="Arial"/>
                <w:sz w:val="16"/>
                <w:szCs w:val="16"/>
                <w:color w:val="auto"/>
                <w:w w:val="95"/>
              </w:rPr>
              <w:t>Other comprehensive income (loss) prior to Reorganization</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gridSpan w:val="3"/>
            <w:vMerge w:val="restart"/>
            <w:shd w:val="clear" w:color="auto" w:fill="CFF0FC"/>
          </w:tcPr>
          <w:p>
            <w:pPr>
              <w:jc w:val="right"/>
              <w:ind w:right="124"/>
              <w:spacing w:after="0"/>
              <w:rPr>
                <w:sz w:val="20"/>
                <w:szCs w:val="20"/>
                <w:color w:val="auto"/>
              </w:rPr>
            </w:pPr>
            <w:r>
              <w:rPr>
                <w:rFonts w:ascii="Arial" w:cs="Arial" w:eastAsia="Arial" w:hAnsi="Arial"/>
                <w:sz w:val="16"/>
                <w:szCs w:val="16"/>
                <w:color w:val="auto"/>
              </w:rPr>
              <w:t>(19 )</w:t>
            </w: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19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Transactions</w:t>
            </w:r>
          </w:p>
        </w:tc>
        <w:tc>
          <w:tcPr>
            <w:tcW w:w="1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gridSpan w:val="3"/>
            <w:vMerge w:val="continue"/>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60" w:type="dxa"/>
            <w:vAlign w:val="bottom"/>
          </w:tcPr>
          <w:p>
            <w:pPr>
              <w:ind w:left="20"/>
              <w:spacing w:after="0"/>
              <w:rPr>
                <w:sz w:val="20"/>
                <w:szCs w:val="20"/>
                <w:color w:val="auto"/>
              </w:rPr>
            </w:pPr>
            <w:r>
              <w:rPr>
                <w:rFonts w:ascii="Arial" w:cs="Arial" w:eastAsia="Arial" w:hAnsi="Arial"/>
                <w:sz w:val="16"/>
                <w:szCs w:val="16"/>
                <w:color w:val="auto"/>
              </w:rPr>
              <w:t>Equity-based compensation</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1,615</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2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w w:val="93"/>
              </w:rPr>
              <w:t>Members' contributions prior to Reorganization Transactions</w:t>
            </w:r>
          </w:p>
        </w:tc>
        <w:tc>
          <w:tcPr>
            <w:tcW w:w="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gridSpan w:val="5"/>
          </w:tcPr>
          <w:p>
            <w:pPr>
              <w:ind w:left="20"/>
              <w:spacing w:after="0"/>
              <w:rPr>
                <w:sz w:val="20"/>
                <w:szCs w:val="20"/>
                <w:color w:val="auto"/>
              </w:rPr>
            </w:pPr>
            <w:r>
              <w:rPr>
                <w:rFonts w:ascii="Arial" w:cs="Arial" w:eastAsia="Arial" w:hAnsi="Arial"/>
                <w:sz w:val="16"/>
                <w:szCs w:val="16"/>
                <w:color w:val="auto"/>
                <w:w w:val="97"/>
              </w:rPr>
              <w:t>Distributions to members prior to Reorganization Transactions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(3,328 )</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(3,328 )</w:t>
            </w:r>
          </w:p>
        </w:tc>
        <w:tc>
          <w:tcPr>
            <w:tcW w:w="0" w:type="dxa"/>
            <w:vAlign w:val="bottom"/>
          </w:tcPr>
          <w:p>
            <w:pPr>
              <w:spacing w:after="0"/>
              <w:rPr>
                <w:sz w:val="1"/>
                <w:szCs w:val="1"/>
                <w:color w:val="auto"/>
              </w:rPr>
            </w:pPr>
          </w:p>
        </w:tc>
      </w:tr>
      <w:tr>
        <w:trPr>
          <w:trHeight w:val="223"/>
        </w:trPr>
        <w:tc>
          <w:tcPr>
            <w:tcW w:w="226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Balance at June 30, 2021</w:t>
            </w:r>
          </w:p>
        </w:tc>
        <w:tc>
          <w:tcPr>
            <w:tcW w:w="1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gridSpan w:val="2"/>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9"/>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7"/>
              </w:rPr>
              <w:t>1,174,360</w:t>
            </w:r>
          </w:p>
        </w:tc>
        <w:tc>
          <w:tcPr>
            <w:tcW w:w="280" w:type="dxa"/>
            <w:vAlign w:val="bottom"/>
            <w:tcBorders>
              <w:bottom w:val="single" w:sz="8" w:color="auto"/>
            </w:tcBorders>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1,174,373</w:t>
            </w:r>
          </w:p>
        </w:tc>
        <w:tc>
          <w:tcPr>
            <w:tcW w:w="1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-2362200</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-2362200</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-2362200</wp:posOffset>
            </wp:positionV>
            <wp:extent cx="7747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-2362200</wp:posOffset>
            </wp:positionV>
            <wp:extent cx="7747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-2362200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-2362200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-2362200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-2362200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-2362200</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w:t>
      </w:r>
    </w:p>
    <w:p>
      <w:pPr>
        <w:jc w:val="center"/>
        <w:spacing w:after="0"/>
        <w:rPr>
          <w:sz w:val="20"/>
          <w:szCs w:val="20"/>
          <w:color w:val="auto"/>
        </w:rPr>
      </w:pPr>
      <w:r>
        <w:rPr>
          <w:rFonts w:ascii="Arial" w:cs="Arial" w:eastAsia="Arial" w:hAnsi="Arial"/>
          <w:sz w:val="18"/>
          <w:szCs w:val="18"/>
          <w:i w:val="1"/>
          <w:i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jc w:val="right"/>
              <w:ind w:right="63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provided by operating activities: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(22,636 )</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(25,527 )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1,252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29,774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28,853</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Amortization of deferred contract costs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3,991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1,902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Equity-based compensation</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15,877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351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(105 )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Non-cash restructuring charges related to office leases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1,023</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Tax receivable agreement remeasurement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(3,143 )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Changes in fair value of 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3,381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(164 )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15,270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10,476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1,319</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(614 )</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Deferred contract costs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(6,846 )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(6,042 )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(6,400 )</w:t>
            </w:r>
          </w:p>
        </w:tc>
        <w:tc>
          <w:tcPr>
            <w:tcW w:w="32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64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(2,238 )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(2,119 )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640"/>
              <w:spacing w:after="0" w:line="202" w:lineRule="exact"/>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1,678</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7,927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29,114</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21,941</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used in investing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Purchases of property, equipment and other assets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(1,577 )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(5,222 )</w:t>
            </w: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(162,957 )</w:t>
            </w:r>
          </w:p>
        </w:tc>
        <w:tc>
          <w:tcPr>
            <w:tcW w:w="32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Maturities of short-term investments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acquisitions, net of cash acquired</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(56,499 )</w:t>
            </w:r>
          </w:p>
        </w:tc>
        <w:tc>
          <w:tcPr>
            <w:tcW w:w="32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(177,033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(5,222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used in financing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Repayments of term loans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(3,438 )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(2,340 )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Payment of 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(1,100 )</w:t>
            </w:r>
          </w:p>
        </w:tc>
        <w:tc>
          <w:tcPr>
            <w:tcW w:w="32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(1,500 )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Payments of equity offering issuance costs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(1,299 )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(1,394 )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Member contributions</w:t>
            </w:r>
          </w:p>
        </w:tc>
        <w:tc>
          <w:tcPr>
            <w:tcW w:w="320" w:type="dxa"/>
            <w:vAlign w:val="bottom"/>
          </w:tcPr>
          <w:p>
            <w:pPr>
              <w:spacing w:after="0"/>
              <w:rPr>
                <w:sz w:val="17"/>
                <w:szCs w:val="17"/>
                <w:color w:val="auto"/>
              </w:rPr>
            </w:pP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5,500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Member distributions</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(5,287 )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(3,328 )</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0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7060" w:type="dxa"/>
            <w:vAlign w:val="bottom"/>
          </w:tcPr>
          <w:p>
            <w:pPr>
              <w:spacing w:after="0" w:line="196" w:lineRule="exact"/>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(11,124 )</w:t>
            </w:r>
          </w:p>
        </w:tc>
        <w:tc>
          <w:tcPr>
            <w:tcW w:w="32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(3,062 )</w:t>
            </w: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(159,043</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13,657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(253 )</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387,498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24,774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7060" w:type="dxa"/>
            <w:vAlign w:val="bottom"/>
          </w:tcPr>
          <w:p>
            <w:pPr>
              <w:ind w:left="360"/>
              <w:spacing w:after="0" w:line="196" w:lineRule="exact"/>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228,202</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38,438</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580" w:type="dxa"/>
            <w:vAlign w:val="bottom"/>
          </w:tcPr>
          <w:p>
            <w:pPr>
              <w:spacing w:after="0"/>
              <w:rPr>
                <w:sz w:val="15"/>
                <w:szCs w:val="15"/>
                <w:color w:val="auto"/>
              </w:rPr>
            </w:pPr>
          </w:p>
        </w:tc>
        <w:tc>
          <w:tcPr>
            <w:tcW w:w="706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Supplemental cash flow disclosures: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360"/>
              <w:spacing w:after="0" w:line="202" w:lineRule="exact"/>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Interest</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15,972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540"/>
              <w:spacing w:after="0" w:line="202" w:lineRule="exact"/>
              <w:rPr>
                <w:sz w:val="20"/>
                <w:szCs w:val="20"/>
                <w:color w:val="auto"/>
              </w:rPr>
            </w:pPr>
            <w:r>
              <w:rPr>
                <w:rFonts w:ascii="Arial" w:cs="Arial" w:eastAsia="Arial" w:hAnsi="Arial"/>
                <w:sz w:val="18"/>
                <w:szCs w:val="18"/>
                <w:color w:val="auto"/>
              </w:rPr>
              <w:t>Income taxes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Acquisitions: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720"/>
              <w:spacing w:after="0" w:line="202" w:lineRule="exact"/>
              <w:rPr>
                <w:sz w:val="20"/>
                <w:szCs w:val="20"/>
                <w:color w:val="auto"/>
              </w:rPr>
            </w:pPr>
            <w:r>
              <w:rPr>
                <w:rFonts w:ascii="Arial" w:cs="Arial" w:eastAsia="Arial" w:hAnsi="Arial"/>
                <w:sz w:val="18"/>
                <w:szCs w:val="18"/>
                <w:color w:val="auto"/>
              </w:rPr>
              <w:t>Net assets acquired, net of cash acquired</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97,499</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Initial cash investment in prior year</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(40,000 )</w:t>
            </w:r>
          </w:p>
        </w:tc>
        <w:tc>
          <w:tcPr>
            <w:tcW w:w="3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320" w:type="dxa"/>
            <w:vAlign w:val="bottom"/>
          </w:tcPr>
          <w:p>
            <w:pPr>
              <w:spacing w:after="0"/>
              <w:rPr>
                <w:sz w:val="17"/>
                <w:szCs w:val="17"/>
                <w:color w:val="auto"/>
              </w:rPr>
            </w:pP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(1,000 )</w:t>
            </w:r>
          </w:p>
        </w:tc>
        <w:tc>
          <w:tcPr>
            <w:tcW w:w="320" w:type="dxa"/>
            <w:vAlign w:val="bottom"/>
          </w:tcPr>
          <w:p>
            <w:pPr>
              <w:spacing w:after="0"/>
              <w:rPr>
                <w:sz w:val="17"/>
                <w:szCs w:val="17"/>
                <w:color w:val="auto"/>
              </w:rPr>
            </w:pPr>
          </w:p>
        </w:tc>
        <w:tc>
          <w:tcPr>
            <w:tcW w:w="112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7060" w:type="dxa"/>
            <w:vAlign w:val="bottom"/>
            <w:tcBorders>
              <w:bottom w:val="single" w:sz="8" w:color="CFF0FC"/>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Net cash paid for acquisitions</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56,499</w:t>
            </w: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183"/>
        </w:trPr>
        <w:tc>
          <w:tcPr>
            <w:tcW w:w="580" w:type="dxa"/>
            <w:vAlign w:val="bottom"/>
          </w:tcPr>
          <w:p>
            <w:pPr>
              <w:spacing w:after="0"/>
              <w:rPr>
                <w:sz w:val="15"/>
                <w:szCs w:val="15"/>
                <w:color w:val="auto"/>
              </w:rPr>
            </w:pPr>
          </w:p>
        </w:tc>
        <w:tc>
          <w:tcPr>
            <w:tcW w:w="7060" w:type="dxa"/>
            <w:vAlign w:val="bottom"/>
          </w:tcPr>
          <w:p>
            <w:pPr>
              <w:spacing w:after="0" w:line="183" w:lineRule="exact"/>
              <w:rPr>
                <w:sz w:val="20"/>
                <w:szCs w:val="20"/>
                <w:color w:val="auto"/>
              </w:rPr>
            </w:pPr>
            <w:r>
              <w:rPr>
                <w:rFonts w:ascii="Arial" w:cs="Arial" w:eastAsia="Arial" w:hAnsi="Arial"/>
                <w:sz w:val="18"/>
                <w:szCs w:val="18"/>
                <w:b w:val="1"/>
                <w:bCs w:val="1"/>
                <w:color w:val="auto"/>
              </w:rPr>
              <w:t>Supplemental disclosure of non-cash investing activities: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Capital expenditures included in accrued expenses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tcPr>
          <w:p>
            <w:pPr>
              <w:spacing w:after="0" w:line="202"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0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Unpaid public offering costs included in accrued expenses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2,426</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526"/>
        </w:trPr>
        <w:tc>
          <w:tcPr>
            <w:tcW w:w="580" w:type="dxa"/>
            <w:vAlign w:val="bottom"/>
          </w:tcPr>
          <w:p>
            <w:pPr>
              <w:spacing w:after="0"/>
              <w:rPr>
                <w:sz w:val="24"/>
                <w:szCs w:val="24"/>
                <w:color w:val="auto"/>
              </w:rPr>
            </w:pPr>
          </w:p>
        </w:tc>
        <w:tc>
          <w:tcPr>
            <w:tcW w:w="7060" w:type="dxa"/>
            <w:vAlign w:val="bottom"/>
          </w:tcPr>
          <w:p>
            <w:pPr>
              <w:ind w:left="50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7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-4377055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-4377055</wp:posOffset>
            </wp:positionV>
            <wp:extent cx="603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-3588385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-3588385</wp:posOffset>
            </wp:positionV>
            <wp:extent cx="6032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-2807970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-2807970</wp:posOffset>
            </wp:positionV>
            <wp:extent cx="603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-2276475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-2276475</wp:posOffset>
            </wp:positionV>
            <wp:extent cx="603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-951230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-951230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5"/>
          <w:szCs w:val="15"/>
          <w:color w:val="auto"/>
        </w:rPr>
        <w:t>See notes to condensed consolidated financial statements</w:t>
      </w:r>
    </w:p>
    <w:p>
      <w:pPr>
        <w:sectPr>
          <w:pgSz w:w="11900" w:h="16838" w:orient="portrait"/>
          <w:cols w:equalWidth="0" w:num="1">
            <w:col w:w="9019"/>
          </w:cols>
          <w:pgMar w:left="1440" w:top="436"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DEFINITIVE HEALTHCARE CORP.</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40"/>
        <w:spacing w:after="0"/>
        <w:rPr>
          <w:sz w:val="20"/>
          <w:szCs w:val="20"/>
          <w:color w:val="auto"/>
        </w:rPr>
      </w:pPr>
      <w:r>
        <w:rPr>
          <w:rFonts w:ascii="Arial" w:cs="Arial" w:eastAsia="Arial" w:hAnsi="Arial"/>
          <w:sz w:val="18"/>
          <w:szCs w:val="18"/>
          <w:i w:val="1"/>
          <w:iCs w:val="1"/>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8"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Definitive Healthcare Corp., through its operating subsidiary, Definitive OpCo, provides comprehensive and up-to-date hospital and healthcare-related information and insight across the entire healthcare continuum via a multi-tenant software-as-a-service (“SaaS”) platform which combines proprietary and public sources to deliver insights. The Company is headquartered in Framingham, MA.</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Definitive Healthcare Corp. was formed on May 5, 2021 as a Delaware corporation to facilitate an initial public offering (“IPO”) and other related transactions to carry on the business of Definitive OpCo. Following consummation of the Reorganization Transactions, Definitive OpCo became an indirect subsidiary of Definitive Healthcare Corp.</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On September 17, 2021, Definitive Healthcare completed its IPO, in which it sold 17,888,888 shares of Class A Common Stock (including shares issued pursuant to the exercise in full of the underwriters’ option to purchase additional shares) at a public offering price of $27.00 per share for net proceeds of $452.8 million, after deducting underwriters’ discounts and commissions (but excluding other offering expenses and reimbursements).</w:t>
      </w:r>
    </w:p>
    <w:p>
      <w:pPr>
        <w:spacing w:after="0" w:line="39"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Definitive Healthcare used net proceeds from the IPO to (i) acquire 14,222,222 newly issued limited liability company interests (“LLC Units”) from Definitive OpCo; (ii) purchase 1,169,378 LLC Units from certain holders of LLC Units prior to the IPO; and (iii) repurchase 2,497,288 shares of Class A Common Stock received by the former shareholders of certain Blocker Companies (as defined below). Definitive OpCo used proceeds from the IPO to pay fees and expenses of approximately $11.4 million incurred in connection with the IPO and the Reorganization Transactions and to repay $199.6 million, inclusive of accrued interest expense, of the outstanding borrowings under our 2019 Credit Agreement, with the remaining proceeds intended to be used for general corporate purposes.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04"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connection with the IPO, the Company completed the following transactions (the “Reorganization Transactions”). Definitive OpCo entered into a second amended and restated limited liability company agreement (the “Amended LLC Agreement”) pursuant to which members of Definitive OpCo prior to the IPO who continue to hold LLC Units have the right to require Definitive OpCo to exchange all or a portion of their LLC Units for newly issued shares of Class A Common Stock. Until exchanged, each LLC Unit is coupled with one share of Definitive Healthcare Corp. Class B Common Stock. The total amount of shares of Class B Common Stock outstanding is equal to the number of vested LLC Units outstanding. Entities treated as corporations for U.S. tax purposes that held LLC Units (individually, a “Blocker Company” and collectively, the "Blocker Companies") each merged with a merger subsidiary and subsequently merged into Definitive Healthcare Corp. and are now holders of Class A Common Stock.</w:t>
      </w:r>
    </w:p>
    <w:p>
      <w:pPr>
        <w:spacing w:after="0" w:line="180"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Following the Reorganization Transactions, Definitive Healthcare Corp. became a holding company, with its sole material asset being a controlling equity interest in Definitive OpCo. 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unexchanged LLC Unit holders on its condensed consolidated financial statements.</w:t>
      </w:r>
    </w:p>
    <w:p>
      <w:pPr>
        <w:spacing w:after="0" w:line="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Reorganization Transactions and the IPO, Definitive Healthcare Corp entered into a tax receivable agreement. See Note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On November 22, 2021, Definitive Healthcare Corp. completed a follow-on offering, in which it sold 11,000,000 shares of Class A Common Stock at a public offering price of $36.00 per share for net proceeds of $382.1 million, after deducting underwriters’ discounts and commissions (but excluding other offering expenses and reimbursements).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Definitive Healthcare Corp. used net proceeds from the follow-on offering to (i) acquire 7,000,000 newly issued LLC Units from Definitive OpCo;</w:t>
      </w:r>
    </w:p>
    <w:p>
      <w:pPr>
        <w:spacing w:after="0" w:line="35" w:lineRule="exact"/>
        <w:rPr>
          <w:sz w:val="20"/>
          <w:szCs w:val="20"/>
          <w:color w:val="auto"/>
        </w:rPr>
      </w:pPr>
    </w:p>
    <w:p>
      <w:pPr>
        <w:ind w:firstLine="8"/>
        <w:spacing w:after="0" w:line="283"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purchase 1,766,762 LLC Units from certain unitholders; and (iii) repurchase 2,233,238 shares of Class A Common Stock received by the former shareholders of certain Blocker Companies. Definitive OpCo used net proceeds from the follow-on offering to pay fees and expenses of approximately $1.6 million incurred in connection with the follow-on offering, with the remaining proceeds intended to be used for general corporate purposes.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in conformity with rules applicable to quarterly financial information. Any reference in these notes to applicable accounting guidance is meant to refer to the authoritative nongovernmental GAAP as found in the Financial Accounting Standards Board (“FASB”) Accounting Standards Codification (“ASC”). The condensed consolidated financial statements as of June 30, 2022 and for the three and six months ended June 30, 2022 and 2021 are unaudited. Amounts for the period from January 1, 2021 through June 30, 2021 presented in the condensed consolidated financial statements and notes to the condensed consolidated financial statements herein represent the historical operations of Definitive OpCo. The amounts as of June 30, 2022 and December 31, 2021 and for the period from January 1, 2022 through June 30, 2022 reflect the consolidated operations of Definitive Healthcare Corp. and its consolidated subsidiaries.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72"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 xml:space="preserve">Refer to Note 2 below and to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in the notes to the consolidated financial statements in the Annual Report on Form 10-K for the fiscal year ended December 31, 2021 for the Company’s significant accounting policies and estimates.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04"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include,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Effective January 1, 2022, the Company adopted Accounting Standards Update (“ASU”) No. 2016-02—</w:t>
      </w:r>
      <w:r>
        <w:rPr>
          <w:rFonts w:ascii="Arial" w:cs="Arial" w:eastAsia="Arial" w:hAnsi="Arial"/>
          <w:sz w:val="17"/>
          <w:szCs w:val="17"/>
          <w:i w:val="1"/>
          <w:iCs w:val="1"/>
          <w:color w:val="auto"/>
        </w:rPr>
        <w:t>Leases (Topic 842) (“ASC 842”)</w:t>
      </w:r>
      <w:r>
        <w:rPr>
          <w:rFonts w:ascii="Arial" w:cs="Arial" w:eastAsia="Arial" w:hAnsi="Arial"/>
          <w:sz w:val="17"/>
          <w:szCs w:val="17"/>
          <w:color w:val="auto"/>
        </w:rPr>
        <w:t>.</w:t>
      </w:r>
    </w:p>
    <w:p>
      <w:pPr>
        <w:spacing w:after="0" w:line="11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In accordance with ASC 842, the Company, at the inception of the contract, determines whether a contract is or contains a lease. For leases with terms greater than 12 months, the Company records the related operating or finance right of use asset and lease liability at the present value of lease payments over the lease term. The Company is generally not able to readily determine the implicit rate in the lease and therefore uses the determined incremental borrowing rate at lease commencement to determine the present value of lease payments. The incremental borrowing rate represents an estimate of the market interest rate the Company would incur at lease commencement to borrow an amount equal to the lease payments on a collateralized basis over the term of a lease. Renewal options are not included in the measurement of the right of use assets and lease liabilities unless the Company is reasonably certain to exercise the optional renewal periods. Some leases also include early termination options, which can be exercised under specific conditions. Additionally, certain leases contain incentives, such as construction allowances from landlords. These incentives reduce the right-of-use asset related to the lease.</w:t>
      </w:r>
    </w:p>
    <w:p>
      <w:pPr>
        <w:spacing w:after="0" w:line="8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Some of the Company's leases contain rent escalations over the lease term. The Company recognizes expense for operating leases on a straight-line basis over the lease term. The Company’s lease agreements contain variable lease payments for common area maintenance, utility, and taxes. The Company has elected the practical expedient to combine lease and non-lease components for all asset categories. Therefore, the lease payments used to measure the lease liability for these leases include fixed minimum rentals along with fixed non-lease component charges. The Company does not have significant residual value guarantees or restrictive covenants in the lease portfolio.</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04"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auto"/>
        </w:rPr>
        <w:t>FASB Accounting Standards Codification (“ASC”) 815—</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instruments, and disclosures about credit-risk-related contingent features in derivative instruments.</w:t>
      </w:r>
    </w:p>
    <w:p>
      <w:pPr>
        <w:spacing w:after="0" w:line="1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p>
      <w:pPr>
        <w:ind w:firstLine="509"/>
        <w:spacing w:after="0" w:line="268" w:lineRule="auto"/>
        <w:rPr>
          <w:sz w:val="20"/>
          <w:szCs w:val="20"/>
          <w:color w:val="auto"/>
        </w:rPr>
      </w:pPr>
      <w:r>
        <w:rPr>
          <w:rFonts w:ascii="Arial" w:cs="Arial" w:eastAsia="Arial" w:hAnsi="Arial"/>
          <w:sz w:val="16"/>
          <w:szCs w:val="16"/>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economically hedge certain of its risk, even though hedge accounting does not apply or the Company elects not to apply hedge accounting.</w:t>
      </w:r>
    </w:p>
    <w:p>
      <w:pPr>
        <w:spacing w:after="0" w:line="116"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In accordance with the FASB’s fair value measurement guidance in ASU 2011-04—</w:t>
      </w:r>
      <w:r>
        <w:rPr>
          <w:rFonts w:ascii="Arial" w:cs="Arial" w:eastAsia="Arial" w:hAnsi="Arial"/>
          <w:sz w:val="17"/>
          <w:szCs w:val="17"/>
          <w:i w:val="1"/>
          <w:iCs w:val="1"/>
          <w:color w:val="auto"/>
        </w:rPr>
        <w:t>Amendments to Achieve Common Fair Value Measurement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in U.S. GAAP and IFRS </w:t>
      </w:r>
      <w:r>
        <w:rPr>
          <w:rFonts w:ascii="Arial" w:cs="Arial" w:eastAsia="Arial" w:hAnsi="Arial"/>
          <w:sz w:val="17"/>
          <w:szCs w:val="17"/>
          <w:color w:val="auto"/>
        </w:rPr>
        <w:t>(“ASC 820”), the Company made an accounting policy election to measure the credit risk of its</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financial instruments that are subject to master netting agreements on a net basis by counterparty portfolio.</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04"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October 2021, the FASB issued ASU No. 2021-08—</w:t>
      </w:r>
      <w:r>
        <w:rPr>
          <w:rFonts w:ascii="Arial" w:cs="Arial" w:eastAsia="Arial" w:hAnsi="Arial"/>
          <w:sz w:val="17"/>
          <w:szCs w:val="17"/>
          <w:i w:val="1"/>
          <w:iCs w:val="1"/>
          <w:color w:val="auto"/>
        </w:rPr>
        <w:t>Business Combinations (Topic 805): Accounting for Contract Assets and Contract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from Contracts with Customers</w:t>
      </w:r>
      <w:r>
        <w:rPr>
          <w:rFonts w:ascii="Arial" w:cs="Arial" w:eastAsia="Arial" w:hAnsi="Arial"/>
          <w:sz w:val="17"/>
          <w:szCs w:val="17"/>
          <w:color w:val="auto"/>
        </w:rPr>
        <w:t>. This new accounting standard requires contract assets and contract liabilities (i.e., deferred revenue) acquired in a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to be recognized and measured by the acquirer on the acquisition date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The standard requires the acquirer to recognize contract assets and contract liabilities at the same amounts recorded by the acquiree. The new accounting guidance is effective for fiscal years beginning after December 15, 2022, with early adoption permitted. The Company adopted this new accounting guidance effective January 1, 2022. In connection with the acquisition of Analytical Wizards completed in the first quarter of 2022, the Company recorded contract liabilities of $3.4 million.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for further details.</w:t>
      </w:r>
    </w:p>
    <w:p>
      <w:pPr>
        <w:spacing w:after="0" w:line="72"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In December 2019, the FASB issued ASU No. 2019-12—</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The Company adopted this new accounting guidance effective January 1, 2022, but the adoption did not have a material impact on the Company’s condensed consolidated financial statements.</w:t>
      </w:r>
    </w:p>
    <w:p>
      <w:pPr>
        <w:spacing w:after="0" w:line="47" w:lineRule="exact"/>
        <w:rPr>
          <w:sz w:val="20"/>
          <w:szCs w:val="20"/>
          <w:color w:val="auto"/>
        </w:rPr>
      </w:pPr>
    </w:p>
    <w:p>
      <w:pPr>
        <w:jc w:val="both"/>
        <w:ind w:right="20" w:firstLine="509"/>
        <w:spacing w:after="0" w:line="270"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w:t>
      </w:r>
    </w:p>
    <w:p>
      <w:pPr>
        <w:spacing w:after="0" w:line="56"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The Company adopted ASU No. 2016-02—</w:t>
      </w:r>
      <w:r>
        <w:rPr>
          <w:rFonts w:ascii="Arial" w:cs="Arial" w:eastAsia="Arial" w:hAnsi="Arial"/>
          <w:sz w:val="16"/>
          <w:szCs w:val="16"/>
          <w:i w:val="1"/>
          <w:iCs w:val="1"/>
          <w:color w:val="auto"/>
        </w:rPr>
        <w:t>Leases</w:t>
      </w:r>
      <w:r>
        <w:rPr>
          <w:rFonts w:ascii="Arial" w:cs="Arial" w:eastAsia="Arial" w:hAnsi="Arial"/>
          <w:sz w:val="16"/>
          <w:szCs w:val="16"/>
          <w:color w:val="auto"/>
        </w:rPr>
        <w:t xml:space="preserve"> effective January 1, 2022 using the modified retrospective transition method. Prior period results will continue to be presented under ASC 840 as it was the accounting standard in effect for such periods. The Company elected to apply the package of practical expedients that allows entities to forgo reassessing at the transition date: (1) whether any expired or existing contracts are or contain leases; (2) lease classification for any expired or existing leases; and (3) whether unamortized initial direct costs for existing leases meet the definition of initial direct costs under the new guidance. The Company did not elect the hindsight practical expedient. The Company elected to use the practical expedient that allows the combination of lease and non-lease contract components in all of its underlying asset categories. Finally, the Company also elected a policy of not recording leases on its condensed consolidated balance sheets when the leases have a term of 12 months or less and the Company is not reasonably certain to elect an option to renew the leased asset. Due to the adoption of this guidance, the Company recognized operating right-of-use assets of $12.7 million and operating lease liabilities of $14.0 million as of the date of adoption. The difference between the right-of-use assets and lease liabilities on the accompanying condensed consolidated balance sheet is primarily due to the accrual for lease payments as a result of straight-line lease expense and unamortized tenant incentive liability balances. The Company did not have any impact to opening retained earnings as a result of the adoption of the guidance. The adoption of this new guidance did not have a material impact on the Company’s results of operations, comprehensive loss, cash flows, liquidity or the Company’s covenant compliance under its existing credit agreement.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This standard is intended to improve financial reporting by requiring earlier recognition of credit losses on financing receivables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in scope, such as trade receivables. The amendment is effective for fiscal</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right="20"/>
        <w:spacing w:after="0" w:line="261" w:lineRule="auto"/>
        <w:rPr>
          <w:sz w:val="20"/>
          <w:szCs w:val="20"/>
          <w:color w:val="auto"/>
        </w:rPr>
      </w:pPr>
      <w:r>
        <w:rPr>
          <w:rFonts w:ascii="Arial" w:cs="Arial" w:eastAsia="Arial" w:hAnsi="Arial"/>
          <w:sz w:val="18"/>
          <w:szCs w:val="18"/>
          <w:color w:val="auto"/>
        </w:rPr>
        <w:t>years beginning after December 15, 2022. The Company will adopt the update effective January 1, 2023 and does not expect the adoption of the standard to have a material impact on its consolidated financial statements.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The amendments of ASU No. 2020-04 are effective for companies as of March 12, 2020 through December 31, 2022. An entity may</w:t>
      </w:r>
      <w:r>
        <w:rPr>
          <w:rFonts w:ascii="Arial" w:cs="Arial" w:eastAsia="Arial" w:hAnsi="Arial"/>
          <w:sz w:val="18"/>
          <w:szCs w:val="18"/>
          <w:i w:val="1"/>
          <w:iCs w:val="1"/>
          <w:color w:val="auto"/>
        </w:rPr>
        <w:t xml:space="preserve"> </w:t>
      </w:r>
      <w:r>
        <w:rPr>
          <w:rFonts w:ascii="Arial" w:cs="Arial" w:eastAsia="Arial" w:hAnsi="Arial"/>
          <w:sz w:val="18"/>
          <w:szCs w:val="18"/>
          <w:color w:val="auto"/>
        </w:rPr>
        <w:t>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its consolidated financial position or results of operations upon adoption.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08"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On December 22, 2021, Definitive Healthcare, LLC (“DH, LLC”), an indirect wholly owned subsidiary of Definitive Healthcare Corp. made a $40.0 million investment in Analytical Wizards Inc. (“AW” or “Analytical Wizards”), a privately held company. Analytical Wizards automates complex analytic models using tools that expedite efficient big data mining through artificial intelligence ("A.I.") and machine learning ("M.L.") to uncover deep insights. In the transaction the Company purchased Series B Convertible Preferred Stock of AW (“Series B Preferred Stock”), representing 35% ownership of AW, and an option to acquire the remaining 65% ownership (the "Purchase Option") for $65.0 million. As of December 31, 2021, the Company determined it did not have a controlling financial interest in AW at transaction close as the Company did not have the right to control the governing body of AW or have control through other contractual rights. At December 31, 2021, because the Series B Preferred Stock and the Purchase Option did not have readily determinable fair values, the Company elected to apply the measurement alternative and adjust the carrying value of the investments in AW for impairments and observable prices in identical or similar equity securities of AW. The Company paid $40.0 million for the Series B Preferred Stock and Purchase Option, which was allocated on a relative fair value basis such that the Series B Preferred Stock and Purchase Option had carrying values of $32.7 million and $7.3 million at the time of the transaction, respectively. The Series B Preferred Stock was recorded in Investments in equity securities and the Purchase Option was recorded in Other assets in the accompanying condensed consolidated balance sheet as of December 31, 2021.</w:t>
      </w:r>
    </w:p>
    <w:p>
      <w:pPr>
        <w:spacing w:after="0" w:line="63"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On February 18, 2022, the Company purchased the remaining 65% of AW’s equity for $65.0 million, net of cash acquired and an estimated working capital adjustment and other customary purchase price adjustments (the “AW acquisition”). The Company’s previously held investment and Purchase Option were remeasured at fair value as of the date the Purchase Option was exercised. The remeasurement had an immaterial impact on the condensed consolidated statements of operations for the three months ended March 31, 2022. The Company has included the financial results of Analytical Wizards in the condensed consolidated financial statements from February 18, 2022, the date of acquisition.</w:t>
      </w:r>
    </w:p>
    <w:p>
      <w:pPr>
        <w:spacing w:after="0" w:line="66"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Upon the consummation of the acquisition, AW became an indirect wholly owned subsidiary of Definitive Healthcare Corp. The total consideration for the initial investment and subsequent exercise of the Purchase Option was $99.4 million, consisting of $40.0 million for the initial investment paid in December 2021, approximately $58.6 million of cash paid at closing, $0.2 million reimbursement from sellers for working capital adjustments, and up to $5.0 million of contingent consideration, initially valued at $1.0 million. The contingent consideration, which relates to earn-out payments that may be paid out, subject to meeting certain expense control metrics during the two-year period following the closing of the AW acquisition, has an estimated fair value of $1.0 million as of the acquisition date. Pursuant to the Stock Purchase Agreement governing the AW acquisition, $10.0 million of the consideration was deposited into an escrow account to secure certain indemnification claims of DH, LLC. The assets acquired and liabilities assumed were recorded at their estimated preliminary fair values and the results of operations were included in the Company’s condensed consolidated results as of the acquisition date.</w:t>
      </w:r>
    </w:p>
    <w:p>
      <w:pPr>
        <w:sectPr>
          <w:pgSz w:w="11900" w:h="16838" w:orient="portrait"/>
          <w:cols w:equalWidth="0" w:num="1">
            <w:col w:w="11240"/>
          </w:cols>
          <w:pgMar w:left="320" w:top="436" w:right="339" w:bottom="1440" w:gutter="0" w:footer="0" w:header="0"/>
        </w:sectPr>
      </w:pPr>
    </w:p>
    <w:p>
      <w:pPr>
        <w:spacing w:after="0" w:line="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consideration transferred for the transaction is summarized as follows: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12700</wp:posOffset>
            </wp:positionV>
            <wp:extent cx="641223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Initial cash investment in December 2021</w:t>
      </w:r>
    </w:p>
    <w:p>
      <w:pPr>
        <w:ind w:left="580"/>
        <w:spacing w:after="0" w:line="234" w:lineRule="auto"/>
        <w:rPr>
          <w:sz w:val="20"/>
          <w:szCs w:val="20"/>
          <w:color w:val="auto"/>
        </w:rPr>
      </w:pPr>
      <w:r>
        <w:rPr>
          <w:rFonts w:ascii="Arial" w:cs="Arial" w:eastAsia="Arial" w:hAnsi="Arial"/>
          <w:sz w:val="18"/>
          <w:szCs w:val="18"/>
          <w:color w:val="auto"/>
        </w:rPr>
        <w:t>Cash consideration paid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color w:val="auto"/>
        </w:rPr>
        <w:t>Working capital adjustment</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4122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ind w:left="940"/>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162" w:hanging="1162"/>
        <w:spacing w:after="0"/>
        <w:tabs>
          <w:tab w:leader="none" w:pos="1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40,000</w:t>
      </w:r>
    </w:p>
    <w:p>
      <w:pPr>
        <w:spacing w:after="0" w:line="11" w:lineRule="exact"/>
        <w:rPr>
          <w:rFonts w:ascii="Arial" w:cs="Arial" w:eastAsia="Arial" w:hAnsi="Arial"/>
          <w:sz w:val="18"/>
          <w:szCs w:val="18"/>
          <w:color w:val="auto"/>
        </w:rPr>
      </w:pPr>
    </w:p>
    <w:p>
      <w:pPr>
        <w:ind w:left="1162"/>
        <w:spacing w:after="0" w:line="234" w:lineRule="auto"/>
        <w:rPr>
          <w:rFonts w:ascii="Arial" w:cs="Arial" w:eastAsia="Arial" w:hAnsi="Arial"/>
          <w:sz w:val="18"/>
          <w:szCs w:val="18"/>
          <w:color w:val="auto"/>
        </w:rPr>
      </w:pPr>
      <w:r>
        <w:rPr>
          <w:rFonts w:ascii="Arial" w:cs="Arial" w:eastAsia="Arial" w:hAnsi="Arial"/>
          <w:sz w:val="18"/>
          <w:szCs w:val="18"/>
          <w:color w:val="auto"/>
        </w:rPr>
        <w:t>58,645</w:t>
      </w:r>
    </w:p>
    <w:p>
      <w:pPr>
        <w:ind w:left="1322"/>
        <w:spacing w:after="0"/>
        <w:rPr>
          <w:rFonts w:ascii="Arial" w:cs="Arial" w:eastAsia="Arial" w:hAnsi="Arial"/>
          <w:sz w:val="18"/>
          <w:szCs w:val="18"/>
          <w:color w:val="auto"/>
        </w:rPr>
      </w:pPr>
      <w:r>
        <w:rPr>
          <w:rFonts w:ascii="Arial" w:cs="Arial" w:eastAsia="Arial" w:hAnsi="Arial"/>
          <w:sz w:val="16"/>
          <w:szCs w:val="16"/>
          <w:color w:val="auto"/>
        </w:rPr>
        <w:t>(202 )</w:t>
      </w:r>
    </w:p>
    <w:p>
      <w:pPr>
        <w:spacing w:after="0" w:line="18" w:lineRule="exact"/>
        <w:rPr>
          <w:rFonts w:ascii="Arial" w:cs="Arial" w:eastAsia="Arial" w:hAnsi="Arial"/>
          <w:sz w:val="18"/>
          <w:szCs w:val="18"/>
          <w:color w:val="auto"/>
        </w:rPr>
      </w:pPr>
    </w:p>
    <w:p>
      <w:pPr>
        <w:ind w:left="1242"/>
        <w:spacing w:after="0"/>
        <w:rPr>
          <w:rFonts w:ascii="Arial" w:cs="Arial" w:eastAsia="Arial" w:hAnsi="Arial"/>
          <w:sz w:val="18"/>
          <w:szCs w:val="18"/>
          <w:color w:val="auto"/>
        </w:rPr>
      </w:pPr>
      <w:r>
        <w:rPr>
          <w:rFonts w:ascii="Arial" w:cs="Arial" w:eastAsia="Arial" w:hAnsi="Arial"/>
          <w:sz w:val="18"/>
          <w:szCs w:val="18"/>
          <w:color w:val="auto"/>
        </w:rPr>
        <w:t>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-3175</wp:posOffset>
            </wp:positionV>
            <wp:extent cx="1062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1162" w:hanging="1162"/>
        <w:spacing w:after="0"/>
        <w:tabs>
          <w:tab w:leader="none" w:pos="1162" w:val="left"/>
        </w:tabs>
        <w:numPr>
          <w:ilvl w:val="0"/>
          <w:numId w:val="7"/>
        </w:numPr>
        <w:rPr>
          <w:rFonts w:ascii="Arial" w:cs="Arial" w:eastAsia="Arial" w:hAnsi="Arial"/>
          <w:sz w:val="18"/>
          <w:szCs w:val="18"/>
          <w:color w:val="auto"/>
        </w:rPr>
      </w:pPr>
      <w:r>
        <w:rPr>
          <w:rFonts w:ascii="Arial" w:cs="Arial" w:eastAsia="Arial" w:hAnsi="Arial"/>
          <w:sz w:val="18"/>
          <w:szCs w:val="18"/>
          <w:color w:val="auto"/>
        </w:rPr>
        <w:t>99,443</w:t>
      </w:r>
    </w:p>
    <w:p>
      <w:pPr>
        <w:spacing w:after="0" w:line="200" w:lineRule="exact"/>
        <w:rPr>
          <w:sz w:val="20"/>
          <w:szCs w:val="20"/>
          <w:color w:val="auto"/>
        </w:rPr>
      </w:pPr>
    </w:p>
    <w:p>
      <w:pPr>
        <w:sectPr>
          <w:pgSz w:w="11900" w:h="16838" w:orient="portrait"/>
          <w:cols w:equalWidth="0" w:num="2">
            <w:col w:w="8198" w:space="720"/>
            <w:col w:w="2322"/>
          </w:cols>
          <w:pgMar w:left="320" w:top="436" w:right="339" w:bottom="1440" w:gutter="0" w:footer="0" w:header="0"/>
          <w:type w:val="continuous"/>
        </w:sectPr>
      </w:pPr>
    </w:p>
    <w:p>
      <w:pPr>
        <w:spacing w:after="0" w:line="3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contingent consideration is based on the achievement of certain expense control metrics during the two-year period following the acquisition date, with potential earn-out payouts ranging from $0 to $5.0 million. The Company estimated the fair value of the contingent consideration to be $1.0 million as of February 18, 2022, based on the estimated achievement of the expense control</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4" w:name="page15"/>
    <w:bookmarkEnd w:id="14"/>
    <w:p>
      <w:pPr>
        <w:ind w:right="60"/>
        <w:spacing w:after="0" w:line="261" w:lineRule="auto"/>
        <w:rPr>
          <w:sz w:val="20"/>
          <w:szCs w:val="20"/>
          <w:color w:val="auto"/>
        </w:rPr>
      </w:pPr>
      <w:r>
        <w:rPr>
          <w:rFonts w:ascii="Arial" w:cs="Arial" w:eastAsia="Arial" w:hAnsi="Arial"/>
          <w:sz w:val="18"/>
          <w:szCs w:val="18"/>
          <w:color w:val="auto"/>
        </w:rPr>
        <w:t xml:space="preserve">metrics, time to payment and market participant cost of debt. The contingent consideration was recorded in Other long-term liabilities in the accompanying condensed consolidated balance sheet as of June 30, 2022. Refer to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The purchase price allocations for the AW acquisition are provisional and are based on the information that was available as of the acquisition date to estimate the fair values of assets acquired and liabilities assumed. The purchase price allocations for this acquisition, reported as of June 30, 2022, represent the Company’s best estimates of the fair values and were based upon the information available to us. The Company is gathering and reviewing additional information necessary to finalize the values assigned to the acquired assets and liabilities assumed, as well as acquired identified intangible assets and goodwill. Therefore, the provisional measurements of fair values reported as of June 30, 2022 are subject to change. The Company is expected to finalize the purchase price allocations as soon as practicable, but no later than one year from the respective acquisition date. The preliminary allocation of the acquisition-date fair values of assets and liabilities pertaining to this business combination as of February 18, 2022, was as follows:</w:t>
      </w:r>
    </w:p>
    <w:p>
      <w:pPr>
        <w:spacing w:after="0" w:line="64"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8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5"/>
                <w:szCs w:val="15"/>
                <w:color w:val="auto"/>
              </w:rPr>
            </w:pPr>
          </w:p>
        </w:tc>
        <w:tc>
          <w:tcPr>
            <w:tcW w:w="15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9"/>
              </w:rPr>
              <w:t>February 18, 2022</w:t>
            </w: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4"/>
                <w:szCs w:val="14"/>
                <w:b w:val="1"/>
                <w:bCs w:val="1"/>
                <w:color w:val="auto"/>
              </w:rPr>
              <w:t>Preliminary allocation:</w:t>
            </w:r>
          </w:p>
        </w:tc>
        <w:tc>
          <w:tcPr>
            <w:tcW w:w="1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Right-of-use asset, operating leases</w:t>
            </w:r>
          </w:p>
        </w:tc>
        <w:tc>
          <w:tcPr>
            <w:tcW w:w="180" w:type="dxa"/>
            <w:vAlign w:val="bottom"/>
          </w:tcPr>
          <w:p>
            <w:pPr>
              <w:spacing w:after="0"/>
              <w:rPr>
                <w:sz w:val="17"/>
                <w:szCs w:val="17"/>
                <w:color w:val="auto"/>
              </w:rPr>
            </w:pP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832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(821 )</w:t>
            </w:r>
          </w:p>
        </w:tc>
        <w:tc>
          <w:tcPr>
            <w:tcW w:w="0" w:type="dxa"/>
            <w:vAlign w:val="bottom"/>
          </w:tcPr>
          <w:p>
            <w:pPr>
              <w:spacing w:after="0"/>
              <w:rPr>
                <w:sz w:val="1"/>
                <w:szCs w:val="1"/>
                <w:color w:val="auto"/>
              </w:rPr>
            </w:pPr>
          </w:p>
        </w:tc>
      </w:tr>
      <w:tr>
        <w:trPr>
          <w:trHeight w:val="203"/>
        </w:trPr>
        <w:tc>
          <w:tcPr>
            <w:tcW w:w="8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(3,365 )</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Right-of-use liability, operating leases</w:t>
            </w:r>
          </w:p>
        </w:tc>
        <w:tc>
          <w:tcPr>
            <w:tcW w:w="18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(832 )</w:t>
            </w:r>
          </w:p>
        </w:tc>
        <w:tc>
          <w:tcPr>
            <w:tcW w:w="0" w:type="dxa"/>
            <w:vAlign w:val="bottom"/>
          </w:tcPr>
          <w:p>
            <w:pPr>
              <w:spacing w:after="0"/>
              <w:rPr>
                <w:sz w:val="1"/>
                <w:szCs w:val="1"/>
                <w:color w:val="auto"/>
              </w:rPr>
            </w:pPr>
          </w:p>
        </w:tc>
      </w:tr>
      <w:tr>
        <w:trPr>
          <w:trHeight w:val="203"/>
        </w:trPr>
        <w:tc>
          <w:tcPr>
            <w:tcW w:w="8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taxes</w:t>
            </w:r>
          </w:p>
        </w:tc>
        <w:tc>
          <w:tcPr>
            <w:tcW w:w="18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(10,135 )</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(900 )</w:t>
            </w:r>
          </w:p>
        </w:tc>
        <w:tc>
          <w:tcPr>
            <w:tcW w:w="0" w:type="dxa"/>
            <w:vAlign w:val="bottom"/>
          </w:tcPr>
          <w:p>
            <w:pPr>
              <w:spacing w:after="0"/>
              <w:rPr>
                <w:sz w:val="1"/>
                <w:szCs w:val="1"/>
                <w:color w:val="auto"/>
              </w:rPr>
            </w:pPr>
          </w:p>
        </w:tc>
      </w:tr>
      <w:tr>
        <w:trPr>
          <w:trHeight w:val="196"/>
        </w:trPr>
        <w:tc>
          <w:tcPr>
            <w:tcW w:w="8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 acquired and liabilities assumed</w:t>
            </w:r>
          </w:p>
        </w:tc>
        <w:tc>
          <w:tcPr>
            <w:tcW w:w="18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37,927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61,516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36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Purchase price</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99,443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As a result of the AW acquisition, the Company recorded goodwill, customer relationships, developed software, and tradename of $61.5 million, $39.4 million, $6.1 million, and $0.5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All goodwill has been allocated to the Company’s one reportable segment.</w:t>
      </w:r>
    </w:p>
    <w:p>
      <w:pPr>
        <w:spacing w:after="0" w:line="81"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multi-period excess earnings method. Significant assumptions include estimated attrition rates, discount rates, and tax rates reflecting the different risk profiles of the asset depending upon the acquisition. The value assigned to customer relationships is $39.4 million and is amortized using the annual pattern of cash flows (economic value method) over the estimated 20-year life of this asset.</w:t>
      </w:r>
    </w:p>
    <w:p>
      <w:pPr>
        <w:spacing w:after="0" w:line="81"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The developed software represents AW’s two modules. Passport Promotional Analytics helps customers to optimize internal investment and business management by focusing on driving incremental efficiencies in sales, cost management, profit optimization, and productive gains. Passport Planning and Performance helps customers to analyze large data sets in order to proactively predict business outcomes. The Company used the income approach, specifically the relief-from-royalty method, to determine the value of developed software. Significant assumptions include forecast of royalty rate, tax rate, and discount rate. The developed software was valued at $6.1 million and is amortized using the straight-line method over the estimated remaining useful life of 6 years.</w:t>
      </w:r>
    </w:p>
    <w:p>
      <w:pPr>
        <w:spacing w:after="0" w:line="81" w:lineRule="exact"/>
        <w:rPr>
          <w:sz w:val="20"/>
          <w:szCs w:val="20"/>
          <w:color w:val="auto"/>
        </w:rPr>
      </w:pPr>
    </w:p>
    <w:p>
      <w:pPr>
        <w:jc w:val="both"/>
        <w:ind w:right="20" w:firstLine="509"/>
        <w:spacing w:after="0" w:line="294" w:lineRule="auto"/>
        <w:rPr>
          <w:sz w:val="20"/>
          <w:szCs w:val="20"/>
          <w:color w:val="auto"/>
        </w:rPr>
      </w:pPr>
      <w:r>
        <w:rPr>
          <w:rFonts w:ascii="Arial" w:cs="Arial" w:eastAsia="Arial" w:hAnsi="Arial"/>
          <w:sz w:val="16"/>
          <w:szCs w:val="16"/>
          <w:color w:val="auto"/>
        </w:rPr>
        <w:t>The tradename represents the estimated fair value of the registered trade name associated with the AW corporate brand. The Company estimated the fair value of the trademark using a relief from royalty method of the income approach. Significant assumptions include forecast of royalty rate, tax rate, and discount rate. The trademark was valued at $0.5 million and is amortized using the straight-line method over the estimated remaining useful life of 5 years.</w:t>
      </w:r>
    </w:p>
    <w:p>
      <w:pPr>
        <w:spacing w:after="0" w:line="39"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amortization periods for the customer relationships, developed software, and tradenames are 20 years, 6 years, and 5 years, respectively. See Note 9 for the estimated total intangible amortization expense during the next five years.</w:t>
      </w:r>
    </w:p>
    <w:p>
      <w:pPr>
        <w:spacing w:after="0" w:line="63" w:lineRule="exact"/>
        <w:rPr>
          <w:sz w:val="20"/>
          <w:szCs w:val="20"/>
          <w:color w:val="auto"/>
        </w:rPr>
      </w:pPr>
    </w:p>
    <w:p>
      <w:pPr>
        <w:ind w:right="600" w:firstLine="509"/>
        <w:spacing w:after="0" w:line="291" w:lineRule="auto"/>
        <w:rPr>
          <w:sz w:val="20"/>
          <w:szCs w:val="20"/>
          <w:color w:val="auto"/>
        </w:rPr>
      </w:pPr>
      <w:r>
        <w:rPr>
          <w:rFonts w:ascii="Arial" w:cs="Arial" w:eastAsia="Arial" w:hAnsi="Arial"/>
          <w:sz w:val="17"/>
          <w:szCs w:val="17"/>
          <w:color w:val="auto"/>
        </w:rPr>
        <w:t>In connection with the acquisition, the Company recognized acquisition related costs of $1.2 million which were recorded within transaction expenses in the accompanying condensed consolidated statements of operations for the six months ended June 30, 2022.</w:t>
      </w:r>
    </w:p>
    <w:p>
      <w:pPr>
        <w:spacing w:after="0" w:line="36" w:lineRule="exact"/>
        <w:rPr>
          <w:sz w:val="20"/>
          <w:szCs w:val="20"/>
          <w:color w:val="auto"/>
        </w:rPr>
      </w:pPr>
    </w:p>
    <w:p>
      <w:pPr>
        <w:jc w:val="center"/>
        <w:ind w:right="240"/>
        <w:spacing w:after="0" w:line="384" w:lineRule="auto"/>
        <w:rPr>
          <w:sz w:val="20"/>
          <w:szCs w:val="20"/>
          <w:color w:val="auto"/>
        </w:rPr>
      </w:pPr>
      <w:r>
        <w:rPr>
          <w:rFonts w:ascii="Arial" w:cs="Arial" w:eastAsia="Arial" w:hAnsi="Arial"/>
          <w:sz w:val="18"/>
          <w:szCs w:val="18"/>
          <w:color w:val="auto"/>
        </w:rPr>
        <w:t>During the six months ended June 30, 2022 and 2021, AW’s post-acquisition revenue and net loss on a standalone basis were not material</w:t>
      </w:r>
      <w:r>
        <w:rPr>
          <w:rFonts w:ascii="Arial" w:cs="Arial" w:eastAsia="Arial" w:hAnsi="Arial"/>
          <w:sz w:val="19"/>
          <w:szCs w:val="19"/>
          <w:color w:val="auto"/>
        </w:rPr>
        <w:t>.</w:t>
      </w:r>
      <w:r>
        <w:rPr>
          <w:rFonts w:ascii="Arial" w:cs="Arial" w:eastAsia="Arial" w:hAnsi="Arial"/>
          <w:sz w:val="18"/>
          <w:szCs w:val="18"/>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Unaudited Pro Forma Supplementary Data as if the transaction had occurred on January 1, 2021:</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69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106,149</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81,765</w:t>
            </w:r>
          </w:p>
        </w:tc>
        <w:tc>
          <w:tcPr>
            <w:tcW w:w="100" w:type="dxa"/>
            <w:vAlign w:val="bottom"/>
            <w:shd w:val="clear" w:color="auto" w:fill="CFF0FC"/>
          </w:tcPr>
          <w:p>
            <w:pPr>
              <w:spacing w:after="0"/>
              <w:rPr>
                <w:sz w:val="17"/>
                <w:szCs w:val="17"/>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(22,136 )</w:t>
            </w: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(26,582 )</w:t>
            </w:r>
          </w:p>
        </w:tc>
      </w:tr>
    </w:tbl>
    <w:p>
      <w:pPr>
        <w:spacing w:after="0" w:line="17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These pro forma results have been prepared for comparative purposes only and do not purport to be indicative of the operating results of the Company that would have been achieved had the acquisition actually taken place on January 1, 2021.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08"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63"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three and six months ended June 30, 2022 and 2021, respectively:</w:t>
      </w:r>
    </w:p>
    <w:p>
      <w:pPr>
        <w:spacing w:after="0" w:line="5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155"/>
              <w:spacing w:after="0"/>
              <w:rPr>
                <w:sz w:val="20"/>
                <w:szCs w:val="20"/>
                <w:color w:val="auto"/>
              </w:rPr>
            </w:pPr>
            <w:r>
              <w:rPr>
                <w:rFonts w:ascii="Arial" w:cs="Arial" w:eastAsia="Arial" w:hAnsi="Arial"/>
                <w:sz w:val="14"/>
                <w:szCs w:val="14"/>
                <w:b w:val="1"/>
                <w:bCs w:val="1"/>
                <w:color w:val="auto"/>
                <w:w w:val="95"/>
              </w:rPr>
              <w:t>Three Months Ended June 30,</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7"/>
              </w:rPr>
              <w:t>Six Months Ended June 30,</w:t>
            </w:r>
          </w:p>
        </w:tc>
        <w:tc>
          <w:tcPr>
            <w:tcW w:w="100" w:type="dxa"/>
            <w:vAlign w:val="bottom"/>
          </w:tcPr>
          <w:p>
            <w:pPr>
              <w:spacing w:after="0"/>
              <w:rPr>
                <w:sz w:val="16"/>
                <w:szCs w:val="16"/>
                <w:color w:val="auto"/>
              </w:rPr>
            </w:pPr>
          </w:p>
        </w:tc>
      </w:tr>
      <w:tr>
        <w:trPr>
          <w:trHeight w:val="169"/>
        </w:trPr>
        <w:tc>
          <w:tcPr>
            <w:tcW w:w="5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Platform subscriptions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53,211</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39,400</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102,980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75,765</w:t>
            </w:r>
          </w:p>
        </w:tc>
        <w:tc>
          <w:tcPr>
            <w:tcW w:w="100" w:type="dxa"/>
            <w:vAlign w:val="bottom"/>
            <w:shd w:val="clear" w:color="auto" w:fill="CFF0FC"/>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Professional services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1,692</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992</w:t>
            </w:r>
          </w:p>
        </w:tc>
        <w:tc>
          <w:tcPr>
            <w:tcW w:w="100" w:type="dxa"/>
            <w:vAlign w:val="bottom"/>
          </w:tcPr>
          <w:p>
            <w:pPr>
              <w:spacing w:after="0"/>
              <w:rPr>
                <w:sz w:val="17"/>
                <w:szCs w:val="17"/>
                <w:color w:val="auto"/>
              </w:rPr>
            </w:pPr>
          </w:p>
        </w:tc>
      </w:tr>
      <w:tr>
        <w:trPr>
          <w:trHeight w:val="236"/>
        </w:trPr>
        <w:tc>
          <w:tcPr>
            <w:tcW w:w="51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54,548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39,821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104,672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0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60" w:firstLine="509"/>
        <w:spacing w:after="0" w:line="293"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w:t>
      </w:r>
    </w:p>
    <w:p>
      <w:pPr>
        <w:spacing w:after="0" w:line="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69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6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31,734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43,336</w:t>
            </w:r>
          </w:p>
        </w:tc>
        <w:tc>
          <w:tcPr>
            <w:tcW w:w="100" w:type="dxa"/>
            <w:vAlign w:val="bottom"/>
            <w:shd w:val="clear" w:color="auto" w:fill="CFF0FC"/>
          </w:tcPr>
          <w:p>
            <w:pPr>
              <w:spacing w:after="0"/>
              <w:rPr>
                <w:sz w:val="17"/>
                <w:szCs w:val="17"/>
                <w:color w:val="auto"/>
              </w:rPr>
            </w:pP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Deferred contract costs, current portion</w:t>
            </w:r>
          </w:p>
        </w:tc>
        <w:tc>
          <w:tcPr>
            <w:tcW w:w="28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8,469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6,880</w:t>
            </w:r>
          </w:p>
        </w:tc>
        <w:tc>
          <w:tcPr>
            <w:tcW w:w="100" w:type="dxa"/>
            <w:vAlign w:val="bottom"/>
          </w:tcPr>
          <w:p>
            <w:pPr>
              <w:spacing w:after="0"/>
              <w:rPr>
                <w:sz w:val="17"/>
                <w:szCs w:val="17"/>
                <w:color w:val="auto"/>
              </w:rPr>
            </w:pPr>
          </w:p>
        </w:tc>
      </w:tr>
      <w:tr>
        <w:trPr>
          <w:trHeight w:val="203"/>
        </w:trPr>
        <w:tc>
          <w:tcPr>
            <w:tcW w:w="6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contract costs, long-term</w:t>
            </w:r>
          </w:p>
        </w:tc>
        <w:tc>
          <w:tcPr>
            <w:tcW w:w="2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11,667</w:t>
            </w:r>
          </w:p>
        </w:tc>
        <w:tc>
          <w:tcPr>
            <w:tcW w:w="100" w:type="dxa"/>
            <w:vAlign w:val="bottom"/>
            <w:shd w:val="clear" w:color="auto" w:fill="CFF0FC"/>
          </w:tcPr>
          <w:p>
            <w:pPr>
              <w:spacing w:after="0"/>
              <w:rPr>
                <w:sz w:val="17"/>
                <w:szCs w:val="17"/>
                <w:color w:val="auto"/>
              </w:rPr>
            </w:pP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84,023</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04" w:lineRule="exact"/>
        <w:rPr>
          <w:sz w:val="20"/>
          <w:szCs w:val="20"/>
          <w:color w:val="auto"/>
        </w:rPr>
      </w:pPr>
    </w:p>
    <w:p>
      <w:pPr>
        <w:ind w:right="240" w:firstLine="509"/>
        <w:spacing w:after="0" w:line="293" w:lineRule="auto"/>
        <w:rPr>
          <w:sz w:val="20"/>
          <w:szCs w:val="20"/>
          <w:color w:val="auto"/>
        </w:rPr>
      </w:pPr>
      <w:r>
        <w:rPr>
          <w:rFonts w:ascii="Arial" w:cs="Arial" w:eastAsia="Arial" w:hAnsi="Arial"/>
          <w:sz w:val="18"/>
          <w:szCs w:val="18"/>
          <w:color w:val="auto"/>
        </w:rPr>
        <w:t>A summary of the activity impacting the deferred contract costs for the six months ended June 30, 2022 and the year ended December 31, 2021 is presented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Six Months Ended</w:t>
            </w:r>
          </w:p>
        </w:tc>
        <w:tc>
          <w:tcPr>
            <w:tcW w:w="16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Twelve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December 31,</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3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22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26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18,547</w:t>
            </w:r>
          </w:p>
        </w:tc>
        <w:tc>
          <w:tcPr>
            <w:tcW w:w="2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8,899</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Pr>
          <w:p>
            <w:pPr>
              <w:ind w:left="360"/>
              <w:spacing w:after="0" w:line="202" w:lineRule="exact"/>
              <w:rPr>
                <w:sz w:val="20"/>
                <w:szCs w:val="20"/>
                <w:color w:val="auto"/>
              </w:rPr>
            </w:pPr>
            <w:r>
              <w:rPr>
                <w:rFonts w:ascii="Arial" w:cs="Arial" w:eastAsia="Arial" w:hAnsi="Arial"/>
                <w:sz w:val="18"/>
                <w:szCs w:val="18"/>
                <w:color w:val="auto"/>
              </w:rPr>
              <w:t>Costs amortized</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(3,991 )</w:t>
            </w:r>
          </w:p>
        </w:tc>
        <w:tc>
          <w:tcPr>
            <w:tcW w:w="160" w:type="dxa"/>
            <w:vAlign w:val="bottom"/>
          </w:tcPr>
          <w:p>
            <w:pPr>
              <w:spacing w:after="0"/>
              <w:rPr>
                <w:sz w:val="17"/>
                <w:szCs w:val="17"/>
                <w:color w:val="auto"/>
              </w:rPr>
            </w:pP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(4,792 )</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Additional amounts deferred</w:t>
            </w:r>
          </w:p>
        </w:tc>
        <w:tc>
          <w:tcPr>
            <w:tcW w:w="2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6,846</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14,440</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Arial" w:cs="Arial" w:eastAsia="Arial" w:hAnsi="Arial"/>
                <w:sz w:val="18"/>
                <w:szCs w:val="18"/>
                <w:color w:val="auto"/>
              </w:rPr>
              <w:t>Balance at end of period</w:t>
            </w:r>
          </w:p>
        </w:tc>
        <w:tc>
          <w:tcPr>
            <w:tcW w:w="26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21,402</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Classified as:</w:t>
            </w:r>
          </w:p>
        </w:tc>
        <w:tc>
          <w:tcPr>
            <w:tcW w:w="2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Pr>
          <w:p>
            <w:pPr>
              <w:ind w:left="360"/>
              <w:spacing w:after="0" w:line="202" w:lineRule="exact"/>
              <w:rPr>
                <w:sz w:val="20"/>
                <w:szCs w:val="20"/>
                <w:color w:val="auto"/>
              </w:rPr>
            </w:pPr>
            <w:r>
              <w:rPr>
                <w:rFonts w:ascii="Arial" w:cs="Arial" w:eastAsia="Arial" w:hAnsi="Arial"/>
                <w:sz w:val="18"/>
                <w:szCs w:val="18"/>
                <w:color w:val="auto"/>
              </w:rPr>
              <w:t>Current</w:t>
            </w:r>
          </w:p>
        </w:tc>
        <w:tc>
          <w:tcPr>
            <w:tcW w:w="2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8,469</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6,880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38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Non-current</w:t>
            </w:r>
          </w:p>
        </w:tc>
        <w:tc>
          <w:tcPr>
            <w:tcW w:w="2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12,933</w:t>
            </w:r>
          </w:p>
        </w:tc>
        <w:tc>
          <w:tcPr>
            <w:tcW w:w="2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11,667</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80" w:type="dxa"/>
            <w:vAlign w:val="bottom"/>
          </w:tcPr>
          <w:p>
            <w:pPr>
              <w:spacing w:after="0" w:line="196" w:lineRule="exact"/>
              <w:rPr>
                <w:sz w:val="20"/>
                <w:szCs w:val="20"/>
                <w:color w:val="auto"/>
              </w:rPr>
            </w:pPr>
            <w:r>
              <w:rPr>
                <w:rFonts w:ascii="Arial" w:cs="Arial" w:eastAsia="Arial" w:hAnsi="Arial"/>
                <w:sz w:val="18"/>
                <w:szCs w:val="18"/>
                <w:color w:val="auto"/>
              </w:rPr>
              <w:t>Total deferred contract costs (deferred commissions)</w:t>
            </w:r>
          </w:p>
        </w:tc>
        <w:tc>
          <w:tcPr>
            <w:tcW w:w="2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21,402</w:t>
            </w:r>
          </w:p>
        </w:tc>
        <w:tc>
          <w:tcPr>
            <w:tcW w:w="260" w:type="dxa"/>
            <w:vAlign w:val="bottom"/>
          </w:tcPr>
          <w:p>
            <w:pPr>
              <w:spacing w:after="0"/>
              <w:rPr>
                <w:sz w:val="17"/>
                <w:szCs w:val="17"/>
                <w:color w:val="auto"/>
              </w:rPr>
            </w:pPr>
          </w:p>
        </w:tc>
        <w:tc>
          <w:tcPr>
            <w:tcW w:w="16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18,547</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0" w:type="dxa"/>
            <w:vAlign w:val="bottom"/>
            <w:vMerge w:val="restart"/>
          </w:tcPr>
          <w:p>
            <w:pPr>
              <w:jc w:val="right"/>
              <w:ind w:right="1750"/>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3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-1102360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-1102360</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-570865</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-570865</wp:posOffset>
            </wp:positionV>
            <wp:extent cx="603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the activity impacting deferred revenue balances during the six months ended June 30, 2022 and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 is presented below:</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2"/>
              </w:rPr>
              <w:t>Six Months Ended</w:t>
            </w:r>
          </w:p>
        </w:tc>
        <w:tc>
          <w:tcPr>
            <w:tcW w:w="16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Twelve Months</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85"/>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6"/>
                <w:szCs w:val="16"/>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84,023</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40" w:type="dxa"/>
            <w:vAlign w:val="bottom"/>
          </w:tcPr>
          <w:p>
            <w:pPr>
              <w:spacing w:after="0" w:line="202" w:lineRule="exact"/>
              <w:rPr>
                <w:sz w:val="20"/>
                <w:szCs w:val="20"/>
                <w:color w:val="auto"/>
              </w:rPr>
            </w:pPr>
            <w:r>
              <w:rPr>
                <w:rFonts w:ascii="Arial" w:cs="Arial" w:eastAsia="Arial" w:hAnsi="Arial"/>
                <w:sz w:val="18"/>
                <w:szCs w:val="18"/>
                <w:color w:val="auto"/>
              </w:rPr>
              <w:t>Revenue recognized</w:t>
            </w:r>
          </w:p>
        </w:tc>
        <w:tc>
          <w:tcPr>
            <w:tcW w:w="120" w:type="dxa"/>
            <w:vAlign w:val="bottom"/>
          </w:tcPr>
          <w:p>
            <w:pPr>
              <w:spacing w:after="0"/>
              <w:rPr>
                <w:sz w:val="17"/>
                <w:szCs w:val="17"/>
                <w:color w:val="auto"/>
              </w:rPr>
            </w:pPr>
          </w:p>
        </w:tc>
        <w:tc>
          <w:tcPr>
            <w:tcW w:w="1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(104,672 )</w:t>
            </w:r>
          </w:p>
        </w:tc>
        <w:tc>
          <w:tcPr>
            <w:tcW w:w="16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(166,154 )</w:t>
            </w:r>
          </w:p>
        </w:tc>
        <w:tc>
          <w:tcPr>
            <w:tcW w:w="0" w:type="dxa"/>
            <w:vAlign w:val="bottom"/>
          </w:tcPr>
          <w:p>
            <w:pPr>
              <w:spacing w:after="0"/>
              <w:rPr>
                <w:sz w:val="1"/>
                <w:szCs w:val="1"/>
                <w:color w:val="auto"/>
              </w:rPr>
            </w:pPr>
          </w:p>
        </w:tc>
      </w:tr>
      <w:tr>
        <w:trPr>
          <w:trHeight w:val="203"/>
        </w:trPr>
        <w:tc>
          <w:tcPr>
            <w:tcW w:w="69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Additional amounts deferred</w:t>
            </w:r>
          </w:p>
        </w:tc>
        <w:tc>
          <w:tcPr>
            <w:tcW w:w="1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109,641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188,977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40" w:type="dxa"/>
            <w:vAlign w:val="bottom"/>
          </w:tcPr>
          <w:p>
            <w:pPr>
              <w:spacing w:after="0" w:line="196" w:lineRule="exact"/>
              <w:rPr>
                <w:sz w:val="20"/>
                <w:szCs w:val="20"/>
                <w:color w:val="auto"/>
              </w:rPr>
            </w:pPr>
            <w:r>
              <w:rPr>
                <w:rFonts w:ascii="Arial" w:cs="Arial" w:eastAsia="Arial" w:hAnsi="Arial"/>
                <w:sz w:val="18"/>
                <w:szCs w:val="18"/>
                <w:color w:val="auto"/>
              </w:rPr>
              <w:t>Balance at end of period</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88,992</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-159385</wp:posOffset>
            </wp:positionV>
            <wp:extent cx="6032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0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Transaction price allocated to remaining performance obligations represents contracted revenue that has not yet been recognized, which includes unearned revenue and unbilled amounts that will be invoiced and recognized as revenue in future periods. The Company expects to recognize approximately 64% of the revenue within the next year and the remainder thereafter.</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163,304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155,134</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Non-current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93,307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95,354</w:t>
            </w:r>
          </w:p>
        </w:tc>
        <w:tc>
          <w:tcPr>
            <w:tcW w:w="100" w:type="dxa"/>
            <w:vAlign w:val="bottom"/>
          </w:tcPr>
          <w:p>
            <w:pPr>
              <w:spacing w:after="0"/>
              <w:rPr>
                <w:sz w:val="17"/>
                <w:szCs w:val="17"/>
                <w:color w:val="auto"/>
              </w:rPr>
            </w:pPr>
          </w:p>
        </w:tc>
      </w:tr>
      <w:tr>
        <w:trPr>
          <w:trHeight w:val="236"/>
        </w:trPr>
        <w:tc>
          <w:tcPr>
            <w:tcW w:w="70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256,611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250,488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leases real estate in the form of office space facilities. Generally, the term for real estate leases ranges from 1 to 9 years at inception of the contract. Some real estate leases include options to renew that can extend the original term by 5 to 10 years.</w:t>
      </w:r>
    </w:p>
    <w:p>
      <w:pPr>
        <w:spacing w:after="0" w:line="63" w:lineRule="exact"/>
        <w:rPr>
          <w:sz w:val="20"/>
          <w:szCs w:val="20"/>
          <w:color w:val="auto"/>
        </w:rPr>
      </w:pPr>
    </w:p>
    <w:p>
      <w:pPr>
        <w:ind w:right="480" w:firstLine="509"/>
        <w:spacing w:after="0" w:line="324" w:lineRule="auto"/>
        <w:rPr>
          <w:sz w:val="20"/>
          <w:szCs w:val="20"/>
          <w:color w:val="auto"/>
        </w:rPr>
      </w:pPr>
      <w:r>
        <w:rPr>
          <w:rFonts w:ascii="Arial" w:cs="Arial" w:eastAsia="Arial" w:hAnsi="Arial"/>
          <w:sz w:val="16"/>
          <w:szCs w:val="16"/>
          <w:color w:val="auto"/>
        </w:rPr>
        <w:t>Operating lease costs are allocated according to headcount to cost of revenue, sales and marketing, product development and general and administrative expenses in the condensed consolidated statements of operations. As of June 30, 2022, the Company does not have any finance leases.</w:t>
      </w:r>
    </w:p>
    <w:p>
      <w:pPr>
        <w:spacing w:after="0" w:line="16" w:lineRule="exact"/>
        <w:rPr>
          <w:sz w:val="20"/>
          <w:szCs w:val="20"/>
          <w:color w:val="auto"/>
        </w:rPr>
      </w:pPr>
    </w:p>
    <w:p>
      <w:pPr>
        <w:ind w:right="60" w:firstLine="509"/>
        <w:spacing w:after="0" w:line="254" w:lineRule="auto"/>
        <w:rPr>
          <w:sz w:val="20"/>
          <w:szCs w:val="20"/>
          <w:color w:val="auto"/>
        </w:rPr>
      </w:pPr>
      <w:r>
        <w:rPr>
          <w:rFonts w:ascii="Arial" w:cs="Arial" w:eastAsia="Arial" w:hAnsi="Arial"/>
          <w:sz w:val="17"/>
          <w:szCs w:val="17"/>
          <w:color w:val="auto"/>
        </w:rPr>
        <w:t>During the quarter ended March 31, 2022, the Company gave notice of its intent to extend one of its office lease facilities for an additional five-year period and the extension was accounted for as a lease modification under ASC 842. Accordingly, the Company recorded a right-of-use asset and corresponding operating lease liability of $6.0 million, which represented the present value of the expected future minimum lease payments. During the quarter ended June 30, 2022, the Company’s executive leadership team approved a program to exit the office lease facility and signed an agreement with the landlord to withdraw the Company’s exercise of the option to extend. As a result, the lease will terminate on December 31, 2022. This was accounted for as a lease modification under ASC 842 and the Company reduced the right-of-use asset by $6.0 million in the second quarter of 2022. The Company ceased use of the office facility during the quarter and accordingly recorded an impairment charge of $0.7 million, which represented the remaining carrying value of the right-of-use asset as of June 30, 2022.</w:t>
      </w:r>
    </w:p>
    <w:p>
      <w:pPr>
        <w:spacing w:after="0" w:line="73"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Also during the second quarter of 2022, the Company executed a plan to exit one of its office facilities by exercising an early termination clause, which was accounted for as a lease modification under ASC 842. The Company ceased use of the office facility during the quarter and accordingly recorded a $0.2 million impairment charge, which represented the remaining carrying value of the right-of-use asset.</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the following lease costs for the three and six months ended June 30, 2022: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620" w:type="dxa"/>
            <w:vAlign w:val="bottom"/>
          </w:tcPr>
          <w:p>
            <w:pPr>
              <w:spacing w:after="0"/>
              <w:rPr>
                <w:sz w:val="14"/>
                <w:szCs w:val="14"/>
                <w:color w:val="auto"/>
              </w:rPr>
            </w:pPr>
          </w:p>
        </w:tc>
        <w:tc>
          <w:tcPr>
            <w:tcW w:w="13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7"/>
              </w:rPr>
              <w:t>Six Months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8"/>
              </w:rPr>
              <w:t>June 30, 2022</w:t>
            </w:r>
          </w:p>
        </w:tc>
        <w:tc>
          <w:tcPr>
            <w:tcW w:w="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June 30, 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20" w:type="dxa"/>
            <w:vAlign w:val="bottom"/>
            <w:gridSpan w:val="2"/>
            <w:shd w:val="clear" w:color="auto" w:fill="CFF0FC"/>
          </w:tcPr>
          <w:p>
            <w:pPr>
              <w:spacing w:after="0" w:line="169" w:lineRule="exact"/>
              <w:rPr>
                <w:sz w:val="20"/>
                <w:szCs w:val="20"/>
                <w:color w:val="auto"/>
              </w:rPr>
            </w:pPr>
            <w:r>
              <w:rPr>
                <w:rFonts w:ascii="Arial" w:cs="Arial" w:eastAsia="Arial" w:hAnsi="Arial"/>
                <w:sz w:val="18"/>
                <w:szCs w:val="18"/>
                <w:color w:val="auto"/>
              </w:rPr>
              <w:t>Lease Cost</w:t>
            </w:r>
          </w:p>
        </w:tc>
        <w:tc>
          <w:tcPr>
            <w:tcW w:w="3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20" w:type="dxa"/>
            <w:vAlign w:val="bottom"/>
            <w:shd w:val="clear" w:color="auto" w:fill="CFF0FC"/>
          </w:tcPr>
          <w:p>
            <w:pPr>
              <w:spacing w:after="0"/>
              <w:rPr>
                <w:sz w:val="2"/>
                <w:szCs w:val="2"/>
                <w:color w:val="auto"/>
              </w:rPr>
            </w:pPr>
          </w:p>
        </w:tc>
        <w:tc>
          <w:tcPr>
            <w:tcW w:w="30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tcPr>
          <w:p>
            <w:pPr>
              <w:spacing w:after="0"/>
              <w:rPr>
                <w:sz w:val="17"/>
                <w:szCs w:val="17"/>
                <w:color w:val="auto"/>
              </w:rPr>
            </w:pPr>
          </w:p>
        </w:tc>
        <w:tc>
          <w:tcPr>
            <w:tcW w:w="3620" w:type="dxa"/>
            <w:vAlign w:val="bottom"/>
            <w:gridSpan w:val="2"/>
          </w:tcPr>
          <w:p>
            <w:pPr>
              <w:spacing w:after="0" w:line="202" w:lineRule="exact"/>
              <w:rPr>
                <w:sz w:val="20"/>
                <w:szCs w:val="20"/>
                <w:color w:val="auto"/>
              </w:rPr>
            </w:pPr>
            <w:r>
              <w:rPr>
                <w:rFonts w:ascii="Arial" w:cs="Arial" w:eastAsia="Arial" w:hAnsi="Arial"/>
                <w:sz w:val="18"/>
                <w:szCs w:val="18"/>
                <w:color w:val="auto"/>
              </w:rPr>
              <w:t>Capitalized operating lease cost</w:t>
            </w:r>
          </w:p>
        </w:tc>
        <w:tc>
          <w:tcPr>
            <w:tcW w:w="3240" w:type="dxa"/>
            <w:vAlign w:val="bottom"/>
            <w:gridSpan w:val="2"/>
          </w:tcPr>
          <w:p>
            <w:pPr>
              <w:ind w:left="30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888</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1,723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62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Variable lease cost</w:t>
            </w:r>
          </w:p>
        </w:tc>
        <w:tc>
          <w:tcPr>
            <w:tcW w:w="3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620" w:type="dxa"/>
            <w:vAlign w:val="bottom"/>
            <w:gridSpan w:val="2"/>
          </w:tcPr>
          <w:p>
            <w:pPr>
              <w:spacing w:after="0" w:line="196" w:lineRule="exact"/>
              <w:rPr>
                <w:sz w:val="20"/>
                <w:szCs w:val="20"/>
                <w:color w:val="auto"/>
              </w:rPr>
            </w:pPr>
            <w:r>
              <w:rPr>
                <w:rFonts w:ascii="Arial" w:cs="Arial" w:eastAsia="Arial" w:hAnsi="Arial"/>
                <w:sz w:val="18"/>
                <w:szCs w:val="18"/>
                <w:color w:val="auto"/>
              </w:rPr>
              <w:t>Total lease cost</w:t>
            </w:r>
          </w:p>
        </w:tc>
        <w:tc>
          <w:tcPr>
            <w:tcW w:w="3240" w:type="dxa"/>
            <w:vAlign w:val="bottom"/>
            <w:gridSpan w:val="2"/>
          </w:tcPr>
          <w:p>
            <w:pPr>
              <w:ind w:left="3060"/>
              <w:spacing w:after="0" w:line="196"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888</w:t>
            </w: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1,724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40" w:type="dxa"/>
            <w:vAlign w:val="bottom"/>
            <w:vMerge w:val="restart"/>
          </w:tcPr>
          <w:p>
            <w:pPr>
              <w:jc w:val="right"/>
              <w:ind w:right="143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-570865</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-570865</wp:posOffset>
            </wp:positionV>
            <wp:extent cx="603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tbl>
      <w:tblPr>
        <w:tblLayout w:type="fixed"/>
        <w:tblInd w:w="520" w:type="dxa"/>
        <w:tblCellMar>
          <w:top w:w="0" w:type="dxa"/>
          <w:left w:w="0" w:type="dxa"/>
          <w:bottom w:w="0" w:type="dxa"/>
          <w:right w:w="0" w:type="dxa"/>
        </w:tblCellMar>
      </w:tblPr>
      <w:tr>
        <w:trPr>
          <w:trHeight w:val="181"/>
        </w:trPr>
        <w:tc>
          <w:tcPr>
            <w:tcW w:w="60" w:type="dxa"/>
            <w:vAlign w:val="bottom"/>
          </w:tcPr>
          <w:p>
            <w:pPr>
              <w:spacing w:after="0"/>
              <w:rPr>
                <w:sz w:val="15"/>
                <w:szCs w:val="15"/>
                <w:color w:val="auto"/>
              </w:rPr>
            </w:pPr>
          </w:p>
        </w:tc>
        <w:tc>
          <w:tcPr>
            <w:tcW w:w="75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76"/>
        </w:trPr>
        <w:tc>
          <w:tcPr>
            <w:tcW w:w="60" w:type="dxa"/>
            <w:vAlign w:val="bottom"/>
          </w:tcPr>
          <w:p>
            <w:pPr>
              <w:spacing w:after="0"/>
              <w:rPr>
                <w:sz w:val="15"/>
                <w:szCs w:val="15"/>
                <w:color w:val="auto"/>
              </w:rPr>
            </w:pPr>
          </w:p>
        </w:tc>
        <w:tc>
          <w:tcPr>
            <w:tcW w:w="7560" w:type="dxa"/>
            <w:vAlign w:val="bottom"/>
            <w:gridSpan w:val="2"/>
            <w:shd w:val="clear" w:color="auto" w:fill="CFF0FC"/>
          </w:tcPr>
          <w:p>
            <w:pPr>
              <w:spacing w:after="0" w:line="176" w:lineRule="exact"/>
              <w:rPr>
                <w:sz w:val="20"/>
                <w:szCs w:val="20"/>
                <w:color w:val="auto"/>
              </w:rPr>
            </w:pPr>
            <w:r>
              <w:rPr>
                <w:rFonts w:ascii="Arial" w:cs="Arial" w:eastAsia="Arial" w:hAnsi="Arial"/>
                <w:sz w:val="18"/>
                <w:szCs w:val="18"/>
                <w:color w:val="auto"/>
              </w:rPr>
              <w:t>Supplemental Cash Flow and Other Information</w:t>
            </w:r>
          </w:p>
        </w:tc>
        <w:tc>
          <w:tcPr>
            <w:tcW w:w="72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7"/>
        </w:trPr>
        <w:tc>
          <w:tcPr>
            <w:tcW w:w="60" w:type="dxa"/>
            <w:vAlign w:val="bottom"/>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40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640" w:type="dxa"/>
            <w:vAlign w:val="bottom"/>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tcPr>
          <w:p>
            <w:pPr>
              <w:spacing w:after="0" w:line="202" w:lineRule="exact"/>
              <w:rPr>
                <w:sz w:val="20"/>
                <w:szCs w:val="20"/>
                <w:color w:val="auto"/>
              </w:rPr>
            </w:pPr>
            <w:r>
              <w:rPr>
                <w:rFonts w:ascii="Arial" w:cs="Arial" w:eastAsia="Arial" w:hAnsi="Arial"/>
                <w:sz w:val="18"/>
                <w:szCs w:val="18"/>
                <w:color w:val="auto"/>
                <w:w w:val="94"/>
              </w:rPr>
              <w:t>Cash paid for amounts included in measurement of lease liabilities and capitalized operating leases:</w:t>
            </w: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cash flows</w:t>
            </w:r>
          </w:p>
        </w:tc>
        <w:tc>
          <w:tcPr>
            <w:tcW w:w="7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1,544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Right-of-use assets obtained in exchange for lease liabilities:</w:t>
            </w:r>
          </w:p>
        </w:tc>
        <w:tc>
          <w:tcPr>
            <w:tcW w:w="7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0" w:type="dxa"/>
            <w:vAlign w:val="bottom"/>
          </w:tcPr>
          <w:p>
            <w:pPr>
              <w:spacing w:after="0"/>
              <w:rPr>
                <w:sz w:val="20"/>
                <w:szCs w:val="20"/>
                <w:color w:val="auto"/>
              </w:rPr>
            </w:pPr>
          </w:p>
        </w:tc>
        <w:tc>
          <w:tcPr>
            <w:tcW w:w="7560" w:type="dxa"/>
            <w:vAlign w:val="bottom"/>
            <w:gridSpan w:val="2"/>
          </w:tcPr>
          <w:p>
            <w:pPr>
              <w:ind w:left="180"/>
              <w:spacing w:after="0"/>
              <w:rPr>
                <w:sz w:val="20"/>
                <w:szCs w:val="20"/>
                <w:color w:val="auto"/>
              </w:rPr>
            </w:pPr>
            <w:r>
              <w:rPr>
                <w:rFonts w:ascii="Arial" w:cs="Arial" w:eastAsia="Arial" w:hAnsi="Arial"/>
                <w:sz w:val="18"/>
                <w:szCs w:val="18"/>
                <w:color w:val="auto"/>
              </w:rPr>
              <w:t>Capitalized operating leases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04"/>
        </w:trPr>
        <w:tc>
          <w:tcPr>
            <w:tcW w:w="7620" w:type="dxa"/>
            <w:vAlign w:val="bottom"/>
            <w:gridSpan w:val="3"/>
          </w:tcPr>
          <w:p>
            <w:pPr>
              <w:spacing w:after="0"/>
              <w:rPr>
                <w:sz w:val="20"/>
                <w:szCs w:val="20"/>
                <w:color w:val="auto"/>
              </w:rPr>
            </w:pPr>
            <w:r>
              <w:rPr>
                <w:rFonts w:ascii="Arial" w:cs="Arial" w:eastAsia="Arial" w:hAnsi="Arial"/>
                <w:sz w:val="18"/>
                <w:szCs w:val="18"/>
                <w:color w:val="auto"/>
              </w:rPr>
              <w:t>Lease term and discount rate consisted of the following at June 30, 2022:</w:t>
            </w:r>
          </w:p>
        </w:tc>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60" w:type="dxa"/>
            <w:vAlign w:val="bottom"/>
          </w:tcPr>
          <w:p>
            <w:pPr>
              <w:spacing w:after="0"/>
              <w:rPr>
                <w:sz w:val="17"/>
                <w:szCs w:val="17"/>
                <w:color w:val="auto"/>
              </w:rPr>
            </w:pPr>
          </w:p>
        </w:tc>
        <w:tc>
          <w:tcPr>
            <w:tcW w:w="756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(in years):</w:t>
            </w:r>
          </w:p>
        </w:tc>
        <w:tc>
          <w:tcPr>
            <w:tcW w:w="720" w:type="dxa"/>
            <w:vAlign w:val="bottom"/>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Capitalized operating leases</w:t>
            </w:r>
          </w:p>
        </w:tc>
        <w:tc>
          <w:tcPr>
            <w:tcW w:w="720" w:type="dxa"/>
            <w:vAlign w:val="bottom"/>
          </w:tcPr>
          <w:p>
            <w:pPr>
              <w:spacing w:after="0"/>
              <w:rPr>
                <w:sz w:val="17"/>
                <w:szCs w:val="17"/>
                <w:color w:val="auto"/>
              </w:rPr>
            </w:pP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3480" w:type="dxa"/>
            <w:vAlign w:val="bottom"/>
            <w:shd w:val="clear" w:color="auto" w:fill="CFF0FC"/>
          </w:tcPr>
          <w:p>
            <w:pPr>
              <w:spacing w:after="0"/>
              <w:rPr>
                <w:sz w:val="17"/>
                <w:szCs w:val="17"/>
                <w:color w:val="auto"/>
              </w:rPr>
            </w:pPr>
          </w:p>
        </w:tc>
        <w:tc>
          <w:tcPr>
            <w:tcW w:w="40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7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75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Capitalized operating leases</w:t>
            </w:r>
          </w:p>
        </w:tc>
        <w:tc>
          <w:tcPr>
            <w:tcW w:w="720" w:type="dxa"/>
            <w:vAlign w:val="bottom"/>
          </w:tcPr>
          <w:p>
            <w:pPr>
              <w:spacing w:after="0"/>
              <w:rPr>
                <w:sz w:val="17"/>
                <w:szCs w:val="17"/>
                <w:color w:val="auto"/>
              </w:rPr>
            </w:pPr>
          </w:p>
        </w:tc>
        <w:tc>
          <w:tcPr>
            <w:tcW w:w="18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7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table below reconciles the undiscounted future minimum lease payments (displayed by year and in the aggregate) under noncancelable operating leases with terms of more than one year to the total operating lease liabilities recognized on the condensed consolidated balance sheets as of June 30, 2022.</w:t>
      </w:r>
    </w:p>
    <w:p>
      <w:pPr>
        <w:spacing w:after="0" w:line="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Capitalized Operating</w:t>
            </w:r>
          </w:p>
        </w:tc>
        <w:tc>
          <w:tcPr>
            <w:tcW w:w="100" w:type="dxa"/>
            <w:vAlign w:val="bottom"/>
          </w:tcPr>
          <w:p>
            <w:pPr>
              <w:spacing w:after="0"/>
              <w:rPr>
                <w:sz w:val="14"/>
                <w:szCs w:val="14"/>
                <w:color w:val="auto"/>
              </w:rPr>
            </w:pPr>
          </w:p>
        </w:tc>
      </w:tr>
      <w:tr>
        <w:trPr>
          <w:trHeight w:val="185"/>
        </w:trPr>
        <w:tc>
          <w:tcPr>
            <w:tcW w:w="8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Lease</w:t>
            </w:r>
          </w:p>
        </w:tc>
        <w:tc>
          <w:tcPr>
            <w:tcW w:w="100" w:type="dxa"/>
            <w:vAlign w:val="bottom"/>
          </w:tcPr>
          <w:p>
            <w:pPr>
              <w:spacing w:after="0"/>
              <w:rPr>
                <w:sz w:val="16"/>
                <w:szCs w:val="16"/>
                <w:color w:val="auto"/>
              </w:rPr>
            </w:pPr>
          </w:p>
        </w:tc>
      </w:tr>
      <w:tr>
        <w:trPr>
          <w:trHeight w:val="196"/>
        </w:trPr>
        <w:tc>
          <w:tcPr>
            <w:tcW w:w="8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 excluding the six months ended June 30, 2022</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1,608</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1,898</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2,353</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2,147</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2,071</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4,488</w:t>
            </w:r>
          </w:p>
        </w:tc>
        <w:tc>
          <w:tcPr>
            <w:tcW w:w="100" w:type="dxa"/>
            <w:vAlign w:val="bottom"/>
          </w:tcPr>
          <w:p>
            <w:pPr>
              <w:spacing w:after="0"/>
              <w:rPr>
                <w:sz w:val="17"/>
                <w:szCs w:val="17"/>
                <w:color w:val="auto"/>
              </w:rPr>
            </w:pPr>
          </w:p>
        </w:tc>
      </w:tr>
      <w:tr>
        <w:trPr>
          <w:trHeight w:val="236"/>
        </w:trPr>
        <w:tc>
          <w:tcPr>
            <w:tcW w:w="8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8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Imputed interest</w:t>
            </w:r>
          </w:p>
        </w:tc>
        <w:tc>
          <w:tcPr>
            <w:tcW w:w="1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280" w:type="dxa"/>
            <w:vAlign w:val="bottom"/>
          </w:tcPr>
          <w:p>
            <w:pPr>
              <w:spacing w:after="0" w:line="196" w:lineRule="exact"/>
              <w:rPr>
                <w:sz w:val="20"/>
                <w:szCs w:val="20"/>
                <w:color w:val="auto"/>
              </w:rPr>
            </w:pPr>
            <w:r>
              <w:rPr>
                <w:rFonts w:ascii="Arial" w:cs="Arial" w:eastAsia="Arial" w:hAnsi="Arial"/>
                <w:sz w:val="18"/>
                <w:szCs w:val="18"/>
                <w:color w:val="auto"/>
              </w:rPr>
              <w:t>Lease liability balance at June 30, 2022</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12,821</w:t>
            </w:r>
          </w:p>
        </w:tc>
        <w:tc>
          <w:tcPr>
            <w:tcW w:w="100" w:type="dxa"/>
            <w:vAlign w:val="bottom"/>
          </w:tcPr>
          <w:p>
            <w:pPr>
              <w:spacing w:after="0"/>
              <w:rPr>
                <w:sz w:val="17"/>
                <w:szCs w:val="17"/>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-445135</wp:posOffset>
            </wp:positionV>
            <wp:extent cx="603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-427990</wp:posOffset>
            </wp:positionV>
            <wp:extent cx="603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Future aggregate minimum annual lease payments as of December 31, 2021 reported in our 2021 Form 10-K under the previous lease accounting standard were as follows: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8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Operating Lease</w:t>
            </w:r>
          </w:p>
        </w:tc>
        <w:tc>
          <w:tcPr>
            <w:tcW w:w="100" w:type="dxa"/>
            <w:vAlign w:val="bottom"/>
          </w:tcPr>
          <w:p>
            <w:pPr>
              <w:spacing w:after="0"/>
              <w:rPr>
                <w:sz w:val="16"/>
                <w:szCs w:val="16"/>
                <w:color w:val="auto"/>
              </w:rPr>
            </w:pPr>
          </w:p>
        </w:tc>
      </w:tr>
      <w:tr>
        <w:trPr>
          <w:trHeight w:val="196"/>
        </w:trPr>
        <w:tc>
          <w:tcPr>
            <w:tcW w:w="8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3,120</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1,895</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2,282</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2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2,174</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22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2,165</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4,805</w:t>
            </w:r>
          </w:p>
        </w:tc>
        <w:tc>
          <w:tcPr>
            <w:tcW w:w="100" w:type="dxa"/>
            <w:vAlign w:val="bottom"/>
          </w:tcPr>
          <w:p>
            <w:pPr>
              <w:spacing w:after="0"/>
              <w:rPr>
                <w:sz w:val="17"/>
                <w:szCs w:val="17"/>
                <w:color w:val="auto"/>
              </w:rPr>
            </w:pPr>
          </w:p>
        </w:tc>
      </w:tr>
      <w:tr>
        <w:trPr>
          <w:trHeight w:val="236"/>
        </w:trPr>
        <w:tc>
          <w:tcPr>
            <w:tcW w:w="8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16,441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Total rent expense, which was allocated according to headcount to cost of revenue, sales and marketing, product development and general and administrative expenses in the condensed consolidated statements of operations, was $0.7 million in the three months ended June 30, 2022 and 2021 and $1.5 million and $1.3 million in the six months ended June 30, 2022 and 2021,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Short-term Investments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Short-term investments classified as available-for-sale consisted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33"/>
        </w:trPr>
        <w:tc>
          <w:tcPr>
            <w:tcW w:w="5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w w:val="93"/>
              </w:rPr>
              <w:t>Gross Unrealized</w:t>
            </w: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5"/>
        </w:trPr>
        <w:tc>
          <w:tcPr>
            <w:tcW w:w="58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6"/>
                <w:szCs w:val="16"/>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Amortized Cost</w:t>
            </w: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Gross Unrealized Gains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6"/>
                <w:szCs w:val="16"/>
                <w:color w:val="auto"/>
              </w:rPr>
            </w:pPr>
          </w:p>
        </w:tc>
        <w:tc>
          <w:tcPr>
            <w:tcW w:w="1120" w:type="dxa"/>
            <w:vAlign w:val="bottom"/>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3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Short-term investments:</w:t>
            </w:r>
          </w:p>
        </w:tc>
        <w:tc>
          <w:tcPr>
            <w:tcW w:w="14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40" w:type="dxa"/>
            <w:vAlign w:val="bottom"/>
          </w:tcPr>
          <w:p>
            <w:pPr>
              <w:ind w:left="180"/>
              <w:spacing w:after="0" w:line="202" w:lineRule="exact"/>
              <w:rPr>
                <w:sz w:val="20"/>
                <w:szCs w:val="20"/>
                <w:color w:val="auto"/>
              </w:rPr>
            </w:pPr>
            <w:r>
              <w:rPr>
                <w:rFonts w:ascii="Arial" w:cs="Arial" w:eastAsia="Arial" w:hAnsi="Arial"/>
                <w:sz w:val="18"/>
                <w:szCs w:val="18"/>
                <w:color w:val="auto"/>
              </w:rPr>
              <w:t>US Treasuries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60,233</w:t>
            </w:r>
          </w:p>
        </w:tc>
        <w:tc>
          <w:tcPr>
            <w:tcW w:w="220" w:type="dxa"/>
            <w:vAlign w:val="bottom"/>
          </w:tcPr>
          <w:p>
            <w:pPr>
              <w:spacing w:after="0"/>
              <w:rPr>
                <w:sz w:val="17"/>
                <w:szCs w:val="17"/>
                <w:color w:val="auto"/>
              </w:rPr>
            </w:pPr>
          </w:p>
        </w:tc>
        <w:tc>
          <w:tcPr>
            <w:tcW w:w="64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ind w:left="680"/>
              <w:spacing w:after="0" w:line="202" w:lineRule="exact"/>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(339 )</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59,894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2"/>
        </w:trPr>
        <w:tc>
          <w:tcPr>
            <w:tcW w:w="580" w:type="dxa"/>
            <w:vAlign w:val="bottom"/>
          </w:tcPr>
          <w:p>
            <w:pPr>
              <w:spacing w:after="0"/>
              <w:rPr>
                <w:sz w:val="17"/>
                <w:szCs w:val="17"/>
                <w:color w:val="auto"/>
              </w:rPr>
            </w:pPr>
          </w:p>
        </w:tc>
        <w:tc>
          <w:tcPr>
            <w:tcW w:w="3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58,434</w:t>
            </w:r>
          </w:p>
        </w:tc>
        <w:tc>
          <w:tcPr>
            <w:tcW w:w="2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80" w:type="dxa"/>
            <w:vAlign w:val="bottom"/>
            <w:shd w:val="clear" w:color="auto" w:fill="CFF0FC"/>
          </w:tcPr>
          <w:p>
            <w:pPr>
              <w:ind w:left="68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(112 )</w:t>
            </w:r>
          </w:p>
        </w:tc>
        <w:tc>
          <w:tcPr>
            <w:tcW w:w="2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58,322</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740" w:type="dxa"/>
            <w:vAlign w:val="bottom"/>
          </w:tcPr>
          <w:p>
            <w:pPr>
              <w:spacing w:after="0" w:line="196" w:lineRule="exact"/>
              <w:rPr>
                <w:sz w:val="20"/>
                <w:szCs w:val="20"/>
                <w:color w:val="auto"/>
              </w:rPr>
            </w:pPr>
            <w:r>
              <w:rPr>
                <w:rFonts w:ascii="Arial" w:cs="Arial" w:eastAsia="Arial" w:hAnsi="Arial"/>
                <w:sz w:val="18"/>
                <w:szCs w:val="18"/>
                <w:color w:val="auto"/>
              </w:rPr>
              <w:t>Total short-term investments</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118,667</w:t>
            </w:r>
          </w:p>
        </w:tc>
        <w:tc>
          <w:tcPr>
            <w:tcW w:w="220" w:type="dxa"/>
            <w:vAlign w:val="bottom"/>
          </w:tcPr>
          <w:p>
            <w:pPr>
              <w:spacing w:after="0"/>
              <w:rPr>
                <w:sz w:val="17"/>
                <w:szCs w:val="17"/>
                <w:color w:val="auto"/>
              </w:rPr>
            </w:pPr>
          </w:p>
        </w:tc>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ind w:left="68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(451 )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118,216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-570865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-570865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-570865</wp:posOffset>
            </wp:positionV>
            <wp:extent cx="6032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-570865</wp:posOffset>
            </wp:positionV>
            <wp:extent cx="6032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All short-term investments had stated maturity dates of less than one year.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Accounts Receivable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consisted of the following:</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Accounts receivable</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31,839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44,303</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Unbilled receivable</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1,080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430</w:t>
            </w:r>
          </w:p>
        </w:tc>
        <w:tc>
          <w:tcPr>
            <w:tcW w:w="10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32,919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44,733</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40" w:type="dxa"/>
            <w:vAlign w:val="bottom"/>
          </w:tcPr>
          <w:p>
            <w:pPr>
              <w:ind w:left="360"/>
              <w:spacing w:after="0" w:line="202" w:lineRule="exact"/>
              <w:rPr>
                <w:sz w:val="20"/>
                <w:szCs w:val="20"/>
                <w:color w:val="auto"/>
              </w:rPr>
            </w:pPr>
            <w:r>
              <w:rPr>
                <w:rFonts w:ascii="Arial" w:cs="Arial" w:eastAsia="Arial" w:hAnsi="Arial"/>
                <w:sz w:val="18"/>
                <w:szCs w:val="18"/>
                <w:color w:val="auto"/>
              </w:rPr>
              <w:t>Less: allowance for doubtful accounts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(1,185 )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(1,397 )</w:t>
            </w:r>
          </w:p>
        </w:tc>
      </w:tr>
      <w:tr>
        <w:trPr>
          <w:trHeight w:val="236"/>
        </w:trPr>
        <w:tc>
          <w:tcPr>
            <w:tcW w:w="580" w:type="dxa"/>
            <w:vAlign w:val="bottom"/>
          </w:tcPr>
          <w:p>
            <w:pPr>
              <w:spacing w:after="0"/>
              <w:rPr>
                <w:sz w:val="20"/>
                <w:szCs w:val="20"/>
                <w:color w:val="auto"/>
              </w:rPr>
            </w:pPr>
          </w:p>
        </w:tc>
        <w:tc>
          <w:tcPr>
            <w:tcW w:w="6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Accounts receivable, net</w:t>
            </w:r>
          </w:p>
        </w:tc>
        <w:tc>
          <w:tcPr>
            <w:tcW w:w="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31,734</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43,336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507"/>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8. Property and Equipment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0"/>
        </w:trPr>
        <w:tc>
          <w:tcPr>
            <w:tcW w:w="75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consisted of the following:</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80" w:type="dxa"/>
            <w:vAlign w:val="bottom"/>
          </w:tcPr>
          <w:p>
            <w:pPr>
              <w:spacing w:after="0"/>
              <w:rPr>
                <w:sz w:val="16"/>
                <w:szCs w:val="16"/>
                <w:color w:val="auto"/>
              </w:rPr>
            </w:pPr>
          </w:p>
        </w:tc>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96"/>
        </w:trPr>
        <w:tc>
          <w:tcPr>
            <w:tcW w:w="580" w:type="dxa"/>
            <w:vAlign w:val="bottom"/>
          </w:tcPr>
          <w:p>
            <w:pPr>
              <w:spacing w:after="0"/>
              <w:rPr>
                <w:sz w:val="17"/>
                <w:szCs w:val="17"/>
                <w:color w:val="auto"/>
              </w:rPr>
            </w:pPr>
          </w:p>
        </w:tc>
        <w:tc>
          <w:tcPr>
            <w:tcW w:w="6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Computers and software</w:t>
            </w:r>
          </w:p>
        </w:tc>
        <w:tc>
          <w:tcPr>
            <w:tcW w:w="300" w:type="dxa"/>
            <w:vAlign w:val="bottom"/>
            <w:gridSpan w:val="2"/>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5,306</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4,744</w:t>
            </w: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40" w:type="dxa"/>
            <w:vAlign w:val="bottom"/>
          </w:tcPr>
          <w:p>
            <w:pPr>
              <w:spacing w:after="0" w:line="202" w:lineRule="exact"/>
              <w:rPr>
                <w:sz w:val="20"/>
                <w:szCs w:val="20"/>
                <w:color w:val="auto"/>
              </w:rPr>
            </w:pPr>
            <w:r>
              <w:rPr>
                <w:rFonts w:ascii="Arial" w:cs="Arial" w:eastAsia="Arial" w:hAnsi="Arial"/>
                <w:sz w:val="18"/>
                <w:szCs w:val="18"/>
                <w:color w:val="auto"/>
              </w:rPr>
              <w:t>Furniture and equipment</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1,653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4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2,798</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3,348</w:t>
            </w:r>
          </w:p>
        </w:tc>
        <w:tc>
          <w:tcPr>
            <w:tcW w:w="100" w:type="dxa"/>
            <w:vAlign w:val="bottom"/>
            <w:shd w:val="clear" w:color="auto" w:fill="CFF0FC"/>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9,757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9,672</w:t>
            </w:r>
          </w:p>
        </w:tc>
        <w:tc>
          <w:tcPr>
            <w:tcW w:w="10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4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(4,997 )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(4,603 )</w:t>
            </w:r>
          </w:p>
        </w:tc>
      </w:tr>
      <w:tr>
        <w:trPr>
          <w:trHeight w:val="196"/>
        </w:trPr>
        <w:tc>
          <w:tcPr>
            <w:tcW w:w="580" w:type="dxa"/>
            <w:vAlign w:val="bottom"/>
          </w:tcPr>
          <w:p>
            <w:pPr>
              <w:spacing w:after="0"/>
              <w:rPr>
                <w:sz w:val="17"/>
                <w:szCs w:val="17"/>
                <w:color w:val="auto"/>
              </w:rPr>
            </w:pPr>
          </w:p>
        </w:tc>
        <w:tc>
          <w:tcPr>
            <w:tcW w:w="69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Property and equipment, net</w:t>
            </w:r>
          </w:p>
        </w:tc>
        <w:tc>
          <w:tcPr>
            <w:tcW w:w="300" w:type="dxa"/>
            <w:vAlign w:val="bottom"/>
            <w:tcBorders>
              <w:top w:val="single" w:sz="8" w:color="auto"/>
              <w:bottom w:val="single" w:sz="8" w:color="auto"/>
            </w:tcBorders>
            <w:gridSpan w:val="2"/>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4,760</w:t>
            </w:r>
          </w:p>
        </w:tc>
        <w:tc>
          <w:tcPr>
            <w:tcW w:w="2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5,069</w:t>
            </w:r>
          </w:p>
        </w:tc>
        <w:tc>
          <w:tcPr>
            <w:tcW w:w="100" w:type="dxa"/>
            <w:vAlign w:val="bottom"/>
            <w:tcBorders>
              <w:top w:val="single" w:sz="8" w:color="CFF0FC"/>
            </w:tcBorders>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-1645285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-1628140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-1645285</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-1628140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-159385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Depreciation and amortization expense associated with property and equipment was $0.8 million and $0.4 million for the three months ended June 30, 2022 and 2021, respectively, and $1.3 million and $0.7 million for the six months ended June 30, 2022 and 2021, respectively. During the three and six months ended June 30, 2022, in relation to our office relocations, the Company recorded an impairment charge of $1.0 million, comprised of $0.9 million relating to the operating lease right-of-use assets, and $0.1 million relating to the leasehold improvements. The Company also recorded accelerated depreciation of computer equipment of $0.2 million. These charges were recognized within Transaction and restructuring expenses in the Company’s condensed consolidated statements of operations. In connection with the office relocations, the Company disposed of $1.0 million of fully-depreciated property and equipment in the second quarter of 2022.</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amounts of goodwill and intangible assets, as of June 30, 2022 and December 31, 2021, consist of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4"/>
              </w:rPr>
              <w:t>June 30, 2022</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7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3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Customer relationships</w:t>
            </w:r>
          </w:p>
        </w:tc>
        <w:tc>
          <w:tcPr>
            <w:tcW w:w="2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409,430</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(110,696 )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298,734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Developed technologies</w:t>
            </w:r>
          </w:p>
        </w:tc>
        <w:tc>
          <w:tcPr>
            <w:tcW w:w="2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57,200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(21,453 )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35,747</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80" w:type="dxa"/>
            <w:vAlign w:val="bottom"/>
          </w:tcPr>
          <w:p>
            <w:pPr>
              <w:ind w:left="360"/>
              <w:spacing w:after="0" w:line="202" w:lineRule="exact"/>
              <w:rPr>
                <w:sz w:val="20"/>
                <w:szCs w:val="20"/>
                <w:color w:val="auto"/>
              </w:rPr>
            </w:pPr>
            <w:r>
              <w:rPr>
                <w:rFonts w:ascii="Arial" w:cs="Arial" w:eastAsia="Arial" w:hAnsi="Arial"/>
                <w:sz w:val="18"/>
                <w:szCs w:val="18"/>
                <w:color w:val="auto"/>
              </w:rPr>
              <w:t>Tradenames</w:t>
            </w: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36,000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(6,096 )</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29,904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Database</w:t>
            </w:r>
          </w:p>
        </w:tc>
        <w:tc>
          <w:tcPr>
            <w:tcW w:w="2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46,580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(38,769 )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7,811</w:t>
            </w: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2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549,210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(177,014 )</w:t>
            </w: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372,196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78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1,322,959</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1,322,959</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780" w:type="dxa"/>
            <w:vAlign w:val="bottom"/>
          </w:tcPr>
          <w:p>
            <w:pPr>
              <w:spacing w:after="0" w:line="196" w:lineRule="exact"/>
              <w:rPr>
                <w:sz w:val="20"/>
                <w:szCs w:val="20"/>
                <w:color w:val="auto"/>
              </w:rPr>
            </w:pPr>
            <w:r>
              <w:rPr>
                <w:rFonts w:ascii="Arial" w:cs="Arial" w:eastAsia="Arial" w:hAnsi="Arial"/>
                <w:sz w:val="18"/>
                <w:szCs w:val="18"/>
                <w:color w:val="auto"/>
              </w:rPr>
              <w:t>Total goodwill and Intangible assets</w:t>
            </w:r>
          </w:p>
        </w:tc>
        <w:tc>
          <w:tcPr>
            <w:tcW w:w="2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1,872,169</w:t>
            </w:r>
          </w:p>
        </w:tc>
        <w:tc>
          <w:tcPr>
            <w:tcW w:w="3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(177,014 )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1,695,155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300" w:type="dxa"/>
            <w:vAlign w:val="bottom"/>
            <w:vMerge w:val="restart"/>
          </w:tcPr>
          <w:p>
            <w:pPr>
              <w:jc w:val="right"/>
              <w:ind w:right="85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78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-836295</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-836295</wp:posOffset>
            </wp:positionV>
            <wp:extent cx="603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-836295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-570865</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-570865</wp:posOffset>
            </wp:positionV>
            <wp:extent cx="603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-570865</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tbl>
      <w:tblPr>
        <w:tblLayout w:type="fixed"/>
        <w:tblInd w:w="58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15"/>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5"/>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6"/>
                <w:szCs w:val="16"/>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370,030</w:t>
            </w:r>
          </w:p>
        </w:tc>
        <w:tc>
          <w:tcPr>
            <w:tcW w:w="3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(92,942 )</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277,088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Developed technologies</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51,100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(17,475 )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80" w:type="dxa"/>
            <w:vAlign w:val="bottom"/>
          </w:tcPr>
          <w:p>
            <w:pPr>
              <w:ind w:left="360"/>
              <w:spacing w:after="0" w:line="202" w:lineRule="exact"/>
              <w:rPr>
                <w:sz w:val="20"/>
                <w:szCs w:val="20"/>
                <w:color w:val="auto"/>
              </w:rPr>
            </w:pPr>
            <w:r>
              <w:rPr>
                <w:rFonts w:ascii="Arial" w:cs="Arial" w:eastAsia="Arial" w:hAnsi="Arial"/>
                <w:sz w:val="18"/>
                <w:szCs w:val="18"/>
                <w:color w:val="auto"/>
              </w:rPr>
              <w:t>Tradenames</w:t>
            </w: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35,500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(5,034 )</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30,466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Database</w:t>
            </w: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43,080</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(31,789 )</w:t>
            </w: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20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499,710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(147,240 )</w:t>
            </w:r>
          </w:p>
        </w:tc>
        <w:tc>
          <w:tcPr>
            <w:tcW w:w="14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352,470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CFF0FC"/>
            </w:tcBorders>
            <w:shd w:val="clear" w:color="auto" w:fill="CFF0FC"/>
          </w:tcPr>
          <w:p>
            <w:pPr>
              <w:ind w:left="36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1,261,444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line="196" w:lineRule="exact"/>
              <w:rPr>
                <w:sz w:val="20"/>
                <w:szCs w:val="20"/>
                <w:color w:val="auto"/>
              </w:rPr>
            </w:pPr>
            <w:r>
              <w:rPr>
                <w:rFonts w:ascii="Arial" w:cs="Arial" w:eastAsia="Arial" w:hAnsi="Arial"/>
                <w:sz w:val="18"/>
                <w:szCs w:val="18"/>
                <w:color w:val="auto"/>
              </w:rPr>
              <w:t>Total goodwill and Intangible assets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1,761,154</w:t>
            </w:r>
          </w:p>
        </w:tc>
        <w:tc>
          <w:tcPr>
            <w:tcW w:w="38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(147,240 )</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1,613,914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-424815</wp:posOffset>
            </wp:positionV>
            <wp:extent cx="685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-424815</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-424815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-159385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-159385</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Amortization expense associated with finite-lived intangible assets was $15.1 million and $14.5 million for the three months ended June 30, 2022 and 2021, respectively, of which $5.6 million and $5.3 million was included in cost of revenue for the respective periods. Amortization expense associated with finite-lived intangible assets was $29.8 million and $28.8 million for the six months ended June 30, 2022 and 2021, respectively, of which $11.0 million and $10.5 million was included in cost of revenue for the respective periods.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8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 excluding the six months ended June 30, 2022</w:t>
            </w:r>
          </w:p>
        </w:tc>
        <w:tc>
          <w:tcPr>
            <w:tcW w:w="600" w:type="dxa"/>
            <w:vAlign w:val="bottom"/>
            <w:shd w:val="clear" w:color="auto" w:fill="CFF0FC"/>
          </w:tcPr>
          <w:p>
            <w:pPr>
              <w:jc w:val="right"/>
              <w:ind w:right="41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25,520</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48,216</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45,369</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41,419</w:t>
            </w:r>
          </w:p>
        </w:tc>
        <w:tc>
          <w:tcPr>
            <w:tcW w:w="100" w:type="dxa"/>
            <w:vAlign w:val="bottom"/>
          </w:tcPr>
          <w:p>
            <w:pPr>
              <w:spacing w:after="0"/>
              <w:rPr>
                <w:sz w:val="17"/>
                <w:szCs w:val="17"/>
                <w:color w:val="auto"/>
              </w:rPr>
            </w:pPr>
          </w:p>
        </w:tc>
      </w:tr>
      <w:tr>
        <w:trPr>
          <w:trHeight w:val="203"/>
        </w:trPr>
        <w:tc>
          <w:tcPr>
            <w:tcW w:w="8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6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34,878</w:t>
            </w:r>
          </w:p>
        </w:tc>
        <w:tc>
          <w:tcPr>
            <w:tcW w:w="100" w:type="dxa"/>
            <w:vAlign w:val="bottom"/>
            <w:shd w:val="clear" w:color="auto" w:fill="CFF0FC"/>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176,794</w:t>
            </w:r>
          </w:p>
        </w:tc>
        <w:tc>
          <w:tcPr>
            <w:tcW w:w="100" w:type="dxa"/>
            <w:vAlign w:val="bottom"/>
          </w:tcPr>
          <w:p>
            <w:pPr>
              <w:spacing w:after="0"/>
              <w:rPr>
                <w:sz w:val="17"/>
                <w:szCs w:val="17"/>
                <w:color w:val="auto"/>
              </w:rPr>
            </w:pPr>
          </w:p>
        </w:tc>
      </w:tr>
      <w:tr>
        <w:trPr>
          <w:trHeight w:val="236"/>
        </w:trPr>
        <w:tc>
          <w:tcPr>
            <w:tcW w:w="8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FF0FC"/>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372,196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carrying amount of goodwill increased by $61.5 million during the six months ended June 30, 2022 as a result of the of AW acquisition (Note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determined it had one reporting unit. There was no impairment of goodwill in the six months ended June 30, 2022 or 2021.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 xml:space="preserve">The Company is exposed to risks from changes in interest rates related to the 2021 Term Loan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 Hedges of Interest Rate Risk</w:t>
      </w:r>
    </w:p>
    <w:p>
      <w:pPr>
        <w:spacing w:after="0" w:line="104" w:lineRule="exact"/>
        <w:rPr>
          <w:sz w:val="20"/>
          <w:szCs w:val="20"/>
          <w:color w:val="auto"/>
        </w:rPr>
      </w:pPr>
    </w:p>
    <w:p>
      <w:pPr>
        <w:jc w:val="both"/>
        <w:ind w:firstLine="639"/>
        <w:spacing w:after="0" w:line="276" w:lineRule="auto"/>
        <w:rPr>
          <w:sz w:val="20"/>
          <w:szCs w:val="20"/>
          <w:color w:val="auto"/>
        </w:rPr>
      </w:pPr>
      <w:r>
        <w:rPr>
          <w:rFonts w:ascii="Arial" w:cs="Arial" w:eastAsia="Arial" w:hAnsi="Arial"/>
          <w:sz w:val="16"/>
          <w:szCs w:val="16"/>
          <w:color w:val="auto"/>
        </w:rPr>
        <w:t>In March of 2022, the Company entered into two interest rate swap agreements. As of June 30, 2022, the two outstanding interest rate swap agreements each had a notional value of $67.5 million. The Company has not recorded any amounts due to ineffectiveness for the six months ended June 30, 2022. The notional value of each interest rate swap agreement is expected to match the corresponding principal amount of a portion of our borrowings under the 2021 Term Loan. The swap agreements became effective as of March 31, 2022 and mature on March 31, 2025. During this period, the two notional amounts will have fixed interest rates of 2.0135% and 2.012%, and the counterparties to each of the agreements will pay the Company interest at a floating rate based on the one-month USD-LIBOR swap rate on the notional amounts. Interest payments will be made monthly on a net settlement basis.</w:t>
      </w:r>
    </w:p>
    <w:p>
      <w:pPr>
        <w:spacing w:after="0" w:line="5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derivative interest rate swaps are designated and qualify as cash flow hedges. Consequently, the change in the estimated fair value of the effective portion of the derivative is recognized in accumulated other comprehensive income (“AOCI”) on our Condensed Consolidated Balance Sheets and reclassified to interest expense, net, when the underlying transaction has an impact on earnings. The Company expects to recognize approximately $1.5 million of net pre-tax gains from accumulated other comprehensive income as a</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7"/>
          <w:szCs w:val="17"/>
          <w:color w:val="auto"/>
        </w:rPr>
        <w:t>reduction of interest expense in the next twelve months associated with its interest rate swap. The Company recognizes derivative instruments and hedging activities on a gross basis as either assets or liabilities on the Company’s Condensed Consolidated Balance Sheets and measures them at fair value. Hedge accounting generally provides for the matching of the timing of gain or loss recognition on the hedging instrument with the earnings effect of the hedged forecasted transactions in a cash flow hedge. To receive hedge accounting treatment, all hedging relationships are formally documented at the inception of the hedge, and the hedges must be highly effective in offsetting changes to future cash flows on hedged transactions.</w:t>
      </w:r>
    </w:p>
    <w:p>
      <w:pPr>
        <w:spacing w:after="0" w:line="66"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The fair values of the interest rate swaps and their respective locations in our condensed consolidated balance sheets at June 30, 2022 were as follows: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4"/>
          <w:szCs w:val="14"/>
          <w:b w:val="1"/>
          <w:bCs w:val="1"/>
          <w:i w:val="1"/>
          <w:iCs w:val="1"/>
          <w:color w:val="auto"/>
        </w:rPr>
        <w:t>(in thousands)</w:t>
      </w:r>
    </w:p>
    <w:p>
      <w:pPr>
        <w:sectPr>
          <w:pgSz w:w="11900" w:h="16838" w:orient="portrait"/>
          <w:cols w:equalWidth="0" w:num="1">
            <w:col w:w="11240"/>
          </w:cols>
          <w:pgMar w:left="320" w:top="436" w:right="339" w:bottom="1440" w:gutter="0" w:footer="0" w:header="0"/>
        </w:sectPr>
      </w:pPr>
    </w:p>
    <w:p>
      <w:pPr>
        <w:spacing w:after="0" w:line="21"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Balance Sheet Location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June 30, 2022</w:t>
      </w:r>
    </w:p>
    <w:p>
      <w:pPr>
        <w:spacing w:after="0" w:line="37" w:lineRule="exact"/>
        <w:rPr>
          <w:sz w:val="20"/>
          <w:szCs w:val="20"/>
          <w:color w:val="auto"/>
        </w:rPr>
      </w:pPr>
    </w:p>
    <w:p>
      <w:pPr>
        <w:sectPr>
          <w:pgSz w:w="11900" w:h="16838" w:orient="portrait"/>
          <w:cols w:equalWidth="0" w:num="3">
            <w:col w:w="5000" w:space="720"/>
            <w:col w:w="2940" w:space="720"/>
            <w:col w:w="1860"/>
          </w:cols>
          <w:pgMar w:left="320" w:top="436"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3280" w:type="dxa"/>
            <w:vAlign w:val="bottom"/>
            <w:tcBorders>
              <w:top w:val="single" w:sz="8" w:color="auto"/>
            </w:tcBorders>
            <w:shd w:val="clear" w:color="auto" w:fill="CFF0FC"/>
          </w:tcPr>
          <w:p>
            <w:pPr>
              <w:spacing w:after="0" w:line="195" w:lineRule="exact"/>
              <w:rPr>
                <w:sz w:val="20"/>
                <w:szCs w:val="20"/>
                <w:color w:val="auto"/>
              </w:rPr>
            </w:pPr>
            <w:r>
              <w:rPr>
                <w:rFonts w:ascii="Arial" w:cs="Arial" w:eastAsia="Arial" w:hAnsi="Arial"/>
                <w:sz w:val="18"/>
                <w:szCs w:val="18"/>
                <w:color w:val="auto"/>
              </w:rPr>
              <w:t>Short-term derivative asset</w:t>
            </w:r>
          </w:p>
        </w:tc>
        <w:tc>
          <w:tcPr>
            <w:tcW w:w="180" w:type="dxa"/>
            <w:vAlign w:val="bottom"/>
            <w:shd w:val="clear" w:color="auto" w:fill="CFF0FC"/>
          </w:tcPr>
          <w:p>
            <w:pPr>
              <w:spacing w:after="0"/>
              <w:rPr>
                <w:sz w:val="16"/>
                <w:szCs w:val="16"/>
                <w:color w:val="auto"/>
              </w:rPr>
            </w:pPr>
          </w:p>
        </w:tc>
        <w:tc>
          <w:tcPr>
            <w:tcW w:w="3100" w:type="dxa"/>
            <w:vAlign w:val="bottom"/>
            <w:tcBorders>
              <w:top w:val="single" w:sz="8" w:color="auto"/>
            </w:tcBorders>
            <w:gridSpan w:val="5"/>
            <w:shd w:val="clear" w:color="auto" w:fill="CFF0FC"/>
          </w:tcPr>
          <w:p>
            <w:pPr>
              <w:ind w:left="20"/>
              <w:spacing w:after="0" w:line="195" w:lineRule="exact"/>
              <w:rPr>
                <w:sz w:val="20"/>
                <w:szCs w:val="20"/>
                <w:color w:val="auto"/>
              </w:rPr>
            </w:pPr>
            <w:r>
              <w:rPr>
                <w:rFonts w:ascii="Arial" w:cs="Arial" w:eastAsia="Arial" w:hAnsi="Arial"/>
                <w:sz w:val="18"/>
                <w:szCs w:val="18"/>
                <w:color w:val="auto"/>
                <w:w w:val="89"/>
              </w:rPr>
              <w:t>Prepaid expenses and other current assets</w:t>
            </w:r>
          </w:p>
        </w:tc>
        <w:tc>
          <w:tcPr>
            <w:tcW w:w="220" w:type="dxa"/>
            <w:vAlign w:val="bottom"/>
            <w:tcBorders>
              <w:top w:val="single" w:sz="8" w:color="auto"/>
            </w:tcBorders>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tcBorders>
              <w:top w:val="single" w:sz="8" w:color="auto"/>
            </w:tcBorders>
            <w:gridSpan w:val="2"/>
            <w:shd w:val="clear" w:color="auto" w:fill="CFF0FC"/>
          </w:tcPr>
          <w:p>
            <w:pPr>
              <w:jc w:val="right"/>
              <w:spacing w:after="0" w:line="195" w:lineRule="exact"/>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line="195" w:lineRule="exact"/>
              <w:rPr>
                <w:sz w:val="20"/>
                <w:szCs w:val="20"/>
                <w:color w:val="auto"/>
              </w:rPr>
            </w:pPr>
            <w:r>
              <w:rPr>
                <w:rFonts w:ascii="Arial" w:cs="Arial" w:eastAsia="Arial" w:hAnsi="Arial"/>
                <w:sz w:val="18"/>
                <w:szCs w:val="18"/>
                <w:color w:val="auto"/>
              </w:rPr>
              <w:t>1,453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Long-term derivative asset</w:t>
            </w:r>
          </w:p>
        </w:tc>
        <w:tc>
          <w:tcPr>
            <w:tcW w:w="180" w:type="dxa"/>
            <w:vAlign w:val="bottom"/>
          </w:tcPr>
          <w:p>
            <w:pPr>
              <w:spacing w:after="0"/>
              <w:rPr>
                <w:sz w:val="20"/>
                <w:szCs w:val="20"/>
                <w:color w:val="auto"/>
              </w:rPr>
            </w:pPr>
          </w:p>
        </w:tc>
        <w:tc>
          <w:tcPr>
            <w:tcW w:w="206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5"/>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11. Long-Term Debt</w:t>
            </w: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320" w:type="dxa"/>
            <w:vAlign w:val="bottom"/>
            <w:gridSpan w:val="16"/>
          </w:tcPr>
          <w:p>
            <w:pPr>
              <w:jc w:val="right"/>
              <w:ind w:right="1450"/>
              <w:spacing w:after="0"/>
              <w:rPr>
                <w:sz w:val="20"/>
                <w:szCs w:val="20"/>
                <w:color w:val="auto"/>
              </w:rPr>
            </w:pPr>
            <w:r>
              <w:rPr>
                <w:rFonts w:ascii="Arial" w:cs="Arial" w:eastAsia="Arial" w:hAnsi="Arial"/>
                <w:sz w:val="18"/>
                <w:szCs w:val="18"/>
                <w:color w:val="auto"/>
                <w:w w:val="97"/>
              </w:rPr>
              <w:t>Long-term debt consisted of the following as of June 30, 2022 and December 31, 2021, respectively: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4"/>
                <w:szCs w:val="14"/>
                <w:b w:val="1"/>
                <w:bCs w:val="1"/>
                <w:color w:val="auto"/>
                <w:w w:val="92"/>
              </w:rPr>
              <w:t>June 30, 2022</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5"/>
          </w:tcPr>
          <w:p>
            <w:pPr>
              <w:jc w:val="center"/>
              <w:ind w:right="27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center"/>
              <w:ind w:right="270"/>
              <w:spacing w:after="0"/>
              <w:rPr>
                <w:sz w:val="20"/>
                <w:szCs w:val="20"/>
                <w:color w:val="auto"/>
              </w:rPr>
            </w:pPr>
            <w:r>
              <w:rPr>
                <w:rFonts w:ascii="Arial" w:cs="Arial" w:eastAsia="Arial" w:hAnsi="Arial"/>
                <w:sz w:val="14"/>
                <w:szCs w:val="14"/>
                <w:b w:val="1"/>
                <w:bCs w:val="1"/>
                <w:color w:val="auto"/>
                <w:w w:val="89"/>
              </w:rPr>
              <w:t>financing costs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2021 Term Loan</w:t>
            </w:r>
          </w:p>
        </w:tc>
        <w:tc>
          <w:tcPr>
            <w:tcW w:w="2000" w:type="dxa"/>
            <w:vAlign w:val="bottom"/>
            <w:gridSpan w:val="2"/>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269,844</w:t>
            </w:r>
          </w:p>
        </w:tc>
        <w:tc>
          <w:tcPr>
            <w:tcW w:w="2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4"/>
            <w:shd w:val="clear" w:color="auto" w:fill="CFF0FC"/>
          </w:tcPr>
          <w:p>
            <w:pPr>
              <w:jc w:val="right"/>
              <w:spacing w:after="0" w:line="196" w:lineRule="exact"/>
              <w:rPr>
                <w:sz w:val="20"/>
                <w:szCs w:val="20"/>
                <w:color w:val="auto"/>
              </w:rPr>
            </w:pPr>
            <w:r>
              <w:rPr>
                <w:rFonts w:ascii="Arial" w:cs="Arial" w:eastAsia="Arial" w:hAnsi="Arial"/>
                <w:sz w:val="18"/>
                <w:szCs w:val="18"/>
                <w:color w:val="auto"/>
              </w:rPr>
              <w:t>(2,323</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267,521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260,646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5"/>
          </w:tcPr>
          <w:p>
            <w:pPr>
              <w:jc w:val="center"/>
              <w:ind w:right="350"/>
              <w:spacing w:after="0" w:line="133" w:lineRule="exact"/>
              <w:rPr>
                <w:sz w:val="20"/>
                <w:szCs w:val="20"/>
                <w:color w:val="auto"/>
              </w:rPr>
            </w:pPr>
            <w:r>
              <w:rPr>
                <w:rFonts w:ascii="Arial" w:cs="Arial" w:eastAsia="Arial" w:hAnsi="Arial"/>
                <w:sz w:val="14"/>
                <w:szCs w:val="14"/>
                <w:b w:val="1"/>
                <w:bCs w:val="1"/>
                <w:color w:val="auto"/>
                <w:w w:val="94"/>
              </w:rPr>
              <w:t>Unamortized debt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Total debt,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5"/>
          </w:tcPr>
          <w:p>
            <w:pPr>
              <w:jc w:val="center"/>
              <w:ind w:right="350"/>
              <w:spacing w:after="0" w:line="149" w:lineRule="exact"/>
              <w:rPr>
                <w:sz w:val="20"/>
                <w:szCs w:val="20"/>
                <w:color w:val="auto"/>
              </w:rPr>
            </w:pPr>
            <w:r>
              <w:rPr>
                <w:rFonts w:ascii="Arial" w:cs="Arial" w:eastAsia="Arial" w:hAnsi="Arial"/>
                <w:sz w:val="14"/>
                <w:szCs w:val="14"/>
                <w:b w:val="1"/>
                <w:bCs w:val="1"/>
                <w:color w:val="auto"/>
                <w:w w:val="85"/>
              </w:rPr>
              <w:t>issuance costs /</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89"/>
              </w:rPr>
              <w:t>financing costs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center"/>
              <w:ind w:right="136"/>
              <w:spacing w:after="0"/>
              <w:rPr>
                <w:sz w:val="20"/>
                <w:szCs w:val="20"/>
                <w:color w:val="auto"/>
              </w:rPr>
            </w:pPr>
            <w:r>
              <w:rPr>
                <w:rFonts w:ascii="Arial" w:cs="Arial" w:eastAsia="Arial" w:hAnsi="Arial"/>
                <w:sz w:val="14"/>
                <w:szCs w:val="14"/>
                <w:b w:val="1"/>
                <w:bCs w:val="1"/>
                <w:color w:val="auto"/>
                <w:w w:val="85"/>
              </w:rPr>
              <w:t>net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3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2021 Term Loan</w:t>
            </w:r>
          </w:p>
        </w:tc>
        <w:tc>
          <w:tcPr>
            <w:tcW w:w="2000" w:type="dxa"/>
            <w:vAlign w:val="bottom"/>
            <w:gridSpan w:val="2"/>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273,282</w:t>
            </w: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(2,599</w:t>
            </w:r>
          </w:p>
        </w:tc>
        <w:tc>
          <w:tcPr>
            <w:tcW w:w="220" w:type="dxa"/>
            <w:vAlign w:val="bottom"/>
            <w:gridSpan w:val="2"/>
            <w:shd w:val="clear" w:color="auto" w:fill="CFF0FC"/>
          </w:tcPr>
          <w:p>
            <w:pPr>
              <w:jc w:val="right"/>
              <w:ind w:right="7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270,683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328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2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FF0FC"/>
            </w:tcBorders>
            <w:shd w:val="clear" w:color="auto" w:fill="CFF0FC"/>
          </w:tcPr>
          <w:p>
            <w:pPr>
              <w:spacing w:after="0"/>
              <w:rPr>
                <w:sz w:val="20"/>
                <w:szCs w:val="20"/>
                <w:color w:val="auto"/>
              </w:rPr>
            </w:pPr>
          </w:p>
        </w:tc>
        <w:tc>
          <w:tcPr>
            <w:tcW w:w="18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263,808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-1002665</wp:posOffset>
            </wp:positionV>
            <wp:extent cx="6032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-984885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During the six months ended June 30, 2022, the Company repaid $3.4 million in outstanding principal of the 2021 Term Loan, and related accrued interest payable of $3.9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2021 Credit Agreement</w:t>
      </w:r>
    </w:p>
    <w:p>
      <w:pPr>
        <w:spacing w:after="0" w:line="10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In September 2021, DH Holdings entered into a credit agreement (the "2021 Credit Agreement") with Bank of America, N.A., as administrative agent, the other lenders party thereto and the other parties specified therein. The 2021 Credit Agreement provides for (i) a $275.0 million term loan A facility (the "2021 Term Loan") and (ii) a $75.0 million revolving credit facility (the "2021 Revolving Line of Credit" and, together with the 2021 Term Loan, collectively, the "2021 Credit Facilities"), the proceeds of which were used to repay a portion of the indebtedness outstanding under a previous credit agreement. Both the 2021 Term Loan and the 2021 Revolving Line of Credit mature on September 17, 2026. The 2021 Credit Facilities include customary affirmative, negative and financial covenants. The 2021 Credit Facilities are guaranteed by all of DH Holdings' wholly-owned domestic restricted subsidiaries and AIDH Buyer, a Delaware limited liability company and the direct parent company of DH Holdings, in each case, subject to customary exceptions, and are secured by a lien on substantially all of the assets of DH Holdings and the guarantors, including a pledge of the equity of DH Holdings, in each case, subject to customary exceptions.</w:t>
      </w:r>
    </w:p>
    <w:p>
      <w:pPr>
        <w:spacing w:after="0" w:line="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The 2021 Term Loan is subject to annual amortization of principal, payable in equal quarterly installments on the last day of each fiscal quarter, commencing on December 31, 2021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the maturity of the 2021 Term Loan. There was $269.8 million outstanding on the 2021 Term Loan at June 30, 2022.</w:t>
      </w:r>
    </w:p>
    <w:p>
      <w:pPr>
        <w:spacing w:after="0" w:line="66" w:lineRule="exact"/>
        <w:rPr>
          <w:sz w:val="20"/>
          <w:szCs w:val="20"/>
          <w:color w:val="auto"/>
        </w:rPr>
      </w:pPr>
    </w:p>
    <w:p>
      <w:pPr>
        <w:ind w:right="200" w:firstLine="509"/>
        <w:spacing w:after="0" w:line="294" w:lineRule="auto"/>
        <w:rPr>
          <w:sz w:val="20"/>
          <w:szCs w:val="20"/>
          <w:color w:val="auto"/>
        </w:rPr>
      </w:pPr>
      <w:r>
        <w:rPr>
          <w:rFonts w:ascii="Arial" w:cs="Arial" w:eastAsia="Arial" w:hAnsi="Arial"/>
          <w:sz w:val="16"/>
          <w:szCs w:val="16"/>
          <w:color w:val="auto"/>
        </w:rPr>
        <w:t>DH Holdings is required to pay the lenders under the 2021 Credit Agreement an unused commitment fee of between 0.25% and 0.30% per annum on the undrawn commitments under the 2021 Revolving Line of Credit, depending on the total net leverage ratio, quarterly in arrears. The expense is included in interest expense in the statements of operations. There was no outstanding balance on the 2021 Revolving Line of Credit at June 30, 2022.</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21" w:name="page22"/>
    <w:bookmarkEnd w:id="21"/>
    <w:p>
      <w:pPr>
        <w:jc w:val="both"/>
        <w:ind w:right="20" w:firstLine="509"/>
        <w:spacing w:after="0" w:line="248" w:lineRule="auto"/>
        <w:rPr>
          <w:sz w:val="20"/>
          <w:szCs w:val="20"/>
          <w:color w:val="auto"/>
        </w:rPr>
      </w:pPr>
      <w:r>
        <w:rPr>
          <w:rFonts w:ascii="Arial" w:cs="Arial" w:eastAsia="Arial" w:hAnsi="Arial"/>
          <w:sz w:val="18"/>
          <w:szCs w:val="18"/>
          <w:color w:val="auto"/>
        </w:rPr>
        <w:t>For both the 2021 Term Loan and 2021 Revolving Line of Credit, DH Holdings may elect from several interest rate options based on the LIBO Rate or the Base Rate plus an applicable margin. The applicable margin will be based on the total leverage ratio beginning in the fiscal year ended December 31, 2022. As of June 30, 2022, the effective interest rate was 3.92%.</w:t>
      </w:r>
    </w:p>
    <w:p>
      <w:pPr>
        <w:spacing w:after="0" w:line="74"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auto"/>
        </w:rPr>
        <w:t>In connection with the 2021 Credit Agreement, the Company capitalized financing costs totaling $3.5 million, $2.8 million for the 2021 Term Loan facility and $0.8 million for the 2021 Revolving Line of Credit. The financing costs associated with the 2021 Term Loan facility are recorded as a contra-debt balance in Term loan, net of current portion in the condensed consolidated balance sheets and are amortized over the remaining life of the loan using the effective interest method. The financing costs associated with the 2021 Revolving Line of Credit are recorded in Other assets in the condensed consolidated balance sheet are amortized over the life of the arrangement. At June 30, 2022, the unamortized financing costs were $0.6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08" w:lineRule="exact"/>
        <w:rPr>
          <w:sz w:val="20"/>
          <w:szCs w:val="20"/>
          <w:color w:val="auto"/>
        </w:rPr>
      </w:pPr>
    </w:p>
    <w:p>
      <w:pPr>
        <w:jc w:val="both"/>
        <w:ind w:right="300" w:firstLine="509"/>
        <w:spacing w:after="0" w:line="248"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 as follows: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 value.</w:t>
      </w:r>
    </w:p>
    <w:p>
      <w:pPr>
        <w:spacing w:after="0" w:line="12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Company’s financial assets and liabilities subject to the three-level fair value hierarchy consist principally of cash and equivalents, short-term investments, accounts receivable, accounts payable, long-term and short-term debt and contingent consideration payable. The estimated fair value of cash included in cash and cash equivalents, accounts receivable and accounts payable approximates their carrying value due to due to their short maturities (less than 12 months).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Debt</w:t>
      </w:r>
    </w:p>
    <w:p>
      <w:pPr>
        <w:spacing w:after="0" w:line="104"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The Company’s short- and long-term debt are recorded at their carrying values in the condensed consolidated balance sheets, which may differ from their respective fair values. The carrying values and estimated fair values of the Company’s short- and long-term debt approximate their carrying values as of June 30, 2022 and December 31, 2021, based on interest rates currently available to the Company for similar borrowings.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Money market funds (included in cash and cash equivalents)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Money market funds are recorded at fair value using quoted market prices in active markets and are classified as Level 1 in the fair value hierarchy.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jc w:val="both"/>
        <w:ind w:right="20" w:firstLine="509"/>
        <w:spacing w:after="0" w:line="243" w:lineRule="auto"/>
        <w:rPr>
          <w:sz w:val="20"/>
          <w:szCs w:val="20"/>
          <w:color w:val="auto"/>
        </w:rPr>
      </w:pPr>
      <w:r>
        <w:rPr>
          <w:rFonts w:ascii="Arial" w:cs="Arial" w:eastAsia="Arial" w:hAnsi="Arial"/>
          <w:sz w:val="18"/>
          <w:szCs w:val="18"/>
          <w:color w:val="auto"/>
        </w:rPr>
        <w:t>The Company utilizes a third-party pricing service for the valuation of its short-term investments. U.S. treasuries consist of short-term treasury bills that are recorded at fair value using market information obtained from dealers and brokers and classified in Level 2 of the fair value hierarchy. Commercial paper is carried at fair value, which is determined using a market yield curve-based approach based on observable inputs. Commercial paper is classified as Level 2 in the fair value hierarchy.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04"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Currently, the Company uses interest rate swaps to manage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w:t>
      </w:r>
    </w:p>
    <w:p>
      <w:pPr>
        <w:spacing w:after="0" w:line="39" w:lineRule="exact"/>
        <w:rPr>
          <w:sz w:val="20"/>
          <w:szCs w:val="20"/>
          <w:color w:val="auto"/>
        </w:rPr>
      </w:pPr>
    </w:p>
    <w:p>
      <w:pPr>
        <w:ind w:right="920" w:firstLine="509"/>
        <w:spacing w:after="0" w:line="261" w:lineRule="auto"/>
        <w:rPr>
          <w:sz w:val="20"/>
          <w:szCs w:val="20"/>
          <w:color w:val="auto"/>
        </w:rPr>
      </w:pPr>
      <w:r>
        <w:rPr>
          <w:rFonts w:ascii="Arial" w:cs="Arial" w:eastAsia="Arial" w:hAnsi="Arial"/>
          <w:sz w:val="18"/>
          <w:szCs w:val="18"/>
          <w:color w:val="auto"/>
        </w:rPr>
        <w:t>To comply with the provisions of ASC 820, the Company incorporates credit valuation adjustments to appropriately reflect both its own nonperformance risk and the respective counterparty’s nonperformance risk in the fair value measurements.</w:t>
      </w:r>
    </w:p>
    <w:p>
      <w:pPr>
        <w:spacing w:after="0" w:line="63"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determined that the significance of the impact of the credit valuation adjustments made to its derivative contracts, which determination was based on the fair value of each individual contract, was not significant to the overall valuation. As a result, all of its derivatives held as of June 30, 2022 were classified as Level 2 in the fair value hierarchy.</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04"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The deferred consideration that resulted from the acquisition of Analytical Wizards in the first quarter of 2022, which is subject to the meeting of certain expense control metrics during the two-year period following the AW acquisition, is measured at fair value on a recurring basis. The fair value was estimated based on the present value of the amount expected to be paid at the end of the measurement period. At June 30, 2022, the fair value of the contingent consideration was estimated to be $1.0 million and is included in other long-term liabilities on the condensed consolidated balance sheet.</w:t>
      </w:r>
    </w:p>
    <w:p>
      <w:pPr>
        <w:spacing w:after="0" w:line="47"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contingent consideration that resulted from the earn-outs associated with the acquisition of Monocl Holding Company in October of 2020, which was included in accrued expense and other current liabilities in the condensed consolidated balance sheet as of December 31, 2021 was paid in the first quarter of 2022.</w:t>
      </w:r>
    </w:p>
    <w:p>
      <w:pPr>
        <w:spacing w:after="0" w:line="7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table below presents a reconciliation of earnout liabilities measured at fair value on a recurring basis using significant unobservable inputs (Level 3):</w:t>
      </w:r>
    </w:p>
    <w:p>
      <w:pPr>
        <w:spacing w:after="0" w:line="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5,236</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69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change in fair value and other adjustments</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3,764</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80"/>
              <w:spacing w:after="0" w:line="202" w:lineRule="exact"/>
              <w:rPr>
                <w:sz w:val="20"/>
                <w:szCs w:val="20"/>
                <w:color w:val="auto"/>
              </w:rPr>
            </w:pPr>
            <w:r>
              <w:rPr>
                <w:rFonts w:ascii="Arial" w:cs="Arial" w:eastAsia="Arial" w:hAnsi="Arial"/>
                <w:sz w:val="18"/>
                <w:szCs w:val="18"/>
                <w:color w:val="auto"/>
              </w:rPr>
              <w:t>Payments</w:t>
            </w:r>
          </w:p>
        </w:tc>
        <w:tc>
          <w:tcPr>
            <w:tcW w:w="28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(7,500 )</w:t>
            </w:r>
          </w:p>
        </w:tc>
        <w:tc>
          <w:tcPr>
            <w:tcW w:w="200" w:type="dxa"/>
            <w:vAlign w:val="bottom"/>
          </w:tcPr>
          <w:p>
            <w:pPr>
              <w:spacing w:after="0"/>
              <w:rPr>
                <w:sz w:val="17"/>
                <w:szCs w:val="17"/>
                <w:color w:val="auto"/>
              </w:rPr>
            </w:pPr>
          </w:p>
        </w:tc>
        <w:tc>
          <w:tcPr>
            <w:tcW w:w="1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(1,500 )</w:t>
            </w:r>
          </w:p>
        </w:tc>
      </w:tr>
      <w:tr>
        <w:trPr>
          <w:trHeight w:val="236"/>
        </w:trPr>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 xml:space="preserve">Certain assets and liabilities, including property, plant and equipment, lease right-of-use assets, goodwill and other intangible assets, are measured at fair value on a non-recurring basis. These assets are remeasured when the derived fair value is below the carrying value on the Company’s condensed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of the notes to the consolidated financial statements in the Company’s 2021 Form 10-K.</w:t>
      </w:r>
    </w:p>
    <w:p>
      <w:pPr>
        <w:spacing w:after="0" w:line="6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During the three and six months ended June 30, 2022, in relation to our office relocations, the Company recorded an impairment charge of $1.0 million, comprised of $0.9 million relating to the operating lease right-of-use assets, and $0.1 million relating to the leasehold improvements. The fair value determination was based on valuation techniques using the best information available and included comparable market information and discounted cash flow projections.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2022, additional assets and liabilities measured at fair value on a recurring basis were as follows:</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w:t>
            </w:r>
          </w:p>
        </w:tc>
        <w:tc>
          <w:tcPr>
            <w:tcW w:w="5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432</w:t>
            </w:r>
          </w:p>
        </w:tc>
        <w:tc>
          <w:tcPr>
            <w:tcW w:w="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00" w:type="dxa"/>
            <w:vAlign w:val="bottom"/>
          </w:tcPr>
          <w:p>
            <w:pPr>
              <w:ind w:left="360"/>
              <w:spacing w:after="0" w:line="162" w:lineRule="exact"/>
              <w:rPr>
                <w:sz w:val="20"/>
                <w:szCs w:val="20"/>
                <w:color w:val="auto"/>
              </w:rPr>
            </w:pPr>
            <w:r>
              <w:rPr>
                <w:rFonts w:ascii="Arial" w:cs="Arial" w:eastAsia="Arial" w:hAnsi="Arial"/>
                <w:sz w:val="18"/>
                <w:szCs w:val="18"/>
                <w:color w:val="auto"/>
              </w:rPr>
              <w:t>Commercial paper (maturities less than 90</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7,990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7,990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rPr>
                <w:sz w:val="20"/>
                <w:szCs w:val="20"/>
                <w:color w:val="auto"/>
              </w:rPr>
            </w:pPr>
            <w:r>
              <w:rPr>
                <w:rFonts w:ascii="Arial" w:cs="Arial" w:eastAsia="Arial" w:hAnsi="Arial"/>
                <w:sz w:val="18"/>
                <w:szCs w:val="18"/>
                <w:color w:val="auto"/>
              </w:rPr>
              <w:t>days)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Short-term investments: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U.S. Treasuries</w:t>
            </w: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59,894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59,894</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Commercial paper</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58,322</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58,322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1,453</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1,453</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18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0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Interest rate swap contracts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1,887</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1,887</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40" w:firstLine="509"/>
        <w:spacing w:after="0" w:line="324" w:lineRule="auto"/>
        <w:rPr>
          <w:sz w:val="20"/>
          <w:szCs w:val="20"/>
          <w:color w:val="auto"/>
        </w:rPr>
      </w:pPr>
      <w:r>
        <w:rPr>
          <w:rFonts w:ascii="Arial" w:cs="Arial" w:eastAsia="Arial" w:hAnsi="Arial"/>
          <w:sz w:val="16"/>
          <w:szCs w:val="16"/>
          <w:color w:val="auto"/>
        </w:rPr>
        <w:t>At December 31, 2021, except for the contingent consideration noted above, the estimated fair values of all of the Company’s financial assets and liabilities subject to the three-level fair value hierarchy approximated their carrying values due to their short-term maturities (less than 12 months).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Accrued Expenses and Other Current Liabilities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68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6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Payroll and payroll-related</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7,403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10,311</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Contingent consideration, current</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7,500</w:t>
            </w:r>
          </w:p>
        </w:tc>
        <w:tc>
          <w:tcPr>
            <w:tcW w:w="100" w:type="dxa"/>
            <w:vAlign w:val="bottom"/>
          </w:tcPr>
          <w:p>
            <w:pPr>
              <w:spacing w:after="0"/>
              <w:rPr>
                <w:sz w:val="17"/>
                <w:szCs w:val="17"/>
                <w:color w:val="auto"/>
              </w:rPr>
            </w:pPr>
          </w:p>
        </w:tc>
      </w:tr>
      <w:tr>
        <w:trPr>
          <w:trHeight w:val="203"/>
        </w:trPr>
        <w:tc>
          <w:tcPr>
            <w:tcW w:w="6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franchise and other taxes</w:t>
            </w: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3,133</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1,785</w:t>
            </w:r>
          </w:p>
        </w:tc>
        <w:tc>
          <w:tcPr>
            <w:tcW w:w="100" w:type="dxa"/>
            <w:vAlign w:val="bottom"/>
            <w:shd w:val="clear" w:color="auto" w:fill="CFF0FC"/>
          </w:tcPr>
          <w:p>
            <w:pPr>
              <w:spacing w:after="0"/>
              <w:rPr>
                <w:sz w:val="17"/>
                <w:szCs w:val="17"/>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4,146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3,062</w:t>
            </w:r>
          </w:p>
        </w:tc>
        <w:tc>
          <w:tcPr>
            <w:tcW w:w="100" w:type="dxa"/>
            <w:vAlign w:val="bottom"/>
          </w:tcPr>
          <w:p>
            <w:pPr>
              <w:spacing w:after="0"/>
              <w:rPr>
                <w:sz w:val="17"/>
                <w:szCs w:val="17"/>
                <w:color w:val="auto"/>
              </w:rPr>
            </w:pPr>
          </w:p>
        </w:tc>
      </w:tr>
      <w:tr>
        <w:trPr>
          <w:trHeight w:val="236"/>
        </w:trPr>
        <w:tc>
          <w:tcPr>
            <w:tcW w:w="68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14,682</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22,658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Noncontrolling Interest</w:t>
      </w:r>
    </w:p>
    <w:p>
      <w:pPr>
        <w:spacing w:after="0" w:line="108"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Definitive Healthcare Corp. operates and controls all of the business and affairs of Definitive OpCo, and through Definitive OpCo and its subsidiaries, conducts its business. Accordingly, Definitive Healthcare Corp. consolidates the financial results of Definitive OpCo, and reports the noncontrolling interests of its consolidated subsidiaries on its condensed consolidated financial statements based on the Definitive OpCo Units held by Continuing LLC Members. Changes in Definitive Healthcare Corp.'s ownership interest in its consolidated subsidiaries are accounted for as equity transactions. As such, future redemptions or direct exchanges of Definitive OpCo Units by Continuing LLC Members will result in a change in ownership and reduce or increase the amount recorded as noncontrolling interests and increase or decrease additional paid-in capital in the Company’s Condensed Consolidated Balance Sheets.</w:t>
      </w:r>
    </w:p>
    <w:p>
      <w:pPr>
        <w:spacing w:after="0" w:line="8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During the six months ended June 30, 2022, 3,442,891 Definitive OpCo Units held by Continuing LLC Members were exchanged for shares of Class A Common Stock of Definitive Healthcare Corp. pursuant to the terms of the Amended LLC Agreement. In addition, 11,729 restricted stock units vested, resulting in the issuance of 11,729 shares of Class A Common Stock of Definitive Healthcare Corp., for which Definitive OpCo Units were issued on a one-for-one basis pursuant to the Definitive OpCo second amended and restated limited liability company agreement entered into in connection with the IPO.</w:t>
      </w:r>
    </w:p>
    <w:p>
      <w:pPr>
        <w:spacing w:after="0" w:line="81"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As of June 30, 2022, Definitive Healthcare Corp. held 100,484,715 units in the Definitive OpCo resulting in an ownership interest of 65.8% and a noncontrolling interest of 34.2%</w:t>
      </w:r>
      <w:r>
        <w:rPr>
          <w:rFonts w:ascii="Arial" w:cs="Arial" w:eastAsia="Arial" w:hAnsi="Arial"/>
          <w:sz w:val="21"/>
          <w:szCs w:val="21"/>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Loss</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following table summarize the changes in accumulated balances of other comprehensive loss for the three and six months ended June 30, 2022 and 2021, respectively.</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6"/>
                <w:szCs w:val="16"/>
                <w:b w:val="1"/>
                <w:bCs w:val="1"/>
                <w:color w:val="auto"/>
              </w:rPr>
              <w:t>Three Months Ended June 30, 2022</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13"/>
          </w:tcPr>
          <w:p>
            <w:pPr>
              <w:ind w:left="600"/>
              <w:spacing w:after="0"/>
              <w:rPr>
                <w:sz w:val="20"/>
                <w:szCs w:val="20"/>
                <w:color w:val="auto"/>
              </w:rPr>
            </w:pPr>
            <w:r>
              <w:rPr>
                <w:rFonts w:ascii="Arial" w:cs="Arial" w:eastAsia="Arial" w:hAnsi="Arial"/>
                <w:sz w:val="16"/>
                <w:szCs w:val="16"/>
                <w:b w:val="1"/>
                <w:bCs w:val="1"/>
                <w:color w:val="auto"/>
                <w:w w:val="98"/>
              </w:rPr>
              <w:t>Six Months Ended June 30, 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w w:val="95"/>
              </w:rPr>
              <w:t>Unrealized Gains</w:t>
            </w:r>
          </w:p>
        </w:tc>
        <w:tc>
          <w:tcPr>
            <w:tcW w:w="120" w:type="dxa"/>
            <w:vAlign w:val="bottom"/>
          </w:tcPr>
          <w:p>
            <w:pPr>
              <w:spacing w:after="0"/>
              <w:rPr>
                <w:sz w:val="12"/>
                <w:szCs w:val="12"/>
                <w:color w:val="auto"/>
              </w:rPr>
            </w:pPr>
          </w:p>
        </w:tc>
        <w:tc>
          <w:tcPr>
            <w:tcW w:w="92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2" w:lineRule="exact"/>
              <w:rPr>
                <w:sz w:val="20"/>
                <w:szCs w:val="20"/>
                <w:color w:val="auto"/>
              </w:rPr>
            </w:pPr>
            <w:r>
              <w:rPr>
                <w:rFonts w:ascii="Arial" w:cs="Arial" w:eastAsia="Arial" w:hAnsi="Arial"/>
                <w:sz w:val="16"/>
                <w:szCs w:val="16"/>
                <w:b w:val="1"/>
                <w:bCs w:val="1"/>
                <w:color w:val="auto"/>
                <w:w w:val="91"/>
              </w:rPr>
              <w:t>Foreign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60"/>
              <w:spacing w:after="0" w:line="142" w:lineRule="exact"/>
              <w:rPr>
                <w:sz w:val="20"/>
                <w:szCs w:val="20"/>
                <w:color w:val="auto"/>
              </w:rPr>
            </w:pPr>
            <w:r>
              <w:rPr>
                <w:rFonts w:ascii="Arial" w:cs="Arial" w:eastAsia="Arial" w:hAnsi="Arial"/>
                <w:sz w:val="16"/>
                <w:szCs w:val="16"/>
                <w:b w:val="1"/>
                <w:bCs w:val="1"/>
                <w:color w:val="auto"/>
                <w:w w:val="93"/>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99"/>
              <w:spacing w:after="0" w:line="142" w:lineRule="exact"/>
              <w:rPr>
                <w:sz w:val="20"/>
                <w:szCs w:val="20"/>
                <w:color w:val="auto"/>
              </w:rPr>
            </w:pPr>
            <w:r>
              <w:rPr>
                <w:rFonts w:ascii="Arial" w:cs="Arial" w:eastAsia="Arial" w:hAnsi="Arial"/>
                <w:sz w:val="16"/>
                <w:szCs w:val="16"/>
                <w:b w:val="1"/>
                <w:bCs w:val="1"/>
                <w:color w:val="auto"/>
                <w:w w:val="91"/>
              </w:rPr>
              <w:t>Foreign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0"/>
              </w:rPr>
              <w:t>Gains 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99"/>
              <w:spacing w:after="0" w:line="162" w:lineRule="exact"/>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4"/>
          </w:tcPr>
          <w:p>
            <w:pPr>
              <w:jc w:val="center"/>
              <w:spacing w:after="0" w:line="162" w:lineRule="exact"/>
              <w:rPr>
                <w:sz w:val="20"/>
                <w:szCs w:val="20"/>
                <w:color w:val="auto"/>
              </w:rPr>
            </w:pPr>
            <w:r>
              <w:rPr>
                <w:rFonts w:ascii="Arial" w:cs="Arial" w:eastAsia="Arial" w:hAnsi="Arial"/>
                <w:sz w:val="16"/>
                <w:szCs w:val="16"/>
                <w:b w:val="1"/>
                <w:bCs w:val="1"/>
                <w:color w:val="auto"/>
                <w:w w:val="92"/>
              </w:rPr>
              <w:t>on Cash Flow</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4"/>
              </w:rPr>
              <w:t>Loss 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3"/>
          </w:tcPr>
          <w:p>
            <w:pPr>
              <w:jc w:val="center"/>
              <w:ind w:right="4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40"/>
              <w:spacing w:after="0" w:line="162" w:lineRule="exact"/>
              <w:rPr>
                <w:sz w:val="20"/>
                <w:szCs w:val="20"/>
                <w:color w:val="auto"/>
              </w:rPr>
            </w:pPr>
            <w:r>
              <w:rPr>
                <w:rFonts w:ascii="Arial" w:cs="Arial" w:eastAsia="Arial" w:hAnsi="Arial"/>
                <w:sz w:val="16"/>
                <w:szCs w:val="16"/>
                <w:b w:val="1"/>
                <w:bCs w:val="1"/>
                <w:color w:val="auto"/>
                <w:w w:val="92"/>
              </w:rPr>
              <w:t>Cash Flow</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60"/>
              <w:spacing w:after="0" w:line="162" w:lineRule="exact"/>
              <w:rPr>
                <w:sz w:val="20"/>
                <w:szCs w:val="20"/>
                <w:color w:val="auto"/>
              </w:rPr>
            </w:pPr>
            <w:r>
              <w:rPr>
                <w:rFonts w:ascii="Arial" w:cs="Arial" w:eastAsia="Arial" w:hAnsi="Arial"/>
                <w:sz w:val="16"/>
                <w:szCs w:val="16"/>
                <w:b w:val="1"/>
                <w:bCs w:val="1"/>
                <w:color w:val="auto"/>
                <w:w w:val="87"/>
              </w:rPr>
              <w:t>Loss on</w:t>
            </w:r>
          </w:p>
        </w:tc>
        <w:tc>
          <w:tcPr>
            <w:tcW w:w="20" w:type="dxa"/>
            <w:vAlign w:val="bottom"/>
          </w:tcPr>
          <w:p>
            <w:pPr>
              <w:spacing w:after="0"/>
              <w:rPr>
                <w:sz w:val="14"/>
                <w:szCs w:val="14"/>
                <w:color w:val="auto"/>
              </w:rPr>
            </w:pPr>
          </w:p>
        </w:tc>
        <w:tc>
          <w:tcPr>
            <w:tcW w:w="1040" w:type="dxa"/>
            <w:vAlign w:val="bottom"/>
            <w:gridSpan w:val="4"/>
          </w:tcPr>
          <w:p>
            <w:pPr>
              <w:ind w:left="40"/>
              <w:spacing w:after="0" w:line="162" w:lineRule="exact"/>
              <w:rPr>
                <w:sz w:val="20"/>
                <w:szCs w:val="20"/>
                <w:color w:val="auto"/>
              </w:rPr>
            </w:pPr>
            <w:r>
              <w:rPr>
                <w:rFonts w:ascii="Arial" w:cs="Arial" w:eastAsia="Arial" w:hAnsi="Arial"/>
                <w:sz w:val="16"/>
                <w:szCs w:val="16"/>
                <w:b w:val="1"/>
                <w:bCs w:val="1"/>
                <w:color w:val="auto"/>
              </w:rPr>
              <w:t>Translation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gridSpan w:val="2"/>
          </w:tcPr>
          <w:p>
            <w:pPr>
              <w:jc w:val="center"/>
              <w:ind w:left="159"/>
              <w:spacing w:after="0"/>
              <w:rPr>
                <w:sz w:val="20"/>
                <w:szCs w:val="20"/>
                <w:color w:val="auto"/>
              </w:rPr>
            </w:pPr>
            <w:r>
              <w:rPr>
                <w:rFonts w:ascii="Arial" w:cs="Arial" w:eastAsia="Arial" w:hAnsi="Arial"/>
                <w:sz w:val="16"/>
                <w:szCs w:val="16"/>
                <w:b w:val="1"/>
                <w:bCs w:val="1"/>
                <w:color w:val="auto"/>
                <w:w w:val="89"/>
              </w:rPr>
              <w:t>Hedges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Investments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Adjustments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Total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Hedges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w w:val="96"/>
              </w:rPr>
              <w:t>Investments</w:t>
            </w:r>
          </w:p>
        </w:tc>
        <w:tc>
          <w:tcPr>
            <w:tcW w:w="20" w:type="dxa"/>
            <w:vAlign w:val="bottom"/>
          </w:tcPr>
          <w:p>
            <w:pPr>
              <w:spacing w:after="0"/>
              <w:rPr>
                <w:sz w:val="17"/>
                <w:szCs w:val="17"/>
                <w:color w:val="auto"/>
              </w:rPr>
            </w:pPr>
          </w:p>
        </w:tc>
        <w:tc>
          <w:tcPr>
            <w:tcW w:w="1040" w:type="dxa"/>
            <w:vAlign w:val="bottom"/>
            <w:gridSpan w:val="4"/>
          </w:tcPr>
          <w:p>
            <w:pPr>
              <w:jc w:val="center"/>
              <w:ind w:right="39"/>
              <w:spacing w:after="0"/>
              <w:rPr>
                <w:sz w:val="20"/>
                <w:szCs w:val="20"/>
                <w:color w:val="auto"/>
              </w:rPr>
            </w:pPr>
            <w:r>
              <w:rPr>
                <w:rFonts w:ascii="Arial" w:cs="Arial" w:eastAsia="Arial" w:hAnsi="Arial"/>
                <w:sz w:val="16"/>
                <w:szCs w:val="16"/>
                <w:b w:val="1"/>
                <w:bCs w:val="1"/>
                <w:color w:val="auto"/>
                <w:w w:val="90"/>
              </w:rPr>
              <w:t>Adjustments</w:t>
            </w:r>
          </w:p>
        </w:tc>
        <w:tc>
          <w:tcPr>
            <w:tcW w:w="40" w:type="dxa"/>
            <w:vAlign w:val="bottom"/>
          </w:tcPr>
          <w:p>
            <w:pPr>
              <w:spacing w:after="0"/>
              <w:rPr>
                <w:sz w:val="17"/>
                <w:szCs w:val="17"/>
                <w:color w:val="auto"/>
              </w:rPr>
            </w:pPr>
          </w:p>
        </w:tc>
        <w:tc>
          <w:tcPr>
            <w:tcW w:w="5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2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Beginning balance</w:t>
            </w:r>
          </w:p>
        </w:tc>
        <w:tc>
          <w:tcPr>
            <w:tcW w:w="300" w:type="dxa"/>
            <w:vAlign w:val="bottom"/>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1,049</w:t>
            </w:r>
          </w:p>
        </w:tc>
        <w:tc>
          <w:tcPr>
            <w:tcW w:w="12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(197</w:t>
            </w:r>
          </w:p>
        </w:tc>
        <w:tc>
          <w:tcPr>
            <w:tcW w:w="1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66</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gridSpan w:val="3"/>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918</w:t>
            </w:r>
          </w:p>
        </w:tc>
        <w:tc>
          <w:tcPr>
            <w:tcW w:w="40" w:type="dxa"/>
            <w:vAlign w:val="bottom"/>
            <w:shd w:val="clear" w:color="auto" w:fill="CFF0FC"/>
          </w:tcPr>
          <w:p>
            <w:pPr>
              <w:spacing w:after="0"/>
              <w:rPr>
                <w:sz w:val="15"/>
                <w:szCs w:val="15"/>
                <w:color w:val="auto"/>
              </w:rPr>
            </w:pPr>
          </w:p>
        </w:tc>
        <w:tc>
          <w:tcPr>
            <w:tcW w:w="100" w:type="dxa"/>
            <w:vAlign w:val="bottom"/>
            <w:tcBorders>
              <w:left w:val="single" w:sz="8" w:color="CFF0FC"/>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600" w:type="dxa"/>
            <w:vAlign w:val="bottom"/>
            <w:gridSpan w:val="3"/>
          </w:tcPr>
          <w:p>
            <w:pPr>
              <w:ind w:left="20"/>
              <w:spacing w:after="0" w:line="152" w:lineRule="exact"/>
              <w:rPr>
                <w:sz w:val="20"/>
                <w:szCs w:val="20"/>
                <w:color w:val="auto"/>
              </w:rPr>
            </w:pPr>
            <w:r>
              <w:rPr>
                <w:rFonts w:ascii="Arial" w:cs="Arial" w:eastAsia="Arial" w:hAnsi="Arial"/>
                <w:sz w:val="16"/>
                <w:szCs w:val="16"/>
                <w:color w:val="auto"/>
              </w:rPr>
              <w:t>Other comprehensive income (loss) before</w:t>
            </w:r>
          </w:p>
        </w:tc>
        <w:tc>
          <w:tcPr>
            <w:tcW w:w="360" w:type="dxa"/>
            <w:vAlign w:val="bottom"/>
          </w:tcPr>
          <w:p>
            <w:pPr>
              <w:spacing w:after="0"/>
              <w:rPr>
                <w:sz w:val="13"/>
                <w:szCs w:val="13"/>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6"/>
                <w:szCs w:val="16"/>
                <w:color w:val="auto"/>
                <w:w w:val="82"/>
              </w:rPr>
              <w:t>825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4"/>
            <w:vMerge w:val="restart"/>
          </w:tcPr>
          <w:p>
            <w:pPr>
              <w:jc w:val="right"/>
              <w:spacing w:after="0"/>
              <w:rPr>
                <w:sz w:val="20"/>
                <w:szCs w:val="20"/>
                <w:color w:val="auto"/>
              </w:rPr>
            </w:pPr>
            <w:r>
              <w:rPr>
                <w:rFonts w:ascii="Arial" w:cs="Arial" w:eastAsia="Arial" w:hAnsi="Arial"/>
                <w:sz w:val="16"/>
                <w:szCs w:val="16"/>
                <w:color w:val="auto"/>
              </w:rPr>
              <w:t>(93 )</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800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1,874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(290 )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w w:val="84"/>
              </w:rPr>
              <w:t>1,656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620" w:type="dxa"/>
            <w:vAlign w:val="bottom"/>
          </w:tcPr>
          <w:p>
            <w:pPr>
              <w:ind w:left="20"/>
              <w:spacing w:after="0"/>
              <w:rPr>
                <w:sz w:val="20"/>
                <w:szCs w:val="20"/>
                <w:color w:val="auto"/>
              </w:rPr>
            </w:pPr>
            <w:r>
              <w:rPr>
                <w:rFonts w:ascii="Arial" w:cs="Arial" w:eastAsia="Arial" w:hAnsi="Arial"/>
                <w:sz w:val="16"/>
                <w:szCs w:val="16"/>
                <w:color w:val="auto"/>
              </w:rPr>
              <w:t>reclassifications</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Amounts reclassified from AOCI</w:t>
            </w:r>
          </w:p>
        </w:tc>
        <w:tc>
          <w:tcPr>
            <w:tcW w:w="3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2"/>
              </w:rPr>
              <w:t>276</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276</w:t>
            </w: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left w:val="single" w:sz="8" w:color="CFF0FC"/>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276</w:t>
            </w:r>
          </w:p>
        </w:tc>
        <w:tc>
          <w:tcPr>
            <w:tcW w:w="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gridSpan w:val="2"/>
            <w:shd w:val="clear" w:color="auto" w:fill="CFF0FC"/>
          </w:tcPr>
          <w:p>
            <w:pPr>
              <w:spacing w:after="0"/>
              <w:rPr>
                <w:sz w:val="16"/>
                <w:szCs w:val="16"/>
                <w:color w:val="auto"/>
              </w:rPr>
            </w:pPr>
          </w:p>
        </w:tc>
        <w:tc>
          <w:tcPr>
            <w:tcW w:w="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ind w:left="20"/>
              <w:spacing w:after="0" w:line="183" w:lineRule="exact"/>
              <w:rPr>
                <w:sz w:val="20"/>
                <w:szCs w:val="20"/>
                <w:color w:val="auto"/>
              </w:rPr>
            </w:pPr>
            <w:r>
              <w:rPr>
                <w:rFonts w:ascii="Arial" w:cs="Arial" w:eastAsia="Arial" w:hAnsi="Arial"/>
                <w:sz w:val="16"/>
                <w:szCs w:val="16"/>
                <w:color w:val="auto"/>
              </w:rPr>
              <w:t>Ending balance at June 30, 2022</w:t>
            </w:r>
          </w:p>
        </w:tc>
        <w:tc>
          <w:tcPr>
            <w:tcW w:w="300" w:type="dxa"/>
            <w:vAlign w:val="bottom"/>
          </w:tcPr>
          <w:p>
            <w:pPr>
              <w:spacing w:after="0"/>
              <w:rPr>
                <w:sz w:val="15"/>
                <w:szCs w:val="15"/>
                <w:color w:val="auto"/>
              </w:rPr>
            </w:pPr>
          </w:p>
        </w:tc>
        <w:tc>
          <w:tcPr>
            <w:tcW w:w="6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2,150</w:t>
            </w:r>
          </w:p>
        </w:tc>
        <w:tc>
          <w:tcPr>
            <w:tcW w:w="120" w:type="dxa"/>
            <w:vAlign w:val="bottom"/>
          </w:tcPr>
          <w:p>
            <w:pPr>
              <w:spacing w:after="0"/>
              <w:rPr>
                <w:sz w:val="15"/>
                <w:szCs w:val="15"/>
                <w:color w:val="auto"/>
              </w:rPr>
            </w:pPr>
          </w:p>
        </w:tc>
        <w:tc>
          <w:tcPr>
            <w:tcW w:w="14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gridSpan w:val="6"/>
          </w:tcPr>
          <w:p>
            <w:pPr>
              <w:jc w:val="right"/>
              <w:spacing w:after="0" w:line="183" w:lineRule="exact"/>
              <w:rPr>
                <w:sz w:val="20"/>
                <w:szCs w:val="20"/>
                <w:color w:val="auto"/>
              </w:rPr>
            </w:pPr>
            <w:r>
              <w:rPr>
                <w:rFonts w:ascii="Arial" w:cs="Arial" w:eastAsia="Arial" w:hAnsi="Arial"/>
                <w:sz w:val="16"/>
                <w:szCs w:val="16"/>
                <w:color w:val="auto"/>
              </w:rPr>
              <w:t>(290 ) $</w:t>
            </w:r>
          </w:p>
        </w:tc>
        <w:tc>
          <w:tcPr>
            <w:tcW w:w="8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134</w:t>
            </w:r>
          </w:p>
        </w:tc>
        <w:tc>
          <w:tcPr>
            <w:tcW w:w="2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gridSpan w:val="3"/>
          </w:tcPr>
          <w:p>
            <w:pPr>
              <w:jc w:val="right"/>
              <w:ind w:right="20"/>
              <w:spacing w:after="0" w:line="183" w:lineRule="exact"/>
              <w:rPr>
                <w:sz w:val="20"/>
                <w:szCs w:val="20"/>
                <w:color w:val="auto"/>
              </w:rPr>
            </w:pPr>
            <w:r>
              <w:rPr>
                <w:rFonts w:ascii="Arial" w:cs="Arial" w:eastAsia="Arial" w:hAnsi="Arial"/>
                <w:sz w:val="16"/>
                <w:szCs w:val="16"/>
                <w:color w:val="auto"/>
              </w:rPr>
              <w:t>1,994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2,150</w:t>
            </w:r>
          </w:p>
        </w:tc>
        <w:tc>
          <w:tcPr>
            <w:tcW w:w="20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5"/>
          </w:tcPr>
          <w:p>
            <w:pPr>
              <w:jc w:val="right"/>
              <w:spacing w:after="0" w:line="183" w:lineRule="exact"/>
              <w:rPr>
                <w:sz w:val="20"/>
                <w:szCs w:val="20"/>
                <w:color w:val="auto"/>
              </w:rPr>
            </w:pPr>
            <w:r>
              <w:rPr>
                <w:rFonts w:ascii="Arial" w:cs="Arial" w:eastAsia="Arial" w:hAnsi="Arial"/>
                <w:sz w:val="16"/>
                <w:szCs w:val="16"/>
                <w:color w:val="auto"/>
              </w:rPr>
              <w:t>(290 ) $</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134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89"/>
              </w:rPr>
              <w:t>$ 1,994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3"/>
          </w:tcPr>
          <w:p>
            <w:pPr>
              <w:jc w:val="right"/>
              <w:ind w:right="300"/>
              <w:spacing w:after="0"/>
              <w:rPr>
                <w:sz w:val="20"/>
                <w:szCs w:val="20"/>
                <w:color w:val="auto"/>
              </w:rPr>
            </w:pPr>
            <w:r>
              <w:rPr>
                <w:rFonts w:ascii="Arial" w:cs="Arial" w:eastAsia="Arial" w:hAnsi="Arial"/>
                <w:sz w:val="16"/>
                <w:szCs w:val="16"/>
                <w:b w:val="1"/>
                <w:bCs w:val="1"/>
                <w:color w:val="auto"/>
                <w:w w:val="91"/>
              </w:rPr>
              <w:t>Three months ended June 30, 2021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3"/>
          </w:tcPr>
          <w:p>
            <w:pPr>
              <w:ind w:left="560"/>
              <w:spacing w:after="0"/>
              <w:rPr>
                <w:sz w:val="20"/>
                <w:szCs w:val="20"/>
                <w:color w:val="auto"/>
              </w:rPr>
            </w:pPr>
            <w:r>
              <w:rPr>
                <w:rFonts w:ascii="Arial" w:cs="Arial" w:eastAsia="Arial" w:hAnsi="Arial"/>
                <w:sz w:val="16"/>
                <w:szCs w:val="16"/>
                <w:b w:val="1"/>
                <w:bCs w:val="1"/>
                <w:color w:val="auto"/>
              </w:rPr>
              <w:t>Six months ended June 30,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2"/>
              </w:rPr>
              <w:t>Unrealized Gains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vMerge w:val="restart"/>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3"/>
          </w:tcPr>
          <w:p>
            <w:pPr>
              <w:jc w:val="center"/>
              <w:ind w:right="300"/>
              <w:spacing w:after="0" w:line="142" w:lineRule="exact"/>
              <w:rPr>
                <w:sz w:val="20"/>
                <w:szCs w:val="20"/>
                <w:color w:val="auto"/>
              </w:rPr>
            </w:pPr>
            <w:r>
              <w:rPr>
                <w:rFonts w:ascii="Arial" w:cs="Arial" w:eastAsia="Arial" w:hAnsi="Arial"/>
                <w:sz w:val="16"/>
                <w:szCs w:val="16"/>
                <w:b w:val="1"/>
                <w:bCs w:val="1"/>
                <w:color w:val="auto"/>
                <w:w w:val="91"/>
              </w:rPr>
              <w:t>Foreign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4"/>
          </w:tcPr>
          <w:p>
            <w:pPr>
              <w:jc w:val="center"/>
              <w:ind w:right="200"/>
              <w:spacing w:after="0" w:line="142" w:lineRule="exact"/>
              <w:rPr>
                <w:sz w:val="20"/>
                <w:szCs w:val="20"/>
                <w:color w:val="auto"/>
              </w:rPr>
            </w:pPr>
            <w:r>
              <w:rPr>
                <w:rFonts w:ascii="Arial" w:cs="Arial" w:eastAsia="Arial" w:hAnsi="Arial"/>
                <w:sz w:val="16"/>
                <w:szCs w:val="16"/>
                <w:b w:val="1"/>
                <w:bCs w:val="1"/>
                <w:color w:val="auto"/>
                <w:w w:val="93"/>
              </w:rPr>
              <w:t>Unrealized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restart"/>
          </w:tcPr>
          <w:p>
            <w:pPr>
              <w:jc w:val="center"/>
              <w:ind w:right="180"/>
              <w:spacing w:after="0"/>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right="119"/>
              <w:spacing w:after="0" w:line="142" w:lineRule="exact"/>
              <w:rPr>
                <w:sz w:val="20"/>
                <w:szCs w:val="20"/>
                <w:color w:val="auto"/>
              </w:rPr>
            </w:pPr>
            <w:r>
              <w:rPr>
                <w:rFonts w:ascii="Arial" w:cs="Arial" w:eastAsia="Arial" w:hAnsi="Arial"/>
                <w:sz w:val="16"/>
                <w:szCs w:val="16"/>
                <w:b w:val="1"/>
                <w:bCs w:val="1"/>
                <w:color w:val="auto"/>
                <w:w w:val="91"/>
              </w:rPr>
              <w:t>Foreign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240"/>
              <w:spacing w:after="0" w:line="162" w:lineRule="exact"/>
              <w:rPr>
                <w:sz w:val="20"/>
                <w:szCs w:val="20"/>
                <w:color w:val="auto"/>
              </w:rPr>
            </w:pPr>
            <w:r>
              <w:rPr>
                <w:rFonts w:ascii="Arial" w:cs="Arial" w:eastAsia="Arial" w:hAnsi="Arial"/>
                <w:sz w:val="16"/>
                <w:szCs w:val="16"/>
                <w:b w:val="1"/>
                <w:bCs w:val="1"/>
                <w:color w:val="auto"/>
                <w:w w:val="90"/>
              </w:rPr>
              <w:t>Gains 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Currency</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34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on Cash Flow</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280"/>
              <w:spacing w:after="0" w:line="162" w:lineRule="exact"/>
              <w:rPr>
                <w:sz w:val="20"/>
                <w:szCs w:val="20"/>
                <w:color w:val="auto"/>
              </w:rPr>
            </w:pPr>
            <w:r>
              <w:rPr>
                <w:rFonts w:ascii="Arial" w:cs="Arial" w:eastAsia="Arial" w:hAnsi="Arial"/>
                <w:sz w:val="16"/>
                <w:szCs w:val="16"/>
                <w:b w:val="1"/>
                <w:bCs w:val="1"/>
                <w:color w:val="auto"/>
                <w:w w:val="84"/>
              </w:rPr>
              <w:t>Loss on</w:t>
            </w:r>
          </w:p>
        </w:tc>
        <w:tc>
          <w:tcPr>
            <w:tcW w:w="40" w:type="dxa"/>
            <w:vAlign w:val="bottom"/>
          </w:tcPr>
          <w:p>
            <w:pPr>
              <w:spacing w:after="0"/>
              <w:rPr>
                <w:sz w:val="14"/>
                <w:szCs w:val="14"/>
                <w:color w:val="auto"/>
              </w:rPr>
            </w:pPr>
          </w:p>
        </w:tc>
        <w:tc>
          <w:tcPr>
            <w:tcW w:w="1080" w:type="dxa"/>
            <w:vAlign w:val="bottom"/>
            <w:gridSpan w:val="5"/>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4"/>
          </w:tcPr>
          <w:p>
            <w:pPr>
              <w:jc w:val="center"/>
              <w:ind w:right="180"/>
              <w:spacing w:after="0" w:line="162" w:lineRule="exact"/>
              <w:rPr>
                <w:sz w:val="20"/>
                <w:szCs w:val="20"/>
                <w:color w:val="auto"/>
              </w:rPr>
            </w:pPr>
            <w:r>
              <w:rPr>
                <w:rFonts w:ascii="Arial" w:cs="Arial" w:eastAsia="Arial" w:hAnsi="Arial"/>
                <w:sz w:val="16"/>
                <w:szCs w:val="16"/>
                <w:b w:val="1"/>
                <w:bCs w:val="1"/>
                <w:color w:val="auto"/>
                <w:w w:val="92"/>
              </w:rPr>
              <w:t>Cash Flow</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280"/>
              <w:spacing w:after="0" w:line="162" w:lineRule="exact"/>
              <w:rPr>
                <w:sz w:val="20"/>
                <w:szCs w:val="20"/>
                <w:color w:val="auto"/>
              </w:rPr>
            </w:pPr>
            <w:r>
              <w:rPr>
                <w:rFonts w:ascii="Arial" w:cs="Arial" w:eastAsia="Arial" w:hAnsi="Arial"/>
                <w:sz w:val="16"/>
                <w:szCs w:val="16"/>
                <w:b w:val="1"/>
                <w:bCs w:val="1"/>
                <w:color w:val="auto"/>
                <w:w w:val="84"/>
              </w:rPr>
              <w:t>Loss on</w:t>
            </w:r>
          </w:p>
        </w:tc>
        <w:tc>
          <w:tcPr>
            <w:tcW w:w="20" w:type="dxa"/>
            <w:vAlign w:val="bottom"/>
          </w:tcPr>
          <w:p>
            <w:pPr>
              <w:spacing w:after="0"/>
              <w:rPr>
                <w:sz w:val="14"/>
                <w:szCs w:val="14"/>
                <w:color w:val="auto"/>
              </w:rPr>
            </w:pPr>
          </w:p>
        </w:tc>
        <w:tc>
          <w:tcPr>
            <w:tcW w:w="1040" w:type="dxa"/>
            <w:vAlign w:val="bottom"/>
            <w:gridSpan w:val="4"/>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Translation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w:t>
            </w:r>
          </w:p>
        </w:tc>
        <w:tc>
          <w:tcPr>
            <w:tcW w:w="30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6"/>
              </w:rPr>
              <w:t>Hedges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9"/>
              </w:rPr>
              <w:t>Investments</w:t>
            </w:r>
          </w:p>
        </w:tc>
        <w:tc>
          <w:tcPr>
            <w:tcW w:w="40" w:type="dxa"/>
            <w:vAlign w:val="bottom"/>
          </w:tcPr>
          <w:p>
            <w:pPr>
              <w:spacing w:after="0"/>
              <w:rPr>
                <w:sz w:val="17"/>
                <w:szCs w:val="17"/>
                <w:color w:val="auto"/>
              </w:rPr>
            </w:pPr>
          </w:p>
        </w:tc>
        <w:tc>
          <w:tcPr>
            <w:tcW w:w="10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88"/>
              </w:rPr>
              <w:t>Total</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6"/>
              </w:rPr>
              <w:t>Hedges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Investments</w:t>
            </w:r>
          </w:p>
        </w:tc>
        <w:tc>
          <w:tcPr>
            <w:tcW w:w="20" w:type="dxa"/>
            <w:vAlign w:val="bottom"/>
          </w:tcPr>
          <w:p>
            <w:pPr>
              <w:spacing w:after="0"/>
              <w:rPr>
                <w:sz w:val="17"/>
                <w:szCs w:val="17"/>
                <w:color w:val="auto"/>
              </w:rPr>
            </w:pPr>
          </w:p>
        </w:tc>
        <w:tc>
          <w:tcPr>
            <w:tcW w:w="1040" w:type="dxa"/>
            <w:vAlign w:val="bottom"/>
            <w:gridSpan w:val="4"/>
          </w:tcPr>
          <w:p>
            <w:pPr>
              <w:ind w:left="40"/>
              <w:spacing w:after="0"/>
              <w:rPr>
                <w:sz w:val="20"/>
                <w:szCs w:val="20"/>
                <w:color w:val="auto"/>
              </w:rPr>
            </w:pPr>
            <w:r>
              <w:rPr>
                <w:rFonts w:ascii="Arial" w:cs="Arial" w:eastAsia="Arial" w:hAnsi="Arial"/>
                <w:sz w:val="16"/>
                <w:szCs w:val="16"/>
                <w:b w:val="1"/>
                <w:bCs w:val="1"/>
                <w:color w:val="auto"/>
              </w:rPr>
              <w:t>Adjustments</w:t>
            </w:r>
          </w:p>
        </w:tc>
        <w:tc>
          <w:tcPr>
            <w:tcW w:w="40" w:type="dxa"/>
            <w:vAlign w:val="bottom"/>
          </w:tcPr>
          <w:p>
            <w:pPr>
              <w:spacing w:after="0"/>
              <w:rPr>
                <w:sz w:val="17"/>
                <w:szCs w:val="17"/>
                <w:color w:val="auto"/>
              </w:rPr>
            </w:pPr>
          </w:p>
        </w:tc>
        <w:tc>
          <w:tcPr>
            <w:tcW w:w="580" w:type="dxa"/>
            <w:vAlign w:val="bottom"/>
            <w:gridSpan w:val="3"/>
          </w:tcPr>
          <w:p>
            <w:pPr>
              <w:ind w:left="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3"/>
        </w:trPr>
        <w:tc>
          <w:tcPr>
            <w:tcW w:w="2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Beginning balance</w:t>
            </w:r>
          </w:p>
        </w:tc>
        <w:tc>
          <w:tcPr>
            <w:tcW w:w="300" w:type="dxa"/>
            <w:vAlign w:val="bottom"/>
            <w:tcBorders>
              <w:top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ind w:left="180"/>
              <w:spacing w:after="0" w:line="183" w:lineRule="exact"/>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ind w:left="480"/>
              <w:spacing w:after="0" w:line="183" w:lineRule="exact"/>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5"/>
                <w:szCs w:val="15"/>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lef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ind w:left="580"/>
              <w:spacing w:after="0" w:line="183" w:lineRule="exact"/>
              <w:rPr>
                <w:sz w:val="20"/>
                <w:szCs w:val="20"/>
                <w:color w:val="auto"/>
              </w:rPr>
            </w:pPr>
            <w:r>
              <w:rPr>
                <w:rFonts w:ascii="Arial" w:cs="Arial" w:eastAsia="Arial" w:hAnsi="Arial"/>
                <w:sz w:val="16"/>
                <w:szCs w:val="16"/>
                <w:color w:val="auto"/>
                <w:w w:val="99"/>
              </w:rPr>
              <w:t>—</w:t>
            </w:r>
          </w:p>
        </w:tc>
        <w:tc>
          <w:tcPr>
            <w:tcW w:w="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gridSpan w:val="2"/>
            <w:shd w:val="clear" w:color="auto" w:fill="CFF0FC"/>
          </w:tcPr>
          <w:p>
            <w:pPr>
              <w:ind w:left="740"/>
              <w:spacing w:after="0" w:line="183" w:lineRule="exact"/>
              <w:rPr>
                <w:sz w:val="20"/>
                <w:szCs w:val="20"/>
                <w:color w:val="auto"/>
              </w:rPr>
            </w:pPr>
            <w:r>
              <w:rPr>
                <w:rFonts w:ascii="Arial" w:cs="Arial" w:eastAsia="Arial" w:hAnsi="Arial"/>
                <w:sz w:val="16"/>
                <w:szCs w:val="16"/>
                <w:color w:val="auto"/>
                <w:w w:val="99"/>
              </w:rPr>
              <w:t>—</w:t>
            </w: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(131</w:t>
            </w:r>
          </w:p>
        </w:tc>
        <w:tc>
          <w:tcPr>
            <w:tcW w:w="1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96"/>
              </w:rPr>
              <w:t>$ (131</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ind w:left="18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(19 )</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ind w:left="7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Ending balance at June 30, 2021</w:t>
            </w:r>
          </w:p>
        </w:tc>
        <w:tc>
          <w:tcPr>
            <w:tcW w:w="300" w:type="dxa"/>
            <w:vAlign w:val="bottom"/>
            <w:tcBorders>
              <w:top w:val="single" w:sz="8" w:color="auto"/>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ind w:left="180"/>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ind w:left="480"/>
              <w:spacing w:after="0" w:line="183" w:lineRule="exact"/>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left w:val="single" w:sz="8" w:color="CFF0FC"/>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ind w:left="580"/>
              <w:spacing w:after="0" w:line="183" w:lineRule="exact"/>
              <w:rPr>
                <w:sz w:val="20"/>
                <w:szCs w:val="20"/>
                <w:color w:val="auto"/>
              </w:rPr>
            </w:pPr>
            <w:r>
              <w:rPr>
                <w:rFonts w:ascii="Arial" w:cs="Arial" w:eastAsia="Arial" w:hAnsi="Arial"/>
                <w:sz w:val="16"/>
                <w:szCs w:val="16"/>
                <w:color w:val="auto"/>
                <w:w w:val="89"/>
              </w:rPr>
              <w:t>––</w:t>
            </w:r>
          </w:p>
        </w:tc>
        <w:tc>
          <w:tcPr>
            <w:tcW w:w="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gridSpan w:val="2"/>
            <w:shd w:val="clear" w:color="auto" w:fill="CFF0FC"/>
          </w:tcPr>
          <w:p>
            <w:pPr>
              <w:ind w:left="740"/>
              <w:spacing w:after="0" w:line="183" w:lineRule="exact"/>
              <w:rPr>
                <w:sz w:val="20"/>
                <w:szCs w:val="20"/>
                <w:color w:val="auto"/>
              </w:rPr>
            </w:pPr>
            <w:r>
              <w:rPr>
                <w:rFonts w:ascii="Arial" w:cs="Arial" w:eastAsia="Arial" w:hAnsi="Arial"/>
                <w:sz w:val="16"/>
                <w:szCs w:val="16"/>
                <w:color w:val="auto"/>
                <w:w w:val="89"/>
              </w:rPr>
              <w:t>––</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13</w:t>
            </w:r>
          </w:p>
        </w:tc>
        <w:tc>
          <w:tcPr>
            <w:tcW w:w="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-1239520</wp:posOffset>
            </wp:positionV>
            <wp:extent cx="7683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-1239520</wp:posOffset>
            </wp:positionV>
            <wp:extent cx="774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-1239520</wp:posOffset>
            </wp:positionV>
            <wp:extent cx="7747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-1239520</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-1239520</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-1239520</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-1239520</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-1239520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-25400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-8255</wp:posOffset>
            </wp:positionV>
            <wp:extent cx="768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-25400</wp:posOffset>
            </wp:positionV>
            <wp:extent cx="774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-8255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-25400</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-25400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16. Equity-Based Compensation</w:t>
      </w:r>
    </w:p>
    <w:p>
      <w:pPr>
        <w:spacing w:after="0" w:line="108"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Equity-based compensation expense is allocated to all departments based on the recipients of the compensation. A summary of the expense by line item in the condensed consolidated statements of operations for the three and six months ended June 30, 2022 and 2021, respectively, is provided in the following table.</w:t>
      </w:r>
    </w:p>
    <w:p>
      <w:pPr>
        <w:spacing w:after="0" w:line="7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60" w:type="dxa"/>
            <w:vAlign w:val="bottom"/>
          </w:tcPr>
          <w:p>
            <w:pPr>
              <w:spacing w:after="0"/>
              <w:rPr>
                <w:sz w:val="16"/>
                <w:szCs w:val="16"/>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4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43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780" w:type="dxa"/>
            <w:vAlign w:val="bottom"/>
            <w:tcBorders>
              <w:top w:val="single" w:sz="8" w:color="auto"/>
            </w:tcBorders>
            <w:shd w:val="clear" w:color="auto" w:fill="CFF0FC"/>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462</w:t>
            </w:r>
          </w:p>
        </w:tc>
        <w:tc>
          <w:tcPr>
            <w:tcW w:w="2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93"/>
              </w:rPr>
              <w:t>5,056</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139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8,802</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r>
      <w:tr>
        <w:trPr>
          <w:trHeight w:val="203"/>
        </w:trPr>
        <w:tc>
          <w:tcPr>
            <w:tcW w:w="43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1,841</w:t>
            </w: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3,130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7"/>
                <w:szCs w:val="17"/>
                <w:color w:val="auto"/>
              </w:rPr>
            </w:pPr>
          </w:p>
        </w:tc>
      </w:tr>
      <w:tr>
        <w:trPr>
          <w:trHeight w:val="203"/>
        </w:trPr>
        <w:tc>
          <w:tcPr>
            <w:tcW w:w="436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1,878</w:t>
            </w:r>
          </w:p>
        </w:tc>
        <w:tc>
          <w:tcPr>
            <w:tcW w:w="2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8"/>
              </w:rPr>
              <w:t>1,382</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3,483</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1,595</w:t>
            </w:r>
          </w:p>
        </w:tc>
        <w:tc>
          <w:tcPr>
            <w:tcW w:w="100" w:type="dxa"/>
            <w:vAlign w:val="bottom"/>
          </w:tcPr>
          <w:p>
            <w:pPr>
              <w:spacing w:after="0"/>
              <w:rPr>
                <w:sz w:val="17"/>
                <w:szCs w:val="17"/>
                <w:color w:val="auto"/>
              </w:rPr>
            </w:pPr>
          </w:p>
        </w:tc>
      </w:tr>
      <w:tr>
        <w:trPr>
          <w:trHeight w:val="236"/>
        </w:trPr>
        <w:tc>
          <w:tcPr>
            <w:tcW w:w="43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compensation expense</w:t>
            </w:r>
          </w:p>
        </w:tc>
        <w:tc>
          <w:tcPr>
            <w:tcW w:w="780" w:type="dxa"/>
            <w:vAlign w:val="bottom"/>
            <w:tcBorders>
              <w:bottom w:val="single" w:sz="8" w:color="auto"/>
            </w:tcBorders>
            <w:shd w:val="clear" w:color="auto" w:fill="CFF0FC"/>
          </w:tcPr>
          <w:p>
            <w:pPr>
              <w:jc w:val="right"/>
              <w:ind w:right="59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9,005</w:t>
            </w:r>
          </w:p>
        </w:tc>
        <w:tc>
          <w:tcPr>
            <w:tcW w:w="260" w:type="dxa"/>
            <w:vAlign w:val="bottom"/>
            <w:tcBorders>
              <w:bottom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1,615</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15,877</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03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2021 Equity Incentive Plan</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Definitive Healthcare Corp. 2021 Equity Incentive Plan (the “2021 Plan”) was adopted in September 2021. The types of grants available under the 2021 Plan include stock options (both incentive and non-qualified), stock appreciation rights ("SARs"), restricted stock awards ("RSAs"), restricted stock units ("RSUs"), and stock-based awards.</w:t>
      </w:r>
    </w:p>
    <w:p>
      <w:pPr>
        <w:spacing w:after="0" w:line="74" w:lineRule="exact"/>
        <w:rPr>
          <w:sz w:val="20"/>
          <w:szCs w:val="20"/>
          <w:color w:val="auto"/>
        </w:rPr>
      </w:pPr>
    </w:p>
    <w:p>
      <w:pPr>
        <w:jc w:val="both"/>
        <w:ind w:right="240" w:firstLine="554"/>
        <w:spacing w:after="0" w:line="248" w:lineRule="auto"/>
        <w:rPr>
          <w:sz w:val="20"/>
          <w:szCs w:val="20"/>
          <w:color w:val="auto"/>
        </w:rPr>
      </w:pPr>
      <w:r>
        <w:rPr>
          <w:rFonts w:ascii="Arial" w:cs="Arial" w:eastAsia="Arial" w:hAnsi="Arial"/>
          <w:sz w:val="18"/>
          <w:szCs w:val="18"/>
          <w:color w:val="auto"/>
        </w:rPr>
        <w:t>The aggregate number of shares of Class A Common Stock available for grant under the 2021 Plan was 5,214,689 shares at June 30, 2022. As of June 30, 2022, 3,774,350 shares have been granted under the 2021 Plan, net of forfeitures. The outstanding RSUs have time-based and/or performance-based vesting criteria.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Time-Based RSUs</w:t>
      </w:r>
    </w:p>
    <w:p>
      <w:pPr>
        <w:spacing w:after="0" w:line="104"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Outstanding time-based RSUs generally vest partially on the one-year anniversary of each grant and quarterly over the subsequent two- or three-year period. The following table summarizes the Company’s unvested time-based RSU activity for the six months ended June 30, 2022:</w:t>
      </w:r>
    </w:p>
    <w:p>
      <w:pPr>
        <w:spacing w:after="0" w:line="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Time-Based RSUs</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jc w:val="center"/>
              <w:ind w:right="337"/>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6120" w:type="dxa"/>
            <w:vAlign w:val="bottom"/>
          </w:tcPr>
          <w:p>
            <w:pPr>
              <w:spacing w:after="0"/>
              <w:rPr>
                <w:sz w:val="15"/>
                <w:szCs w:val="15"/>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Restricted</w:t>
            </w:r>
          </w:p>
        </w:tc>
        <w:tc>
          <w:tcPr>
            <w:tcW w:w="420" w:type="dxa"/>
            <w:vAlign w:val="bottom"/>
          </w:tcPr>
          <w:p>
            <w:pPr>
              <w:spacing w:after="0"/>
              <w:rPr>
                <w:sz w:val="15"/>
                <w:szCs w:val="15"/>
                <w:color w:val="auto"/>
              </w:rPr>
            </w:pPr>
          </w:p>
        </w:tc>
        <w:tc>
          <w:tcPr>
            <w:tcW w:w="1400" w:type="dxa"/>
            <w:vAlign w:val="bottom"/>
          </w:tcPr>
          <w:p>
            <w:pPr>
              <w:jc w:val="center"/>
              <w:ind w:right="317"/>
              <w:spacing w:after="0"/>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5"/>
                <w:szCs w:val="15"/>
                <w:color w:val="auto"/>
              </w:rPr>
            </w:pPr>
          </w:p>
        </w:tc>
      </w:tr>
      <w:tr>
        <w:trPr>
          <w:trHeight w:val="185"/>
        </w:trPr>
        <w:tc>
          <w:tcPr>
            <w:tcW w:w="6120" w:type="dxa"/>
            <w:vAlign w:val="bottom"/>
          </w:tcPr>
          <w:p>
            <w:pPr>
              <w:spacing w:after="0"/>
              <w:rPr>
                <w:sz w:val="16"/>
                <w:szCs w:val="16"/>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Stock Units</w:t>
            </w:r>
          </w:p>
        </w:tc>
        <w:tc>
          <w:tcPr>
            <w:tcW w:w="420" w:type="dxa"/>
            <w:vAlign w:val="bottom"/>
          </w:tcPr>
          <w:p>
            <w:pPr>
              <w:spacing w:after="0"/>
              <w:rPr>
                <w:sz w:val="16"/>
                <w:szCs w:val="16"/>
                <w:color w:val="auto"/>
              </w:rPr>
            </w:pPr>
          </w:p>
        </w:tc>
        <w:tc>
          <w:tcPr>
            <w:tcW w:w="1400" w:type="dxa"/>
            <w:vAlign w:val="bottom"/>
          </w:tcPr>
          <w:p>
            <w:pPr>
              <w:jc w:val="center"/>
              <w:ind w:right="33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2021</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1,935,899</w:t>
            </w:r>
          </w:p>
        </w:tc>
        <w:tc>
          <w:tcPr>
            <w:tcW w:w="3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32.59</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1,659,216</w:t>
            </w: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22.74</w:t>
            </w:r>
          </w:p>
        </w:tc>
        <w:tc>
          <w:tcPr>
            <w:tcW w:w="100" w:type="dxa"/>
            <w:vAlign w:val="bottom"/>
          </w:tcPr>
          <w:p>
            <w:pPr>
              <w:spacing w:after="0"/>
              <w:rPr>
                <w:sz w:val="17"/>
                <w:szCs w:val="17"/>
                <w:color w:val="auto"/>
              </w:rPr>
            </w:pPr>
          </w:p>
        </w:tc>
      </w:tr>
      <w:tr>
        <w:trPr>
          <w:trHeight w:val="203"/>
        </w:trPr>
        <w:tc>
          <w:tcPr>
            <w:tcW w:w="6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(11,729 )</w:t>
            </w:r>
          </w:p>
        </w:tc>
        <w:tc>
          <w:tcPr>
            <w:tcW w:w="4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17.11</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(100,857 )</w:t>
            </w:r>
          </w:p>
        </w:tc>
        <w:tc>
          <w:tcPr>
            <w:tcW w:w="42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26.65</w:t>
            </w:r>
          </w:p>
        </w:tc>
        <w:tc>
          <w:tcPr>
            <w:tcW w:w="10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Unvested at June 30, 2022</w:t>
            </w:r>
          </w:p>
        </w:tc>
        <w:tc>
          <w:tcPr>
            <w:tcW w:w="1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3,482,529</w:t>
            </w:r>
          </w:p>
        </w:tc>
        <w:tc>
          <w:tcPr>
            <w:tcW w:w="30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jc w:val="right"/>
              <w:ind w:right="210"/>
              <w:spacing w:after="0" w:line="182"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28.12</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Company recognized $7.0 million and $12.1 million in stock-based compensation expense associated with time-based RSUs in the three and six months ended June 30, 2022, respectively. Total unrecognized expense for these awards was estimated to be $81.6 million at June 30, 2022, to be recognized over a weighted-average period of approximately 2.9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Performance-Based RSUs (“PSUs”)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The Company periodically grants PSUs to certain members of the Company’s senior management team subject to the satisfaction of annual and cumulative performance conditions and/or market conditions established by the Human Capital Management and Compensation Committee of the Board of Directors of Definitive Healthcare Corp. Those PSUs without market-based vesting conditions vest annually over three years subject to the achievement of certain performance targets and continued service. Expense for these awards is recognized when it becomes probable that performance measures triggering vesting will be achieved.</w:t>
      </w:r>
    </w:p>
    <w:p>
      <w:pPr>
        <w:spacing w:after="0" w:line="8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May 2022, the Company granted PSUs to a member of the executive leadership team with performance criteria related to the relative ranking of the total stockholder return (“TSR”) of the Company’s common stock for the cumulative three-year performance period return relative to the TSR of certain peer companies within the Nasdaq Software &amp; Services Index. TSR will be measured based on the 20-trading-day average closing stock price on the first day of the performance period compared to the 20-trading-day average closing stock price on the last day of such period, inclusive of applicable cash dividend payments. These PSUs subject to the performance criteria will cliff vest after three years, subject to the satisfaction of the performance criteria and the executive’s continued employment through the performance period. PSUs may vest in a range between 0% and 300%, based on the satisfaction of performance, and no shares will be issued if the minimum applicable performance metric is not achieved. As these PSUs vest based on the achievement of market conditions, the grant date fair values were determined using a Monte-Carlo valuation model. The Monte-Carlo valuation model considered a variety of potential future share prices for the Company as well as its peer companies in the selected market index. Expense for these awards is recognized ratably over the requisite service period based on the fair value of the award.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The following table summarizes the Company’s unvested PSU activity for the six months ended June 30, 2022.</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3880" w:type="dxa"/>
            <w:vAlign w:val="bottom"/>
            <w:tcBorders>
              <w:bottom w:val="single" w:sz="8" w:color="auto"/>
            </w:tcBorders>
            <w:gridSpan w:val="4"/>
          </w:tcPr>
          <w:p>
            <w:pPr>
              <w:jc w:val="right"/>
              <w:ind w:right="1077"/>
              <w:spacing w:after="0"/>
              <w:rPr>
                <w:sz w:val="20"/>
                <w:szCs w:val="20"/>
                <w:color w:val="auto"/>
              </w:rPr>
            </w:pPr>
            <w:r>
              <w:rPr>
                <w:rFonts w:ascii="Arial" w:cs="Arial" w:eastAsia="Arial" w:hAnsi="Arial"/>
                <w:sz w:val="14"/>
                <w:szCs w:val="14"/>
                <w:b w:val="1"/>
                <w:bCs w:val="1"/>
                <w:color w:val="auto"/>
              </w:rPr>
              <w:t>Performance-Based PSUs</w:t>
            </w:r>
          </w:p>
        </w:tc>
        <w:tc>
          <w:tcPr>
            <w:tcW w:w="100" w:type="dxa"/>
            <w:vAlign w:val="bottom"/>
          </w:tcPr>
          <w:p>
            <w:pPr>
              <w:spacing w:after="0"/>
              <w:rPr>
                <w:sz w:val="16"/>
                <w:szCs w:val="16"/>
                <w:color w:val="auto"/>
              </w:rPr>
            </w:pPr>
          </w:p>
        </w:tc>
      </w:tr>
      <w:tr>
        <w:trPr>
          <w:trHeight w:val="160"/>
        </w:trPr>
        <w:tc>
          <w:tcPr>
            <w:tcW w:w="6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6"/>
        </w:trPr>
        <w:tc>
          <w:tcPr>
            <w:tcW w:w="6120" w:type="dxa"/>
            <w:vAlign w:val="bottom"/>
          </w:tcPr>
          <w:p>
            <w:pPr>
              <w:spacing w:after="0"/>
              <w:rPr>
                <w:sz w:val="15"/>
                <w:szCs w:val="15"/>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Restricted</w:t>
            </w:r>
          </w:p>
        </w:tc>
        <w:tc>
          <w:tcPr>
            <w:tcW w:w="280" w:type="dxa"/>
            <w:vAlign w:val="bottom"/>
          </w:tcPr>
          <w:p>
            <w:pPr>
              <w:spacing w:after="0"/>
              <w:rPr>
                <w:sz w:val="15"/>
                <w:szCs w:val="15"/>
                <w:color w:val="auto"/>
              </w:rPr>
            </w:pPr>
          </w:p>
        </w:tc>
        <w:tc>
          <w:tcPr>
            <w:tcW w:w="154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Average Grant</w:t>
            </w:r>
          </w:p>
        </w:tc>
        <w:tc>
          <w:tcPr>
            <w:tcW w:w="100" w:type="dxa"/>
            <w:vAlign w:val="bottom"/>
          </w:tcPr>
          <w:p>
            <w:pPr>
              <w:spacing w:after="0"/>
              <w:rPr>
                <w:sz w:val="15"/>
                <w:szCs w:val="15"/>
                <w:color w:val="auto"/>
              </w:rPr>
            </w:pPr>
          </w:p>
        </w:tc>
      </w:tr>
      <w:tr>
        <w:trPr>
          <w:trHeight w:val="185"/>
        </w:trPr>
        <w:tc>
          <w:tcPr>
            <w:tcW w:w="6120" w:type="dxa"/>
            <w:vAlign w:val="bottom"/>
          </w:tcPr>
          <w:p>
            <w:pPr>
              <w:spacing w:after="0"/>
              <w:rPr>
                <w:sz w:val="16"/>
                <w:szCs w:val="16"/>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Stock Units</w:t>
            </w:r>
          </w:p>
        </w:tc>
        <w:tc>
          <w:tcPr>
            <w:tcW w:w="280" w:type="dxa"/>
            <w:vAlign w:val="bottom"/>
          </w:tcPr>
          <w:p>
            <w:pPr>
              <w:spacing w:after="0"/>
              <w:rPr>
                <w:sz w:val="16"/>
                <w:szCs w:val="16"/>
                <w:color w:val="auto"/>
              </w:rPr>
            </w:pPr>
          </w:p>
        </w:tc>
        <w:tc>
          <w:tcPr>
            <w:tcW w:w="154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2021</w:t>
            </w:r>
          </w:p>
        </w:tc>
        <w:tc>
          <w:tcPr>
            <w:tcW w:w="1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164,351</w:t>
            </w:r>
          </w:p>
        </w:tc>
        <w:tc>
          <w:tcPr>
            <w:tcW w:w="3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27.00</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Granted</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125,000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54.25</w:t>
            </w:r>
          </w:p>
        </w:tc>
        <w:tc>
          <w:tcPr>
            <w:tcW w:w="100" w:type="dxa"/>
            <w:vAlign w:val="bottom"/>
          </w:tcPr>
          <w:p>
            <w:pPr>
              <w:spacing w:after="0"/>
              <w:rPr>
                <w:sz w:val="17"/>
                <w:szCs w:val="17"/>
                <w:color w:val="auto"/>
              </w:rPr>
            </w:pPr>
          </w:p>
        </w:tc>
      </w:tr>
      <w:tr>
        <w:trPr>
          <w:trHeight w:val="203"/>
        </w:trPr>
        <w:tc>
          <w:tcPr>
            <w:tcW w:w="61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Vested</w:t>
            </w:r>
          </w:p>
        </w:tc>
        <w:tc>
          <w:tcPr>
            <w:tcW w:w="206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80"/>
              <w:spacing w:after="0" w:line="202" w:lineRule="exact"/>
              <w:rPr>
                <w:sz w:val="20"/>
                <w:szCs w:val="20"/>
                <w:color w:val="auto"/>
              </w:rPr>
            </w:pPr>
            <w:r>
              <w:rPr>
                <w:rFonts w:ascii="Arial" w:cs="Arial" w:eastAsia="Arial" w:hAnsi="Arial"/>
                <w:sz w:val="18"/>
                <w:szCs w:val="18"/>
                <w:color w:val="auto"/>
              </w:rPr>
              <w:t>Forfeited</w:t>
            </w:r>
          </w:p>
        </w:tc>
        <w:tc>
          <w:tcPr>
            <w:tcW w:w="2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(9,259 )</w:t>
            </w:r>
          </w:p>
        </w:tc>
        <w:tc>
          <w:tcPr>
            <w:tcW w:w="28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27.00</w:t>
            </w:r>
          </w:p>
        </w:tc>
        <w:tc>
          <w:tcPr>
            <w:tcW w:w="10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June 30, 2022</w:t>
            </w:r>
          </w:p>
        </w:tc>
        <w:tc>
          <w:tcPr>
            <w:tcW w:w="1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280,092</w:t>
            </w:r>
          </w:p>
        </w:tc>
        <w:tc>
          <w:tcPr>
            <w:tcW w:w="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39.16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The number of PSUs awarded represents the target number of shares of common stock that may be earned; however, the actual number of shares may vary based on the satisfaction of performance criteria. The Company recognized $0.5 million and $0.7 million in stock-based compensation expense associated with PSUs in the three and six months ended June 30, 2022, respectively. Total unrecognized expense for these awards was estimated to be $8.1 million at June 30, 2022, to be recognized over a weighted-average period of approximately 2.0 years.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Equity Incentive Plan</w:t>
      </w:r>
    </w:p>
    <w:p>
      <w:pPr>
        <w:spacing w:after="0" w:line="104" w:lineRule="exact"/>
        <w:rPr>
          <w:sz w:val="20"/>
          <w:szCs w:val="20"/>
          <w:color w:val="auto"/>
        </w:rPr>
      </w:pPr>
    </w:p>
    <w:p>
      <w:pPr>
        <w:ind w:right="260" w:firstLine="509"/>
        <w:spacing w:after="0" w:line="257" w:lineRule="auto"/>
        <w:rPr>
          <w:sz w:val="20"/>
          <w:szCs w:val="20"/>
          <w:color w:val="auto"/>
        </w:rPr>
      </w:pPr>
      <w:r>
        <w:rPr>
          <w:rFonts w:ascii="Arial" w:cs="Arial" w:eastAsia="Arial" w:hAnsi="Arial"/>
          <w:sz w:val="17"/>
          <w:szCs w:val="17"/>
          <w:color w:val="auto"/>
        </w:rPr>
        <w:t>The AIDH Topco, LLC 2019 Equity Incentive Plan (the “2019 Plan”) was utilized prior to the Reorganization Transactions and the IPO for the issuance of equity awards in the form of Class B units to employees, consultants, directors, managers, or others providing services to the Company. In connection with the Reorganization Transactions and the IPO, unvested Class B Units held directly by employees of the Company or indirectly through Definitive OpCo, were exchanged for unvested Definitive OpCo units based on their respective participation thresholds and the IPO price of $27.00 per share. The Company no longer grants any awards under the 2019 Plan, though previously granted awards under the 2019 Plan remain outstanding and governed by the 2019 Plan, including unvested units.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unvested unit activity.</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Time-Based</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6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00" w:type="dxa"/>
            <w:vAlign w:val="bottom"/>
          </w:tcPr>
          <w:p>
            <w:pPr>
              <w:jc w:val="center"/>
              <w:ind w:right="277"/>
              <w:spacing w:after="0" w:line="16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6120" w:type="dxa"/>
            <w:vAlign w:val="bottom"/>
          </w:tcPr>
          <w:p>
            <w:pPr>
              <w:spacing w:after="0"/>
              <w:rPr>
                <w:sz w:val="15"/>
                <w:szCs w:val="15"/>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Non-Vested</w:t>
            </w:r>
          </w:p>
        </w:tc>
        <w:tc>
          <w:tcPr>
            <w:tcW w:w="360" w:type="dxa"/>
            <w:vAlign w:val="bottom"/>
          </w:tcPr>
          <w:p>
            <w:pPr>
              <w:spacing w:after="0"/>
              <w:rPr>
                <w:sz w:val="15"/>
                <w:szCs w:val="15"/>
                <w:color w:val="auto"/>
              </w:rPr>
            </w:pPr>
          </w:p>
        </w:tc>
        <w:tc>
          <w:tcPr>
            <w:tcW w:w="1500" w:type="dxa"/>
            <w:vAlign w:val="bottom"/>
          </w:tcPr>
          <w:p>
            <w:pPr>
              <w:jc w:val="center"/>
              <w:ind w:right="277"/>
              <w:spacing w:after="0"/>
              <w:rPr>
                <w:sz w:val="20"/>
                <w:szCs w:val="20"/>
                <w:color w:val="auto"/>
              </w:rPr>
            </w:pPr>
            <w:r>
              <w:rPr>
                <w:rFonts w:ascii="Arial" w:cs="Arial" w:eastAsia="Arial" w:hAnsi="Arial"/>
                <w:sz w:val="14"/>
                <w:szCs w:val="14"/>
                <w:b w:val="1"/>
                <w:bCs w:val="1"/>
                <w:color w:val="auto"/>
                <w:w w:val="93"/>
              </w:rPr>
              <w:t>Average Grant</w:t>
            </w:r>
          </w:p>
        </w:tc>
        <w:tc>
          <w:tcPr>
            <w:tcW w:w="100" w:type="dxa"/>
            <w:vAlign w:val="bottom"/>
          </w:tcPr>
          <w:p>
            <w:pPr>
              <w:spacing w:after="0"/>
              <w:rPr>
                <w:sz w:val="15"/>
                <w:szCs w:val="15"/>
                <w:color w:val="auto"/>
              </w:rPr>
            </w:pPr>
          </w:p>
        </w:tc>
      </w:tr>
      <w:tr>
        <w:trPr>
          <w:trHeight w:val="185"/>
        </w:trPr>
        <w:tc>
          <w:tcPr>
            <w:tcW w:w="6120" w:type="dxa"/>
            <w:vAlign w:val="bottom"/>
          </w:tcPr>
          <w:p>
            <w:pPr>
              <w:spacing w:after="0"/>
              <w:rPr>
                <w:sz w:val="16"/>
                <w:szCs w:val="16"/>
                <w:color w:val="auto"/>
              </w:rPr>
            </w:pPr>
          </w:p>
        </w:tc>
        <w:tc>
          <w:tcPr>
            <w:tcW w:w="20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Units</w:t>
            </w:r>
          </w:p>
        </w:tc>
        <w:tc>
          <w:tcPr>
            <w:tcW w:w="360" w:type="dxa"/>
            <w:vAlign w:val="bottom"/>
          </w:tcPr>
          <w:p>
            <w:pPr>
              <w:spacing w:after="0"/>
              <w:rPr>
                <w:sz w:val="16"/>
                <w:szCs w:val="16"/>
                <w:color w:val="auto"/>
              </w:rPr>
            </w:pPr>
          </w:p>
        </w:tc>
        <w:tc>
          <w:tcPr>
            <w:tcW w:w="1500" w:type="dxa"/>
            <w:vAlign w:val="bottom"/>
          </w:tcPr>
          <w:p>
            <w:pPr>
              <w:jc w:val="center"/>
              <w:ind w:right="277"/>
              <w:spacing w:after="0"/>
              <w:rPr>
                <w:sz w:val="20"/>
                <w:szCs w:val="20"/>
                <w:color w:val="auto"/>
              </w:rPr>
            </w:pPr>
            <w:r>
              <w:rPr>
                <w:rFonts w:ascii="Arial" w:cs="Arial" w:eastAsia="Arial" w:hAnsi="Arial"/>
                <w:sz w:val="14"/>
                <w:szCs w:val="14"/>
                <w:b w:val="1"/>
                <w:bCs w:val="1"/>
                <w:color w:val="auto"/>
                <w:w w:val="96"/>
              </w:rPr>
              <w:t>Date Fair Value</w:t>
            </w:r>
          </w:p>
        </w:tc>
        <w:tc>
          <w:tcPr>
            <w:tcW w:w="100" w:type="dxa"/>
            <w:vAlign w:val="bottom"/>
          </w:tcPr>
          <w:p>
            <w:pPr>
              <w:spacing w:after="0"/>
              <w:rPr>
                <w:sz w:val="16"/>
                <w:szCs w:val="16"/>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Unvested at December 31, 2021</w:t>
            </w:r>
          </w:p>
        </w:tc>
        <w:tc>
          <w:tcPr>
            <w:tcW w:w="1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2,756,406</w:t>
            </w: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2.02</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Granted</w:t>
            </w:r>
          </w:p>
        </w:tc>
        <w:tc>
          <w:tcPr>
            <w:tcW w:w="2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1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Vested</w:t>
            </w:r>
          </w:p>
        </w:tc>
        <w:tc>
          <w:tcPr>
            <w:tcW w:w="20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(150,862 )</w:t>
            </w:r>
          </w:p>
        </w:tc>
        <w:tc>
          <w:tcPr>
            <w:tcW w:w="36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17"/>
                <w:szCs w:val="17"/>
                <w:color w:val="auto"/>
              </w:rPr>
            </w:pPr>
          </w:p>
        </w:tc>
      </w:tr>
      <w:tr>
        <w:trPr>
          <w:trHeight w:val="203"/>
        </w:trPr>
        <w:tc>
          <w:tcPr>
            <w:tcW w:w="6120" w:type="dxa"/>
            <w:vAlign w:val="bottom"/>
          </w:tcPr>
          <w:p>
            <w:pPr>
              <w:ind w:left="100"/>
              <w:spacing w:after="0" w:line="202" w:lineRule="exact"/>
              <w:rPr>
                <w:sz w:val="20"/>
                <w:szCs w:val="20"/>
                <w:color w:val="auto"/>
              </w:rPr>
            </w:pPr>
            <w:r>
              <w:rPr>
                <w:rFonts w:ascii="Arial" w:cs="Arial" w:eastAsia="Arial" w:hAnsi="Arial"/>
                <w:sz w:val="18"/>
                <w:szCs w:val="18"/>
                <w:color w:val="auto"/>
              </w:rPr>
              <w:t>Forfeited</w:t>
            </w:r>
          </w:p>
        </w:tc>
        <w:tc>
          <w:tcPr>
            <w:tcW w:w="2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(56,356 )</w:t>
            </w:r>
          </w:p>
        </w:tc>
        <w:tc>
          <w:tcPr>
            <w:tcW w:w="36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1.75</w:t>
            </w:r>
          </w:p>
        </w:tc>
        <w:tc>
          <w:tcPr>
            <w:tcW w:w="100" w:type="dxa"/>
            <w:vAlign w:val="bottom"/>
          </w:tcPr>
          <w:p>
            <w:pPr>
              <w:spacing w:after="0"/>
              <w:rPr>
                <w:sz w:val="17"/>
                <w:szCs w:val="17"/>
                <w:color w:val="auto"/>
              </w:rPr>
            </w:pPr>
          </w:p>
        </w:tc>
      </w:tr>
      <w:tr>
        <w:trPr>
          <w:trHeight w:val="236"/>
        </w:trPr>
        <w:tc>
          <w:tcPr>
            <w:tcW w:w="61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Unvested at June 30, 2022</w:t>
            </w:r>
          </w:p>
        </w:tc>
        <w:tc>
          <w:tcPr>
            <w:tcW w:w="1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2,549,188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Company recorded $1.5 million and $3.0 million in stock-based compensation expense associated with these units in the three and six months ended June 30, 2022, respectively. The Company recorded $0.6 million and $1.0 million in stock-based compensation expense associated with these units in the three and six months ended June 30, 2021, respectively. At June 30, 2022, the Company had approximately $12.1 million of unrecognized unit-based compensation expense for unvested units, which is expected to be recognized over a weighted-average period of approximately 2.1 years.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Plan</w:t>
      </w:r>
    </w:p>
    <w:p>
      <w:pPr>
        <w:spacing w:after="0" w:line="108"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The Company has a 401(k) plan covering all employees who have met certain eligibility requirements. The Company made matching contributions in accordance with the plan documents. The Company incurred $0.8 million and $1.9 million in employer matching contributions during the three and six months ended June 30, 2022, respectively, and $0.5 million and $1.2 million during the three and six months ended June 30, 2021, respectively.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0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During the six months ended June 30, 2022, management performed an assessment of the recoverability of deferred tax assets. Management determined, based on the accounting standards applicable to such assessment, that there was sufficient negative evidence as a result of the Company’s scheduled reversal of deferred tax liabilities and cumulative losses to conclude it was more likely than not that its deferred tax assets would not be realized and has recorded a valuation allowance against its deferred tax assets that are not more likely than not to be realized. In the event that management was to determine that the Company would be able to realize its deferred tax assets in the future in excess of their net recorded amount, an adjustment to the valuation allowance would be made which would reduce the provision for income taxes.</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6" w:name="page27"/>
    <w:bookmarkEnd w:id="26"/>
    <w:p>
      <w:pPr>
        <w:ind w:right="200" w:firstLine="509"/>
        <w:spacing w:after="0" w:line="270" w:lineRule="auto"/>
        <w:rPr>
          <w:sz w:val="20"/>
          <w:szCs w:val="20"/>
          <w:color w:val="auto"/>
        </w:rPr>
      </w:pPr>
      <w:r>
        <w:rPr>
          <w:rFonts w:ascii="Arial" w:cs="Arial" w:eastAsia="Arial" w:hAnsi="Arial"/>
          <w:sz w:val="17"/>
          <w:szCs w:val="17"/>
          <w:color w:val="auto"/>
        </w:rPr>
        <w:t>As of June 30, 2022, the Company has recorded a net deferred tax liability of $85.6 million, of which $10.1 million was recorded as a result of the AW acquisition. The net deferred tax liability reflects a valuation allowance against deferred tax assets that are more likely than not to not be realized as well as reversing taxable temporary differences that will not provide a source of taxable income due to attribute limitation rules.</w:t>
      </w:r>
    </w:p>
    <w:p>
      <w:pPr>
        <w:spacing w:after="0" w:line="56"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The Company recognizes uncertain income tax positions when it is more-likely-than-not the position will be sustained upon examination. As of June 30, 2022 and December 31, 2021, the Company has not identified any uncertain tax positions and has not recognized any related reserves.</w:t>
      </w:r>
    </w:p>
    <w:p>
      <w:pPr>
        <w:spacing w:after="0" w:line="39"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The Company's effective tax rate was 2.2% and 0.0% for the three months ended June 30, 2022 and 2021, respectively, and 0.6% and 0.0% for the six months ended June 30, 2022 and 2021, respectively. The Company’s effective tax rate differs from the statutory tax rate of 21% due to partnership income that is not taxed, the valuation allowance recorded, and foreign tax rates that differ from the U.S. statutory tax rate.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Pursuant to the Company's election under Section 754 of the Internal Revenue Code (the "Code"), the Company expects to obtain an increase in its share of the tax basis in the net assets of AIDH Topco, LLC when LLC Interests are redeemed or exchanged by other members. The Company plans to make an election under Section 754 of the Code for each taxable year in which a redemption of exchange of LLC Interest occurs. The Company intends to treat any redemptions and exchanges of LLC Interest as direct purchases of LLC Interests for U.S. federal income tax purposes. These increases in tax basis may reduce the amounts that would otherwise be paid in the future to various tax authorities. They may also decrease gains (or increase losses) on future dispositions of certain capital assets to the extent tax basis is allocated to those capital assets.</w:t>
      </w:r>
    </w:p>
    <w:p>
      <w:pPr>
        <w:spacing w:after="0" w:line="6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connection with the IPO, the Company entered into a Tax Receivable Agreement ("TRA") and has recorded a liability under the TRA of $155.9 million as of June 30, 2022. During the three and six months ended June 30, 2022, the Company recognized a TRA remeasurement gain of $3.4 million and $3.1 million within Other income (expense), net in the Company’s condensed consolidated statements of operations. Under the TRA, the Company generally will be required to pay to the Original LLC Unitholders 85% of the amount of cash savings, if any, in U.S. federal, state, or local tax that the Company actually realizes directly or indirectly (or are deemed to realize in certain circumstances) as a result of (i) certain tax attributes created as a result of any sales or exchanges (as determined for U.S. federal income tax purposes) to or with the Company of their interests in AIDH TopCo, LLC, including any basis adjustment relating to the assets of AIDH TopCo, LLC, (ii) existing tax attributes acquired by the Company in the pre-IPO restructuring, and (iii) tax benefits attributable to payments made under the TRA. The Company expects to benefit from the remaining 15% of any tax benefits that it may actually realize. To the extent that the Company is unable to timely make payments under the TRA for any reason, such payments generally will be deferred and will accrue interest until paid. No amounts are expected to be paid within the next 12 months.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Loss Per Share</w:t>
      </w:r>
    </w:p>
    <w:p>
      <w:pPr>
        <w:spacing w:after="0" w:line="108"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Basic net loss per share of Class A Common Stock is computed by dividing net income attributable to Definitive Healthcare Corp. by the weighted-average number of shares of Class A Common Stock outstanding during the period, excluding unvested equity awards and subsidiary member units not exchanged. Diluted earnings per share of Class A Common Stock is calculated by dividing net income attributable to Definitive Healthcare Corp, adjusted for the assumed exchange of all potentially dilutive securities by the weighted-average number of shares of Class A Common Stock outstanding.</w:t>
      </w:r>
    </w:p>
    <w:p>
      <w:pPr>
        <w:spacing w:after="0" w:line="47"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Prior to the IPO, the Definitive OpCo membership structure included Class A and Class B member units. The Company analyzed the calculation of earnings per unit for periods prior to the IPO and determined that it resulted in values that would not be meaningful to the readers of these unaudited condensed consolidated financial statements. Therefore, earnings per share information has not been presented for the three and six months ended June 30, 2021.</w:t>
      </w:r>
    </w:p>
    <w:p>
      <w:pPr>
        <w:spacing w:after="0" w:line="80"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net loss per share of Class A Common Stock for the three and six months ended June 30, 2022.</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4"/>
                <w:szCs w:val="1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Six Months Ended</w:t>
            </w:r>
          </w:p>
        </w:tc>
      </w:tr>
      <w:tr>
        <w:trPr>
          <w:trHeight w:val="185"/>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Pr>
          <w:p>
            <w:pPr>
              <w:spacing w:after="0"/>
              <w:rPr>
                <w:sz w:val="16"/>
                <w:szCs w:val="16"/>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2022</w:t>
            </w:r>
          </w:p>
        </w:tc>
      </w:tr>
      <w:tr>
        <w:trPr>
          <w:trHeight w:val="196"/>
        </w:trPr>
        <w:tc>
          <w:tcPr>
            <w:tcW w:w="6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22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(9,579 )</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(22,636 )</w:t>
            </w:r>
          </w:p>
        </w:tc>
      </w:tr>
      <w:tr>
        <w:trPr>
          <w:trHeight w:val="203"/>
        </w:trPr>
        <w:tc>
          <w:tcPr>
            <w:tcW w:w="6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Net loss attributable to noncontrolling interests</w:t>
            </w:r>
          </w:p>
        </w:tc>
        <w:tc>
          <w:tcPr>
            <w:tcW w:w="2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(4,429 )</w:t>
            </w:r>
          </w:p>
        </w:tc>
        <w:tc>
          <w:tcPr>
            <w:tcW w:w="12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(8,862 )</w:t>
            </w:r>
          </w:p>
        </w:tc>
      </w:tr>
      <w:tr>
        <w:trPr>
          <w:trHeight w:val="20"/>
        </w:trPr>
        <w:tc>
          <w:tcPr>
            <w:tcW w:w="6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820" w:type="dxa"/>
            <w:vAlign w:val="bottom"/>
          </w:tcPr>
          <w:p>
            <w:pPr>
              <w:spacing w:after="0" w:line="182" w:lineRule="exact"/>
              <w:rPr>
                <w:sz w:val="20"/>
                <w:szCs w:val="20"/>
                <w:color w:val="auto"/>
              </w:rPr>
            </w:pPr>
            <w:r>
              <w:rPr>
                <w:rFonts w:ascii="Arial" w:cs="Arial" w:eastAsia="Arial" w:hAnsi="Arial"/>
                <w:sz w:val="18"/>
                <w:szCs w:val="18"/>
                <w:color w:val="auto"/>
              </w:rPr>
              <w:t>Net loss attributable to Definitive Healthcare Corp.</w:t>
            </w:r>
          </w:p>
        </w:tc>
        <w:tc>
          <w:tcPr>
            <w:tcW w:w="220" w:type="dxa"/>
            <w:vAlign w:val="bottom"/>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200"/>
              <w:spacing w:after="0" w:line="182" w:lineRule="exact"/>
              <w:rPr>
                <w:sz w:val="20"/>
                <w:szCs w:val="20"/>
                <w:color w:val="auto"/>
              </w:rPr>
            </w:pPr>
            <w:r>
              <w:rPr>
                <w:rFonts w:ascii="Arial" w:cs="Arial" w:eastAsia="Arial" w:hAnsi="Arial"/>
                <w:sz w:val="18"/>
                <w:szCs w:val="18"/>
                <w:color w:val="auto"/>
              </w:rPr>
              <w:t>(5,150 )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(13,774 )</w:t>
            </w:r>
          </w:p>
        </w:tc>
      </w:tr>
      <w:tr>
        <w:trPr>
          <w:trHeight w:val="20"/>
        </w:trPr>
        <w:tc>
          <w:tcPr>
            <w:tcW w:w="6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-159385</wp:posOffset>
            </wp:positionV>
            <wp:extent cx="6858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following table sets forth the computation of basic and diluted net loss per share of Class A Common Stock for the three and six months ended June 30, 2022 (per share amounts 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tbl>
      <w:tblPr>
        <w:tblLayout w:type="fixed"/>
        <w:tblInd w:w="5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5"/>
              </w:rPr>
              <w:t>Three Months Ended</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Six Months Ended June</w:t>
            </w:r>
          </w:p>
        </w:tc>
      </w:tr>
      <w:tr>
        <w:trPr>
          <w:trHeight w:val="185"/>
        </w:trPr>
        <w:tc>
          <w:tcPr>
            <w:tcW w:w="6400" w:type="dxa"/>
            <w:vAlign w:val="bottom"/>
          </w:tcPr>
          <w:p>
            <w:pPr>
              <w:spacing w:after="0"/>
              <w:rPr>
                <w:sz w:val="20"/>
                <w:szCs w:val="20"/>
                <w:color w:val="auto"/>
              </w:rPr>
            </w:pPr>
            <w:r>
              <w:rPr>
                <w:rFonts w:ascii="Arial" w:cs="Arial" w:eastAsia="Arial" w:hAnsi="Arial"/>
                <w:sz w:val="14"/>
                <w:szCs w:val="14"/>
                <w:b w:val="1"/>
                <w:bCs w:val="1"/>
                <w:i w:val="1"/>
                <w:iCs w:val="1"/>
                <w:color w:val="auto"/>
              </w:rPr>
              <w:t>(in thousands, except number of shares and per share amounts)</w:t>
            </w:r>
          </w:p>
        </w:tc>
        <w:tc>
          <w:tcPr>
            <w:tcW w:w="120" w:type="dxa"/>
            <w:vAlign w:val="bottom"/>
          </w:tcPr>
          <w:p>
            <w:pPr>
              <w:spacing w:after="0"/>
              <w:rPr>
                <w:sz w:val="16"/>
                <w:szCs w:val="16"/>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2022</w:t>
            </w:r>
          </w:p>
        </w:tc>
        <w:tc>
          <w:tcPr>
            <w:tcW w:w="340" w:type="dxa"/>
            <w:vAlign w:val="bottom"/>
          </w:tcPr>
          <w:p>
            <w:pPr>
              <w:spacing w:after="0"/>
              <w:rPr>
                <w:sz w:val="16"/>
                <w:szCs w:val="16"/>
                <w:color w:val="auto"/>
              </w:rPr>
            </w:pPr>
          </w:p>
        </w:tc>
        <w:tc>
          <w:tcPr>
            <w:tcW w:w="1320" w:type="dxa"/>
            <w:vAlign w:val="bottom"/>
          </w:tcPr>
          <w:p>
            <w:pPr>
              <w:jc w:val="right"/>
              <w:ind w:right="495"/>
              <w:spacing w:after="0"/>
              <w:rPr>
                <w:sz w:val="20"/>
                <w:szCs w:val="20"/>
                <w:color w:val="auto"/>
              </w:rPr>
            </w:pPr>
            <w:r>
              <w:rPr>
                <w:rFonts w:ascii="Arial" w:cs="Arial" w:eastAsia="Arial" w:hAnsi="Arial"/>
                <w:sz w:val="14"/>
                <w:szCs w:val="14"/>
                <w:b w:val="1"/>
                <w:bCs w:val="1"/>
                <w:color w:val="auto"/>
              </w:rPr>
              <w:t>30, 2022</w:t>
            </w:r>
          </w:p>
        </w:tc>
        <w:tc>
          <w:tcPr>
            <w:tcW w:w="100" w:type="dxa"/>
            <w:vAlign w:val="bottom"/>
          </w:tcPr>
          <w:p>
            <w:pPr>
              <w:spacing w:after="0"/>
              <w:rPr>
                <w:sz w:val="16"/>
                <w:szCs w:val="16"/>
                <w:color w:val="auto"/>
              </w:rPr>
            </w:pPr>
          </w:p>
        </w:tc>
      </w:tr>
      <w:tr>
        <w:trPr>
          <w:trHeight w:val="196"/>
        </w:trPr>
        <w:tc>
          <w:tcPr>
            <w:tcW w:w="6400" w:type="dxa"/>
            <w:vAlign w:val="bottom"/>
          </w:tcPr>
          <w:p>
            <w:pPr>
              <w:spacing w:after="0" w:line="196" w:lineRule="exact"/>
              <w:rPr>
                <w:sz w:val="20"/>
                <w:szCs w:val="20"/>
                <w:color w:val="auto"/>
              </w:rPr>
            </w:pPr>
            <w:r>
              <w:rPr>
                <w:rFonts w:ascii="Arial" w:cs="Arial" w:eastAsia="Arial" w:hAnsi="Arial"/>
                <w:sz w:val="18"/>
                <w:szCs w:val="18"/>
                <w:color w:val="auto"/>
              </w:rPr>
              <w:t>Basic net loss per share attributable to common stockholders</w:t>
            </w: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4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Numerator:</w:t>
            </w:r>
          </w:p>
        </w:tc>
        <w:tc>
          <w:tcPr>
            <w:tcW w:w="12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Allocation of net loss attributable to Definitive Healthcare Corp.</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(5,150 )</w:t>
            </w:r>
          </w:p>
        </w:tc>
        <w:tc>
          <w:tcPr>
            <w:tcW w:w="340" w:type="dxa"/>
            <w:vAlign w:val="bottom"/>
          </w:tcPr>
          <w:p>
            <w:pPr>
              <w:jc w:val="right"/>
              <w:ind w:right="156"/>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(13,774 )</w:t>
            </w:r>
          </w:p>
        </w:tc>
      </w:tr>
      <w:tr>
        <w:trPr>
          <w:trHeight w:val="203"/>
        </w:trPr>
        <w:tc>
          <w:tcPr>
            <w:tcW w:w="64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Weighted average number of shares of Class A Common Stock outstanding</w:t>
            </w:r>
          </w:p>
        </w:tc>
        <w:tc>
          <w:tcPr>
            <w:tcW w:w="12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99,203,697</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98,186,909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400" w:type="dxa"/>
            <w:vAlign w:val="bottom"/>
          </w:tcPr>
          <w:p>
            <w:pPr>
              <w:spacing w:after="0" w:line="182" w:lineRule="exact"/>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(0.05 )</w:t>
            </w:r>
          </w:p>
        </w:tc>
        <w:tc>
          <w:tcPr>
            <w:tcW w:w="340" w:type="dxa"/>
            <w:vAlign w:val="bottom"/>
          </w:tcPr>
          <w:p>
            <w:pPr>
              <w:jc w:val="right"/>
              <w:ind w:right="156"/>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(0.14 )</w:t>
            </w:r>
          </w:p>
        </w:tc>
      </w:tr>
      <w:tr>
        <w:trPr>
          <w:trHeight w:val="20"/>
        </w:trPr>
        <w:tc>
          <w:tcPr>
            <w:tcW w:w="6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-159385</wp:posOffset>
            </wp:positionV>
            <wp:extent cx="6858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-159385</wp:posOffset>
            </wp:positionV>
            <wp:extent cx="6032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242424"/>
        </w:rPr>
        <w:t>Shares of the Company’s Class B Common Stock do not participate in the earnings or losses of Definitive Healthcare Corp. and are therefore not participating securities. As such, separate presentation of basic and diluted earnings per share of Class B Common Stock under the two-class method has not been presented.</w:t>
      </w:r>
    </w:p>
    <w:p>
      <w:pPr>
        <w:spacing w:after="0" w:line="7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242424"/>
        </w:rPr>
        <w:t>The following table presents potentially dilutive securities excluded from the computation of diluted net loss per share for the period presented because their effect would have been anti-dilutive:</w:t>
      </w:r>
    </w:p>
    <w:p>
      <w:pPr>
        <w:spacing w:after="0" w:line="8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900" w:type="dxa"/>
            <w:vAlign w:val="bottom"/>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Six Months Ended June 30, 2022</w:t>
            </w:r>
          </w:p>
        </w:tc>
        <w:tc>
          <w:tcPr>
            <w:tcW w:w="100" w:type="dxa"/>
            <w:vAlign w:val="bottom"/>
          </w:tcPr>
          <w:p>
            <w:pPr>
              <w:spacing w:after="0"/>
              <w:rPr>
                <w:sz w:val="16"/>
                <w:szCs w:val="16"/>
                <w:color w:val="auto"/>
              </w:rPr>
            </w:pPr>
          </w:p>
        </w:tc>
      </w:tr>
      <w:tr>
        <w:trPr>
          <w:trHeight w:val="196"/>
        </w:trPr>
        <w:tc>
          <w:tcPr>
            <w:tcW w:w="7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Definitive OpCo Units (vested and unvested)</w:t>
            </w:r>
          </w:p>
        </w:tc>
        <w:tc>
          <w:tcPr>
            <w:tcW w:w="2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54,745,380</w:t>
            </w:r>
          </w:p>
        </w:tc>
        <w:tc>
          <w:tcPr>
            <w:tcW w:w="100" w:type="dxa"/>
            <w:vAlign w:val="bottom"/>
            <w:shd w:val="clear" w:color="auto" w:fill="CFF0FC"/>
          </w:tcPr>
          <w:p>
            <w:pPr>
              <w:spacing w:after="0"/>
              <w:rPr>
                <w:sz w:val="17"/>
                <w:szCs w:val="17"/>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100" w:type="dxa"/>
            <w:vAlign w:val="bottom"/>
          </w:tcPr>
          <w:p>
            <w:pPr>
              <w:jc w:val="right"/>
              <w:spacing w:after="0"/>
              <w:rPr>
                <w:sz w:val="20"/>
                <w:szCs w:val="20"/>
                <w:color w:val="auto"/>
              </w:rPr>
            </w:pPr>
            <w:r>
              <w:rPr>
                <w:rFonts w:ascii="Arial" w:cs="Arial" w:eastAsia="Arial" w:hAnsi="Arial"/>
                <w:sz w:val="18"/>
                <w:szCs w:val="18"/>
                <w:color w:val="auto"/>
              </w:rPr>
              <w:t>3,762,621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and Geographic Data</w:t>
      </w:r>
    </w:p>
    <w:p>
      <w:pPr>
        <w:spacing w:after="0" w:line="108"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presented based upon the location of the customer are as follows:</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w w:val="95"/>
              </w:rPr>
              <w:t>For the Three Months Ended June</w:t>
            </w:r>
          </w:p>
        </w:tc>
        <w:tc>
          <w:tcPr>
            <w:tcW w:w="620" w:type="dxa"/>
            <w:vAlign w:val="bottom"/>
          </w:tcPr>
          <w:p>
            <w:pPr>
              <w:spacing w:after="0"/>
              <w:rPr>
                <w:sz w:val="14"/>
                <w:szCs w:val="14"/>
                <w:color w:val="auto"/>
              </w:rPr>
            </w:pPr>
          </w:p>
        </w:tc>
        <w:tc>
          <w:tcPr>
            <w:tcW w:w="2120" w:type="dxa"/>
            <w:vAlign w:val="bottom"/>
            <w:gridSpan w:val="5"/>
          </w:tcPr>
          <w:p>
            <w:pPr>
              <w:jc w:val="right"/>
              <w:ind w:right="15"/>
              <w:spacing w:after="0"/>
              <w:rPr>
                <w:sz w:val="20"/>
                <w:szCs w:val="20"/>
                <w:color w:val="auto"/>
              </w:rPr>
            </w:pPr>
            <w:r>
              <w:rPr>
                <w:rFonts w:ascii="Arial" w:cs="Arial" w:eastAsia="Arial" w:hAnsi="Arial"/>
                <w:sz w:val="14"/>
                <w:szCs w:val="14"/>
                <w:b w:val="1"/>
                <w:bCs w:val="1"/>
                <w:color w:val="auto"/>
                <w:w w:val="95"/>
              </w:rPr>
              <w:t>For the Six Months Ended June</w:t>
            </w:r>
          </w:p>
        </w:tc>
        <w:tc>
          <w:tcPr>
            <w:tcW w:w="100" w:type="dxa"/>
            <w:vAlign w:val="bottom"/>
          </w:tcPr>
          <w:p>
            <w:pPr>
              <w:spacing w:after="0"/>
              <w:rPr>
                <w:sz w:val="14"/>
                <w:szCs w:val="14"/>
                <w:color w:val="auto"/>
              </w:rPr>
            </w:pPr>
          </w:p>
        </w:tc>
      </w:tr>
      <w:tr>
        <w:trPr>
          <w:trHeight w:val="185"/>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30,</w:t>
            </w:r>
          </w:p>
        </w:tc>
        <w:tc>
          <w:tcPr>
            <w:tcW w:w="780" w:type="dxa"/>
            <w:vAlign w:val="bottom"/>
            <w:tcBorders>
              <w:bottom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50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52,028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38,489</w:t>
            </w: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99,608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74,186</w:t>
            </w:r>
          </w:p>
        </w:tc>
        <w:tc>
          <w:tcPr>
            <w:tcW w:w="100" w:type="dxa"/>
            <w:vAlign w:val="bottom"/>
            <w:shd w:val="clear" w:color="auto" w:fill="CFF0FC"/>
          </w:tcPr>
          <w:p>
            <w:pPr>
              <w:spacing w:after="0"/>
              <w:rPr>
                <w:sz w:val="17"/>
                <w:szCs w:val="17"/>
                <w:color w:val="auto"/>
              </w:rPr>
            </w:pPr>
          </w:p>
        </w:tc>
      </w:tr>
      <w:tr>
        <w:trPr>
          <w:trHeight w:val="203"/>
        </w:trPr>
        <w:tc>
          <w:tcPr>
            <w:tcW w:w="5080" w:type="dxa"/>
            <w:vAlign w:val="bottom"/>
          </w:tcPr>
          <w:p>
            <w:pPr>
              <w:spacing w:after="0" w:line="202" w:lineRule="exact"/>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1,332</w:t>
            </w:r>
          </w:p>
        </w:tc>
        <w:tc>
          <w:tcPr>
            <w:tcW w:w="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5,064</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2,571</w:t>
            </w:r>
          </w:p>
        </w:tc>
        <w:tc>
          <w:tcPr>
            <w:tcW w:w="100" w:type="dxa"/>
            <w:vAlign w:val="bottom"/>
          </w:tcPr>
          <w:p>
            <w:pPr>
              <w:spacing w:after="0"/>
              <w:rPr>
                <w:sz w:val="17"/>
                <w:szCs w:val="17"/>
                <w:color w:val="auto"/>
              </w:rPr>
            </w:pPr>
          </w:p>
        </w:tc>
      </w:tr>
      <w:tr>
        <w:trPr>
          <w:trHeight w:val="236"/>
        </w:trPr>
        <w:tc>
          <w:tcPr>
            <w:tcW w:w="50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54,548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39,821</w:t>
            </w:r>
          </w:p>
        </w:tc>
        <w:tc>
          <w:tcPr>
            <w:tcW w:w="6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104,672</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76,757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104"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w:t>
      </w:r>
    </w:p>
    <w:p>
      <w:pPr>
        <w:spacing w:after="0" w:line="5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r>
      <w:tr>
        <w:trPr>
          <w:trHeight w:val="185"/>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United States</w:t>
            </w:r>
          </w:p>
        </w:tc>
        <w:tc>
          <w:tcPr>
            <w:tcW w:w="940" w:type="dxa"/>
            <w:vAlign w:val="bottom"/>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4,272</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4,705</w:t>
            </w:r>
          </w:p>
        </w:tc>
        <w:tc>
          <w:tcPr>
            <w:tcW w:w="100" w:type="dxa"/>
            <w:vAlign w:val="bottom"/>
            <w:shd w:val="clear" w:color="auto" w:fill="CFF0FC"/>
          </w:tcPr>
          <w:p>
            <w:pPr>
              <w:spacing w:after="0"/>
              <w:rPr>
                <w:sz w:val="17"/>
                <w:szCs w:val="17"/>
                <w:color w:val="auto"/>
              </w:rPr>
            </w:pPr>
          </w:p>
        </w:tc>
      </w:tr>
      <w:tr>
        <w:trPr>
          <w:trHeight w:val="202"/>
        </w:trPr>
        <w:tc>
          <w:tcPr>
            <w:tcW w:w="6980" w:type="dxa"/>
            <w:vAlign w:val="bottom"/>
          </w:tcPr>
          <w:p>
            <w:pPr>
              <w:spacing w:after="0" w:line="202" w:lineRule="exact"/>
              <w:rPr>
                <w:sz w:val="20"/>
                <w:szCs w:val="20"/>
                <w:color w:val="auto"/>
              </w:rPr>
            </w:pPr>
            <w:r>
              <w:rPr>
                <w:rFonts w:ascii="Arial" w:cs="Arial" w:eastAsia="Arial" w:hAnsi="Arial"/>
                <w:sz w:val="18"/>
                <w:szCs w:val="18"/>
                <w:color w:val="auto"/>
              </w:rPr>
              <w:t>Rest of world</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w:t>
            </w: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364</w:t>
            </w:r>
          </w:p>
        </w:tc>
        <w:tc>
          <w:tcPr>
            <w:tcW w:w="100" w:type="dxa"/>
            <w:vAlign w:val="bottom"/>
          </w:tcPr>
          <w:p>
            <w:pPr>
              <w:spacing w:after="0"/>
              <w:rPr>
                <w:sz w:val="17"/>
                <w:szCs w:val="17"/>
                <w:color w:val="auto"/>
              </w:rPr>
            </w:pPr>
          </w:p>
        </w:tc>
      </w:tr>
      <w:tr>
        <w:trPr>
          <w:trHeight w:val="236"/>
        </w:trPr>
        <w:tc>
          <w:tcPr>
            <w:tcW w:w="69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long-lived assets</w:t>
            </w:r>
          </w:p>
        </w:tc>
        <w:tc>
          <w:tcPr>
            <w:tcW w:w="940" w:type="dxa"/>
            <w:vAlign w:val="bottom"/>
            <w:tcBorders>
              <w:bottom w:val="single" w:sz="8" w:color="auto"/>
            </w:tcBorders>
            <w:shd w:val="clear" w:color="auto" w:fill="CFF0FC"/>
          </w:tcPr>
          <w:p>
            <w:pPr>
              <w:jc w:val="right"/>
              <w:ind w:right="759"/>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4,760</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5,069</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Parties</w:t>
      </w:r>
    </w:p>
    <w:p>
      <w:pPr>
        <w:spacing w:after="0" w:line="10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231F20"/>
        </w:rPr>
        <w:t>The Company has engaged in revenue transactions within the ordinary course of business with entities affiliated with its private equity Sponsors and with members of the Company’s board of directors. During each of the three months ended June 30, 2022 and 2021 the Company recorded revenue of $0.2 million and $0.3 million, respectively. During each of the six months ended June 30, 2022 and 2021 the Company recorded revenue of $0.4 million. There was no associated receivable for the revenue transactions at June 30, 2022. The associated receivable for the revenue transactions amounted to $0.6 million at December 31, 2021.</w:t>
      </w:r>
    </w:p>
    <w:p>
      <w:pPr>
        <w:spacing w:after="0" w:line="81" w:lineRule="exact"/>
        <w:rPr>
          <w:sz w:val="20"/>
          <w:szCs w:val="20"/>
          <w:color w:val="auto"/>
        </w:rPr>
      </w:pPr>
    </w:p>
    <w:p>
      <w:pPr>
        <w:jc w:val="both"/>
        <w:ind w:right="320" w:firstLine="509"/>
        <w:spacing w:after="0" w:line="270" w:lineRule="auto"/>
        <w:rPr>
          <w:sz w:val="20"/>
          <w:szCs w:val="20"/>
          <w:color w:val="auto"/>
        </w:rPr>
      </w:pPr>
      <w:r>
        <w:rPr>
          <w:rFonts w:ascii="Arial" w:cs="Arial" w:eastAsia="Arial" w:hAnsi="Arial"/>
          <w:sz w:val="17"/>
          <w:szCs w:val="17"/>
          <w:color w:val="231F20"/>
        </w:rPr>
        <w:t>In the second quarter of 2022, the Company entered into a licensed data master agreement with a data provider, in which one of the Company’s affiliates has an indirect financial ownership interest via a minority investment, to provide licensed data. The agreement is effective through August 31, 2025, and the Company has not incurred costs associated with this agreement in the quarter ending June 30, 2022.</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18"/>
          <w:szCs w:val="18"/>
          <w:b w:val="1"/>
          <w:bCs w:val="1"/>
          <w:color w:val="auto"/>
        </w:rPr>
        <w:t>ITEM 2 - MANAGEMENT’S DISCUSSION AND ANALYSIS OF FINANCIAL CONDITION AND RESULTS OF OPERATIONS</w:t>
      </w:r>
    </w:p>
    <w:p>
      <w:pPr>
        <w:spacing w:after="0" w:line="10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related notes included elsewhere in this Quarterly Report and with our audited Consolidated Financial Statements, “Risk Factors,” and “Management’s Discussion and Analysis of Financial Condition and Results of Operations” included in our 2021 Form 10-K filed with the Securities and Exchange Commission (“SEC”) on March 15, 2022.</w:t>
      </w:r>
    </w:p>
    <w:p>
      <w:pPr>
        <w:spacing w:after="0" w:line="80"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i w:val="1"/>
          <w:iCs w:val="1"/>
          <w:color w:val="auto"/>
        </w:rPr>
        <w:t>As discussed in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below and those discussed in “Risk Factors” under Part II, Item 1A in this Quarterly Report and in Part I, Item 1A of our 2021 Form 10-K.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important to the commercial success of our over 2,900 customers as of June 30, 2022. We define a customer as a company that maintains one or more active paid subscriptions to our platform.</w:t>
      </w:r>
    </w:p>
    <w:p>
      <w:pPr>
        <w:spacing w:after="0" w:line="47"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Our customers include biopharmaceutical and medical device companies, healthcare information technology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 We offer access to our platform on a subscription basis, and we generate substantially all of our revenue from subscription fees.</w:t>
      </w:r>
    </w:p>
    <w:p>
      <w:pPr>
        <w:spacing w:after="0" w:line="66" w:lineRule="exact"/>
        <w:rPr>
          <w:sz w:val="20"/>
          <w:szCs w:val="20"/>
          <w:color w:val="auto"/>
        </w:rPr>
      </w:pPr>
    </w:p>
    <w:p>
      <w:pPr>
        <w:ind w:right="260" w:firstLine="509"/>
        <w:spacing w:after="0" w:line="294" w:lineRule="auto"/>
        <w:rPr>
          <w:sz w:val="20"/>
          <w:szCs w:val="20"/>
          <w:color w:val="auto"/>
        </w:rPr>
      </w:pPr>
      <w:r>
        <w:rPr>
          <w:rFonts w:ascii="Arial" w:cs="Arial" w:eastAsia="Arial" w:hAnsi="Arial"/>
          <w:sz w:val="16"/>
          <w:szCs w:val="16"/>
          <w:color w:val="auto"/>
        </w:rPr>
        <w:t>We were founded in 2011 by our Executive Chairman,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39"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Any company selling or competing within the healthcare ecosystem is a potential customer for us and contributes to our estimated current total addressable market of over $10 billion. In total, we have identified more than 100,000 potential customers that we believe could benefit from our platform.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Acquisition</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 xml:space="preserve">On February 18, 2022, the Company purchased the remaining 65% of Analytical Wizard, Inc.’s equity for $65.0 million, net of cash acquired and an estimated working capital adjustment and other customary purchase price adjustments. The total purchase consideration of $99.4 million, which includes the 35% investment the Company made in AW in December 2021, consisted of $98.4 million in cash consideration, net of working capital adjustments, and $1.0 million in estimated contingent consideration. The purchase price was primarily comprised of acquired customer relationships, technology and goodwill. The Company has included the financial results of this business in the condensed consolidated financial statements from the date of acquisition. The purchase accounting for this transaction is not yet finalized.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footnotes to the condensed consolidated financial statements included within this Form 10-Q for further information.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08"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The effects of the COVID-19 pandemic continue to evolve and its impact on the economy and healthcare ecosystem have been vast. However, other than a brief slowdown in new bookings during the second quarter of 2020 at the outset of the pandemic, the pandemic has not adversely affected our business, results of operations or financial condition. We continued to invest in our sales force and the business and have not experienced any known business disruptions as a result of the pandemic. Most of our services are already delivered remotely or are capable of being delivered remotely. We have demonstrated our agility to respond to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9" w:name="page30"/>
    <w:bookmarkEnd w:id="29"/>
    <w:p>
      <w:pPr>
        <w:spacing w:after="0" w:line="261" w:lineRule="auto"/>
        <w:rPr>
          <w:sz w:val="20"/>
          <w:szCs w:val="20"/>
          <w:color w:val="auto"/>
        </w:rPr>
      </w:pPr>
      <w:r>
        <w:rPr>
          <w:rFonts w:ascii="Arial" w:cs="Arial" w:eastAsia="Arial" w:hAnsi="Arial"/>
          <w:sz w:val="18"/>
          <w:szCs w:val="18"/>
          <w:color w:val="auto"/>
        </w:rPr>
        <w:t>pandemic and may take further actions that alter our business operations as may be required by federal, state or local authorities, or that we determine are in the best interests of our employees, customers and stockholders.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that the growth and future success of our business depend on many factors, including the following: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04"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2022 and December 31, 2021, we had over 2,900 and 2,800 customers, respectively.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there is a significant opportunity to generate additional revenue from our existing customer base.</w:t>
      </w:r>
    </w:p>
    <w:p>
      <w:pPr>
        <w:spacing w:after="0" w:line="212" w:lineRule="exact"/>
        <w:rPr>
          <w:sz w:val="20"/>
          <w:szCs w:val="20"/>
          <w:color w:val="auto"/>
        </w:rPr>
      </w:pPr>
    </w:p>
    <w:p>
      <w:pPr>
        <w:ind w:right="280" w:firstLine="509"/>
        <w:spacing w:after="0" w:line="241" w:lineRule="auto"/>
        <w:rPr>
          <w:sz w:val="20"/>
          <w:szCs w:val="20"/>
          <w:color w:val="auto"/>
        </w:rPr>
      </w:pPr>
      <w:r>
        <w:rPr>
          <w:rFonts w:ascii="Arial" w:cs="Arial" w:eastAsia="Arial" w:hAnsi="Arial"/>
          <w:sz w:val="18"/>
          <w:szCs w:val="18"/>
          <w:color w:val="auto"/>
        </w:rPr>
        <w:t>Our customers have historically increased their spending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customer-centric teams is fed directly into our product innovation teams, enhancing the development of new intelligence modules. We believe this feedback loop and our ability to innovate creates significant opportunities for continual existing customer expansion.</w:t>
      </w:r>
    </w:p>
    <w:p>
      <w:pPr>
        <w:spacing w:after="0" w:line="189"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platform currently offers 19 intelligence modules. Our success in expanding usage of our platform with our existing customers is demonstrated by our NDR, which is further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The growth of our business is driven in part by our ability to apply our deep healthcare domain expertise to innovate and expand our platform. We have continually created new products since our founding in 2011 and have launched 19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08"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are useful in evaluating our operating performance. Non-GAAP measures include, but are not limited to, Adjusted Gross Profit, Adjusted Gross Margin, Adjusted EBITDA, and Adjusted EBITDA Margin. We believe these non-GAAP measures are useful to investors because they eliminate certain non-cash items and items that affect period-over-period comparability and provide consistency with past financial performance and additional information about our underlying results and trends by excluding certain items that may not be indicative of our business, results of operations, or outlook.</w:t>
      </w:r>
    </w:p>
    <w:p>
      <w:pPr>
        <w:spacing w:after="0" w:line="66"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view Adjusted Gross Profit, Adjusted Gross Margin, Adjusted EBITDA, and Adjusted EBITDA Margin as operating performance measures. As such, we believe the most directly comparable GAAP financial measure to Adjusted Gross Profit and Adjusted Gross Margin is GAAP Gross Profit, and the most directly comparable GAAP financial measure to Adjusted EBITDA and Adjusted EBITDA Margin is GAAP net loss.</w:t>
      </w:r>
    </w:p>
    <w:p>
      <w:pPr>
        <w:spacing w:after="0" w:line="56"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Non-GAAP measures are supplemental financial measures of our performance, and should not be considered substitutes for net loss, gross profit or any other measure derived in accordance with GAAP. This information should be read only in conjunction with our condensed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Adjusted Gross Profit and Adjusted Gross Margin</w:t>
      </w:r>
    </w:p>
    <w:p>
      <w:pPr>
        <w:spacing w:after="0" w:line="10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stock-based compensation. Adjusted Gross Profit differs from Gross Profit, in that Gross Profit includes the impact of acquisition-related depreciation and amortization expense and stock-based compensation. We exclude acquisition-related depreciation and amortization expense as they have no direct correlation to the cost of operating our business on an ongoing basis. Adjusted Gross Margin is defined as Adjusted Gross Profit as a percentage of revenue. These are key metrics used by management and our board of directors to assess our operations.</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a reconciliation of Gross Profit to Adjusted Gross Profit and Adjusted Gross Margin for the periods presented:</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6"/>
                <w:szCs w:val="16"/>
                <w:color w:val="auto"/>
              </w:rPr>
            </w:pPr>
          </w:p>
        </w:tc>
        <w:tc>
          <w:tcPr>
            <w:tcW w:w="2440" w:type="dxa"/>
            <w:vAlign w:val="bottom"/>
            <w:gridSpan w:val="6"/>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46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Reported gross profit</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42,770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29,952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81,566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57,451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line="162" w:lineRule="exact"/>
              <w:rPr>
                <w:sz w:val="20"/>
                <w:szCs w:val="20"/>
                <w:color w:val="auto"/>
              </w:rPr>
            </w:pPr>
            <w:r>
              <w:rPr>
                <w:rFonts w:ascii="Arial" w:cs="Arial" w:eastAsia="Arial" w:hAnsi="Arial"/>
                <w:sz w:val="18"/>
                <w:szCs w:val="18"/>
                <w:color w:val="auto"/>
                <w:w w:val="98"/>
              </w:rPr>
              <w:t>Amortization of intangible assets resulting from acquisition-</w:t>
            </w:r>
          </w:p>
        </w:tc>
        <w:tc>
          <w:tcPr>
            <w:tcW w:w="2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5,302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5,042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10,404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related purchase accounting adjustments </w:t>
            </w:r>
            <w:r>
              <w:rPr>
                <w:rFonts w:ascii="Arial" w:cs="Arial" w:eastAsia="Arial" w:hAnsi="Arial"/>
                <w:sz w:val="24"/>
                <w:szCs w:val="24"/>
                <w:color w:val="auto"/>
                <w:vertAlign w:val="superscript"/>
              </w:rPr>
              <w:t>(a)</w:t>
            </w:r>
          </w:p>
        </w:tc>
        <w:tc>
          <w:tcPr>
            <w:tcW w:w="2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Equity compensation costs</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230</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462</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6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Gross Profit</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48,302</w:t>
            </w:r>
          </w:p>
        </w:tc>
        <w:tc>
          <w:tcPr>
            <w:tcW w:w="2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35,010</w:t>
            </w:r>
          </w:p>
        </w:tc>
        <w:tc>
          <w:tcPr>
            <w:tcW w:w="2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92,432</w:t>
            </w:r>
          </w:p>
        </w:tc>
        <w:tc>
          <w:tcPr>
            <w:tcW w:w="22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67,511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54,548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39,821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104,672</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76,757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Gross Margin</w:t>
            </w:r>
          </w:p>
        </w:tc>
        <w:tc>
          <w:tcPr>
            <w:tcW w:w="22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89 %</w:t>
            </w:r>
          </w:p>
        </w:tc>
        <w:tc>
          <w:tcPr>
            <w:tcW w:w="3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88 %</w:t>
            </w:r>
          </w:p>
        </w:tc>
        <w:tc>
          <w:tcPr>
            <w:tcW w:w="26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88 %</w:t>
            </w:r>
          </w:p>
        </w:tc>
        <w:tc>
          <w:tcPr>
            <w:tcW w:w="260" w:type="dxa"/>
            <w:vAlign w:val="bottom"/>
          </w:tcPr>
          <w:p>
            <w:pPr>
              <w:spacing w:after="0"/>
              <w:rPr>
                <w:sz w:val="17"/>
                <w:szCs w:val="17"/>
                <w:color w:val="auto"/>
              </w:rPr>
            </w:pP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-416560</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-416560</wp:posOffset>
            </wp:positionV>
            <wp:extent cx="6032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-416560</wp:posOffset>
            </wp:positionV>
            <wp:extent cx="6032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-416560</wp:posOffset>
            </wp:positionV>
            <wp:extent cx="603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520" w:right="600" w:hanging="512"/>
        <w:spacing w:after="0" w:line="261"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present “Adjusted EBITDA” as a measure of our operating performance. EBITDA is defined as earnings before (i) debt-related costs, including interest expense and loss from extinguishment of debt, (ii) interest income, (iii) provision for taxes, and (iv) depreciation and amortization. Management further adjusts EBITDA in its presentation of Adjusted EBITDA to exclude (i) other (income) expense, (ii) equity-based compensation, (iii) acquisition-related and restructuring expenses and (iv) other non-recurring and one-time expenses. We exclude these items because they are non-cash or non-recurring in nature, and therefore we do not believe them to be representative of ongoing operational performance. Adjusted EBITDA Margin is defined as Adjusted EBITDA as a percentage of revenue. Adjusted EBITDA and Adjusted EBITDA Margin are key metrics used by management and our board of directors to assess the profitability of our operations. We believe these metrics provide useful measures to investors to assess our operating performance and in measuring the profitability of our operations on a consolidated level.</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Net loss to Adjusted EBITDA for the periods presented:</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5"/>
          </w:tcPr>
          <w:p>
            <w:pPr>
              <w:jc w:val="right"/>
              <w:ind w:right="470"/>
              <w:spacing w:after="0"/>
              <w:rPr>
                <w:sz w:val="20"/>
                <w:szCs w:val="20"/>
                <w:color w:val="auto"/>
              </w:rPr>
            </w:pPr>
            <w:r>
              <w:rPr>
                <w:rFonts w:ascii="Arial" w:cs="Arial" w:eastAsia="Arial" w:hAnsi="Arial"/>
                <w:sz w:val="14"/>
                <w:szCs w:val="14"/>
                <w:b w:val="1"/>
                <w:bCs w:val="1"/>
                <w:color w:val="auto"/>
                <w:w w:val="97"/>
              </w:rPr>
              <w:t>Three Months Ended June 30,</w:t>
            </w:r>
          </w:p>
        </w:tc>
        <w:tc>
          <w:tcPr>
            <w:tcW w:w="280" w:type="dxa"/>
            <w:vAlign w:val="bottom"/>
          </w:tcPr>
          <w:p>
            <w:pPr>
              <w:spacing w:after="0"/>
              <w:rPr>
                <w:sz w:val="16"/>
                <w:szCs w:val="16"/>
                <w:color w:val="auto"/>
              </w:rPr>
            </w:pPr>
          </w:p>
        </w:tc>
        <w:tc>
          <w:tcPr>
            <w:tcW w:w="25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(9,579</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(15,039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(22,636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(25,527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2,580</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8,316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4,464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16,770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Income tax benefit</w:t>
            </w:r>
          </w:p>
        </w:tc>
        <w:tc>
          <w:tcPr>
            <w:tcW w:w="2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(213 )</w:t>
            </w: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(126 )</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Depreciation &amp; amortization</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15,774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14,907</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31,026</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29,594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6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EBITDA</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8,562</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8,184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12,728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20,837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23"/>
                <w:szCs w:val="23"/>
                <w:color w:val="auto"/>
                <w:vertAlign w:val="superscript"/>
              </w:rPr>
              <w:t>(a)</w:t>
            </w:r>
          </w:p>
        </w:tc>
        <w:tc>
          <w:tcPr>
            <w:tcW w:w="200" w:type="dxa"/>
            <w:vAlign w:val="bottom"/>
          </w:tcPr>
          <w:p>
            <w:pPr>
              <w:spacing w:after="0"/>
              <w:rPr>
                <w:sz w:val="17"/>
                <w:szCs w:val="17"/>
                <w:color w:val="auto"/>
              </w:rPr>
            </w:pPr>
          </w:p>
        </w:tc>
        <w:tc>
          <w:tcPr>
            <w:tcW w:w="11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(4,002 )</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(3,901 )</w:t>
            </w:r>
          </w:p>
        </w:tc>
        <w:tc>
          <w:tcPr>
            <w:tcW w:w="3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(24 )</w:t>
            </w:r>
          </w:p>
        </w:tc>
        <w:tc>
          <w:tcPr>
            <w:tcW w:w="6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 xml:space="preserve">Equity-based compensation </w:t>
            </w:r>
            <w:r>
              <w:rPr>
                <w:rFonts w:ascii="Arial" w:cs="Arial" w:eastAsia="Arial" w:hAnsi="Arial"/>
                <w:sz w:val="23"/>
                <w:szCs w:val="23"/>
                <w:color w:val="auto"/>
                <w:vertAlign w:val="superscript"/>
              </w:rPr>
              <w:t>(b)</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9,005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15,877</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7"/>
                <w:szCs w:val="17"/>
                <w:color w:val="auto"/>
              </w:rPr>
              <w:t xml:space="preserve">Transaction and restructuring expenses </w:t>
            </w:r>
            <w:r>
              <w:rPr>
                <w:rFonts w:ascii="Arial" w:cs="Arial" w:eastAsia="Arial" w:hAnsi="Arial"/>
                <w:sz w:val="23"/>
                <w:szCs w:val="23"/>
                <w:color w:val="auto"/>
                <w:vertAlign w:val="superscript"/>
              </w:rPr>
              <w:t>(c )</w:t>
            </w:r>
          </w:p>
        </w:tc>
        <w:tc>
          <w:tcPr>
            <w:tcW w:w="2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2,107</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3,431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3,417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3,469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7"/>
                <w:szCs w:val="17"/>
                <w:color w:val="auto"/>
              </w:rPr>
              <w:t xml:space="preserve">Other non-recurring items </w:t>
            </w:r>
            <w:r>
              <w:rPr>
                <w:rFonts w:ascii="Arial" w:cs="Arial" w:eastAsia="Arial" w:hAnsi="Arial"/>
                <w:sz w:val="23"/>
                <w:szCs w:val="23"/>
                <w:color w:val="auto"/>
                <w:vertAlign w:val="superscript"/>
              </w:rPr>
              <w:t>(d)</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595</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1,069</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2,191</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2,164</w:t>
            </w: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64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16,267</w:t>
            </w:r>
          </w:p>
        </w:tc>
        <w:tc>
          <w:tcPr>
            <w:tcW w:w="2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14,399</w:t>
            </w:r>
          </w:p>
        </w:tc>
        <w:tc>
          <w:tcPr>
            <w:tcW w:w="2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30,312</w:t>
            </w:r>
          </w:p>
        </w:tc>
        <w:tc>
          <w:tcPr>
            <w:tcW w:w="200" w:type="dxa"/>
            <w:vAlign w:val="bottom"/>
          </w:tcPr>
          <w:p>
            <w:pPr>
              <w:spacing w:after="0"/>
              <w:rPr>
                <w:sz w:val="17"/>
                <w:szCs w:val="17"/>
                <w:color w:val="auto"/>
              </w:rPr>
            </w:pP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28,467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54,548</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39,821</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104,672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76,757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EBITDA Margin</w:t>
            </w:r>
          </w:p>
        </w:tc>
        <w:tc>
          <w:tcPr>
            <w:tcW w:w="200" w:type="dxa"/>
            <w:vAlign w:val="bottom"/>
          </w:tcPr>
          <w:p>
            <w:pPr>
              <w:spacing w:after="0"/>
              <w:rPr>
                <w:sz w:val="17"/>
                <w:szCs w:val="17"/>
                <w:color w:val="auto"/>
              </w:rPr>
            </w:pPr>
          </w:p>
        </w:tc>
        <w:tc>
          <w:tcPr>
            <w:tcW w:w="114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30 %</w:t>
            </w:r>
          </w:p>
        </w:tc>
        <w:tc>
          <w:tcPr>
            <w:tcW w:w="26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c>
          <w:tcPr>
            <w:tcW w:w="2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c>
          <w:tcPr>
            <w:tcW w:w="300" w:type="dxa"/>
            <w:vAlign w:val="bottom"/>
          </w:tcPr>
          <w:p>
            <w:pPr>
              <w:spacing w:after="0"/>
              <w:rPr>
                <w:sz w:val="17"/>
                <w:szCs w:val="17"/>
                <w:color w:val="auto"/>
              </w:rPr>
            </w:pPr>
          </w:p>
        </w:tc>
        <w:tc>
          <w:tcPr>
            <w:tcW w:w="11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37 %</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-416560</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-416560</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-416560</wp:posOffset>
            </wp:positionV>
            <wp:extent cx="603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-416560</wp:posOffset>
            </wp:positionV>
            <wp:extent cx="6032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Primarily represents foreign exchange and TRA liability remeasurement gains and losses.</w:t>
      </w:r>
    </w:p>
    <w:p>
      <w:pPr>
        <w:spacing w:after="0" w:line="11" w:lineRule="exact"/>
        <w:rPr>
          <w:rFonts w:ascii="Arial" w:cs="Arial" w:eastAsia="Arial" w:hAnsi="Arial"/>
          <w:sz w:val="18"/>
          <w:szCs w:val="18"/>
          <w:color w:val="auto"/>
        </w:rPr>
      </w:pPr>
    </w:p>
    <w:p>
      <w:pPr>
        <w:ind w:left="520" w:right="500" w:hanging="512"/>
        <w:spacing w:after="0" w:line="24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spacing w:after="0" w:line="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52" w:right="419" w:bottom="1440" w:gutter="0" w:footer="0" w:header="0"/>
        </w:sectPr>
      </w:pPr>
    </w:p>
    <w:bookmarkStart w:id="31" w:name="page32"/>
    <w:bookmarkEnd w:id="31"/>
    <w:p>
      <w:pPr>
        <w:ind w:left="520" w:right="140" w:hanging="512"/>
        <w:spacing w:after="0" w:line="25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Transaction expenses primarily represent legal, accounting and consulting expenses and fair value adjustments for contingent consideration related to our acquisitions. Restructuring expenses relate to impairment and restructuring charges related to office relocations.</w:t>
      </w:r>
    </w:p>
    <w:p>
      <w:pPr>
        <w:ind w:left="520" w:right="300" w:hanging="512"/>
        <w:spacing w:after="0" w:line="239"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professional fees related to financing, capital structure changes and other non-recurring set-up costs related to public company operations for the current period, and IPO readiness costs for the prior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08"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Dollar Retention Rate ("NDR")</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evaluate and report on our NDR on an annual basis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Remaining Performance Obligations ("cRPO")</w:t>
      </w:r>
    </w:p>
    <w:p>
      <w:pPr>
        <w:spacing w:after="0" w:line="104"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monitor current remaining performance obligations as a metric to help us evaluate the health of our business and identify trends affecting our growth. cRPO represents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In addition to total contract volume, cRPO is influenced by several factors, including seasonality, disparate contract terms, and the timing of renewals, because renewals tend to be highest in the fourth quarter. Due to these factors, it is important to review cRPO in conjunction with revenue and other financial metrics.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cRPO as of June 30, 2022 and December 31, 2021:</w:t>
      </w:r>
    </w:p>
    <w:p>
      <w:pPr>
        <w:spacing w:after="0" w:line="9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4"/>
                <w:szCs w:val="14"/>
                <w:color w:val="auto"/>
              </w:rPr>
            </w:pPr>
          </w:p>
        </w:tc>
      </w:tr>
      <w:tr>
        <w:trPr>
          <w:trHeight w:val="185"/>
        </w:trPr>
        <w:tc>
          <w:tcPr>
            <w:tcW w:w="70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Current</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163,304</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155,134</w:t>
            </w:r>
          </w:p>
        </w:tc>
        <w:tc>
          <w:tcPr>
            <w:tcW w:w="100" w:type="dxa"/>
            <w:vAlign w:val="bottom"/>
            <w:shd w:val="clear" w:color="auto" w:fill="CFF0FC"/>
          </w:tcPr>
          <w:p>
            <w:pPr>
              <w:spacing w:after="0"/>
              <w:rPr>
                <w:sz w:val="17"/>
                <w:szCs w:val="17"/>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Non-current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93,307</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95,354</w:t>
            </w:r>
          </w:p>
        </w:tc>
        <w:tc>
          <w:tcPr>
            <w:tcW w:w="100" w:type="dxa"/>
            <w:vAlign w:val="bottom"/>
          </w:tcPr>
          <w:p>
            <w:pPr>
              <w:spacing w:after="0"/>
              <w:rPr>
                <w:sz w:val="17"/>
                <w:szCs w:val="17"/>
                <w:color w:val="auto"/>
              </w:rPr>
            </w:pPr>
          </w:p>
        </w:tc>
      </w:tr>
      <w:tr>
        <w:trPr>
          <w:trHeight w:val="236"/>
        </w:trPr>
        <w:tc>
          <w:tcPr>
            <w:tcW w:w="70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256,611</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250,488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-25400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Acquisitions</w:t>
      </w:r>
    </w:p>
    <w:p>
      <w:pPr>
        <w:spacing w:after="0" w:line="10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 xml:space="preserve">We seek to enhance our platform, data and business through internal development and through acquisitions of and investments in businesses that broaden and strengthen our platform. In February 2022, we completed our acquisition of Analytical Wizards, Inc. This acquisition further strengthens our data platform and our business. Acquisitions can result in transaction costs, amortization expenses and other adjustments as purchase accounting requires that all assets acquired and liabilities assumed be recorded at fair value on the acquisition date. Refer to Note 3.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in the notes to our condensed consolidated financial statements included elsewhere in this Form 10-Q for further details.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For the six months ended June 30, 2022, we derived approximately 98%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04"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51"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74" w:lineRule="exact"/>
        <w:rPr>
          <w:sz w:val="20"/>
          <w:szCs w:val="20"/>
          <w:color w:val="auto"/>
        </w:rPr>
      </w:pPr>
    </w:p>
    <w:p>
      <w:pPr>
        <w:ind w:right="80" w:firstLine="509"/>
        <w:spacing w:after="0"/>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primarily consist of personnel costs such as salaries, bonuses, sales commissions,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sales and marketing teams, as well as non-personnel costs including overhead costs, technology and marketing costs. We expect that sales and marketing expenses as a percentage of revenue may increase in 2022, primarily as a result of compensation expense associated with key management-level personnel, partially offset by cost savings resulting from expected operating leverage in the business. We continue to hire additional sales and marketing personnel, enhance our digital marketing infrastructure and invest in marketing programs targeting our major vertical markets.</w:t>
      </w:r>
    </w:p>
    <w:p>
      <w:pPr>
        <w:spacing w:after="0" w:line="81"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i w:val="1"/>
          <w:iCs w:val="1"/>
          <w:color w:val="auto"/>
        </w:rPr>
        <w:t>Product development</w:t>
      </w:r>
      <w:r>
        <w:rPr>
          <w:rFonts w:ascii="Arial" w:cs="Arial" w:eastAsia="Arial" w:hAnsi="Arial"/>
          <w:sz w:val="16"/>
          <w:szCs w:val="16"/>
          <w:color w:val="auto"/>
        </w:rPr>
        <w:t>. Product development expenses primarily consist of personnel costs such as salaries, bonuses, stock-based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5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and other corporate expenses including expenses associated with operating as a public company.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Due primarily to the costs associated with operating as a public company, we expect general and administrative costs as a percentage of revenue to increase in 2022, and then stay consistent or modestly decrease thereafter, as we realize operating leverage in the business.</w:t>
      </w:r>
    </w:p>
    <w:p>
      <w:pPr>
        <w:spacing w:after="0" w:line="5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expenses consist primarily of amortization of customer relationships and trade names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accounting for the Advent Acquisition, as well as depreciation of property and equipment. We anticipate depreciation of property and equipment as a percentage of revenue to moderately decrease, although amortization will increase if we make additional acquisitions in the future.</w:t>
      </w:r>
    </w:p>
    <w:p>
      <w:pPr>
        <w:spacing w:after="0" w:line="80"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i w:val="1"/>
          <w:iCs w:val="1"/>
          <w:color w:val="auto"/>
        </w:rPr>
        <w:t>Transaction and restructuring expenses</w:t>
      </w:r>
      <w:r>
        <w:rPr>
          <w:rFonts w:ascii="Arial" w:cs="Arial" w:eastAsia="Arial" w:hAnsi="Arial"/>
          <w:sz w:val="18"/>
          <w:szCs w:val="18"/>
          <w:color w:val="auto"/>
        </w:rPr>
        <w:t>. Transaction and restructuring expenses are costs directly associated with various acquisition and integration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we have undertaken, primarily accounting and legal due diligence, and consulting and advisory fees as well as expenses related to our office relocations.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net consists primarily of interest expense, net and other income (expense), net.</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consists primarily of interest expense on our debt obligations and the amortization of debt discounts and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less interest income. We expect to realize a reduction in our interest expense during 2022 over prior periods resulting from the repayment of a portion of our outstanding indebtedness with the proceeds from the IPO. We also expect that we will eventually see a reduction in our interest expense resulting from our interest rate swap agreement, though it may increase interest expense in the short-term.</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i w:val="1"/>
          <w:iCs w:val="1"/>
          <w:color w:val="auto"/>
        </w:rPr>
        <w:t xml:space="preserve">Other income (expense), net </w:t>
      </w:r>
      <w:r>
        <w:rPr>
          <w:rFonts w:ascii="Arial" w:cs="Arial" w:eastAsia="Arial" w:hAnsi="Arial"/>
          <w:sz w:val="17"/>
          <w:szCs w:val="17"/>
          <w:color w:val="auto"/>
        </w:rPr>
        <w:t>consists primarily of the revaluation of tax receivable agreement liabilities and realized and unrealized gains and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impact of transactions denominated in a foreign currency. Significant changes in the projected liability resulting from the tax receivable agreement may occur based on changes in anticipated future taxable income, changes in applicable tax rates or other changes in tax attributes that may occur and could affect the expected future tax benefits to be received by us. We do not have significant exposure to foreign exchange volatility and do not anticipate foreign currency transaction gains or losses to materially impact our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our condensed consolidated statements of operations for the periods presented:</w:t>
      </w:r>
    </w:p>
    <w:p>
      <w:pPr>
        <w:spacing w:after="0" w:line="10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280" w:type="dxa"/>
            <w:vAlign w:val="bottom"/>
            <w:gridSpan w:val="6"/>
          </w:tcPr>
          <w:p>
            <w:pPr>
              <w:jc w:val="right"/>
              <w:ind w:right="1230"/>
              <w:spacing w:after="0"/>
              <w:rPr>
                <w:sz w:val="20"/>
                <w:szCs w:val="20"/>
                <w:color w:val="auto"/>
              </w:rPr>
            </w:pPr>
            <w:r>
              <w:rPr>
                <w:rFonts w:ascii="Arial" w:cs="Arial" w:eastAsia="Arial" w:hAnsi="Arial"/>
                <w:sz w:val="14"/>
                <w:szCs w:val="14"/>
                <w:b w:val="1"/>
                <w:bCs w:val="1"/>
                <w:color w:val="auto"/>
                <w:w w:val="97"/>
              </w:rPr>
              <w:t>Three Months Ended June 30,</w:t>
            </w:r>
          </w:p>
        </w:tc>
        <w:tc>
          <w:tcPr>
            <w:tcW w:w="120" w:type="dxa"/>
            <w:vAlign w:val="bottom"/>
          </w:tcPr>
          <w:p>
            <w:pPr>
              <w:spacing w:after="0"/>
              <w:rPr>
                <w:sz w:val="16"/>
                <w:szCs w:val="16"/>
                <w:color w:val="auto"/>
              </w:rPr>
            </w:pPr>
          </w:p>
        </w:tc>
        <w:tc>
          <w:tcPr>
            <w:tcW w:w="1960" w:type="dxa"/>
            <w:vAlign w:val="bottom"/>
            <w:gridSpan w:val="5"/>
          </w:tcPr>
          <w:p>
            <w:pPr>
              <w:jc w:val="right"/>
              <w:ind w:right="17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2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54,548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39,821</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104,672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76,757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revenue exclusive of amortization</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6,198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4,570</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12,148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Amortization</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5,580</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5,299</w:t>
            </w:r>
          </w:p>
        </w:tc>
        <w:tc>
          <w:tcPr>
            <w:tcW w:w="1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10,958</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10,540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11,778</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9,869</w:t>
            </w:r>
          </w:p>
        </w:tc>
        <w:tc>
          <w:tcPr>
            <w:tcW w:w="1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23,106</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19,306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54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42,770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29,952</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81,566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57,451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23,585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12,884</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44,878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Product development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8,706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4,277</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15,556</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9,392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6,375</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19,846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10,194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9,608</w:t>
            </w: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20,068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Transaction and restructuring expenses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3,431</w:t>
            </w:r>
          </w:p>
        </w:tc>
        <w:tc>
          <w:tcPr>
            <w:tcW w:w="1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3,417</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53,984</w:t>
            </w: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36,575</w:t>
            </w:r>
          </w:p>
        </w:tc>
        <w:tc>
          <w:tcPr>
            <w:tcW w:w="1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103,765</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66,232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ind w:left="540"/>
              <w:spacing w:after="0" w:line="196" w:lineRule="exact"/>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7"/>
                <w:szCs w:val="17"/>
                <w:color w:val="auto"/>
              </w:rPr>
            </w:pPr>
          </w:p>
        </w:tc>
        <w:tc>
          <w:tcPr>
            <w:tcW w:w="9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(11,214 )</w:t>
            </w:r>
          </w:p>
        </w:tc>
        <w:tc>
          <w:tcPr>
            <w:tcW w:w="220" w:type="dxa"/>
            <w:vAlign w:val="bottom"/>
          </w:tcPr>
          <w:p>
            <w:pPr>
              <w:spacing w:after="0"/>
              <w:rPr>
                <w:sz w:val="17"/>
                <w:szCs w:val="17"/>
                <w:color w:val="auto"/>
              </w:rPr>
            </w:pPr>
          </w:p>
        </w:tc>
        <w:tc>
          <w:tcPr>
            <w:tcW w:w="1940" w:type="dxa"/>
            <w:vAlign w:val="bottom"/>
            <w:gridSpan w:val="2"/>
          </w:tcPr>
          <w:p>
            <w:pPr>
              <w:jc w:val="right"/>
              <w:ind w:right="1070"/>
              <w:spacing w:after="0" w:line="196" w:lineRule="exact"/>
              <w:rPr>
                <w:sz w:val="20"/>
                <w:szCs w:val="20"/>
                <w:color w:val="auto"/>
              </w:rPr>
            </w:pPr>
            <w:r>
              <w:rPr>
                <w:rFonts w:ascii="Arial" w:cs="Arial" w:eastAsia="Arial" w:hAnsi="Arial"/>
                <w:sz w:val="18"/>
                <w:szCs w:val="18"/>
                <w:color w:val="auto"/>
              </w:rPr>
              <w:t>(6,623 )</w:t>
            </w:r>
          </w:p>
        </w:tc>
        <w:tc>
          <w:tcPr>
            <w:tcW w:w="120" w:type="dxa"/>
            <w:vAlign w:val="bottom"/>
          </w:tcPr>
          <w:p>
            <w:pPr>
              <w:spacing w:after="0"/>
              <w:rPr>
                <w:sz w:val="17"/>
                <w:szCs w:val="17"/>
                <w:color w:val="auto"/>
              </w:rPr>
            </w:pPr>
          </w:p>
        </w:tc>
        <w:tc>
          <w:tcPr>
            <w:tcW w:w="9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(22,199 )</w:t>
            </w:r>
          </w:p>
        </w:tc>
        <w:tc>
          <w:tcPr>
            <w:tcW w:w="22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(8,781 )</w:t>
            </w: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4,002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1070"/>
              <w:spacing w:after="0" w:line="20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3,901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(2,580 )</w:t>
            </w:r>
          </w:p>
        </w:tc>
        <w:tc>
          <w:tcPr>
            <w:tcW w:w="2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jc w:val="right"/>
              <w:ind w:right="1070"/>
              <w:spacing w:after="0" w:line="202" w:lineRule="exact"/>
              <w:rPr>
                <w:sz w:val="20"/>
                <w:szCs w:val="20"/>
                <w:color w:val="auto"/>
              </w:rPr>
            </w:pPr>
            <w:r>
              <w:rPr>
                <w:rFonts w:ascii="Arial" w:cs="Arial" w:eastAsia="Arial" w:hAnsi="Arial"/>
                <w:sz w:val="18"/>
                <w:szCs w:val="18"/>
                <w:color w:val="auto"/>
              </w:rPr>
              <w:t>(8,316 )</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(4,464 )</w:t>
            </w:r>
          </w:p>
        </w:tc>
        <w:tc>
          <w:tcPr>
            <w:tcW w:w="22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(16,770 )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ind w:left="360"/>
              <w:spacing w:after="0" w:line="196" w:lineRule="exact"/>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1070"/>
              <w:spacing w:after="0" w:line="196" w:lineRule="exact"/>
              <w:rPr>
                <w:sz w:val="20"/>
                <w:szCs w:val="20"/>
                <w:color w:val="auto"/>
              </w:rPr>
            </w:pPr>
            <w:r>
              <w:rPr>
                <w:rFonts w:ascii="Arial" w:cs="Arial" w:eastAsia="Arial" w:hAnsi="Arial"/>
                <w:sz w:val="18"/>
                <w:szCs w:val="18"/>
                <w:color w:val="auto"/>
              </w:rPr>
              <w:t>(8,416 )</w:t>
            </w:r>
          </w:p>
        </w:tc>
        <w:tc>
          <w:tcPr>
            <w:tcW w:w="120" w:type="dxa"/>
            <w:vAlign w:val="bottom"/>
          </w:tcPr>
          <w:p>
            <w:pPr>
              <w:spacing w:after="0"/>
              <w:rPr>
                <w:sz w:val="17"/>
                <w:szCs w:val="17"/>
                <w:color w:val="auto"/>
              </w:rPr>
            </w:pPr>
          </w:p>
        </w:tc>
        <w:tc>
          <w:tcPr>
            <w:tcW w:w="9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(563 )</w:t>
            </w:r>
          </w:p>
        </w:tc>
        <w:tc>
          <w:tcPr>
            <w:tcW w:w="22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(16,746 )</w:t>
            </w:r>
          </w:p>
        </w:tc>
        <w:tc>
          <w:tcPr>
            <w:tcW w:w="0" w:type="dxa"/>
            <w:vAlign w:val="bottom"/>
          </w:tcPr>
          <w:p>
            <w:pPr>
              <w:spacing w:after="0"/>
              <w:rPr>
                <w:sz w:val="1"/>
                <w:szCs w:val="1"/>
                <w:color w:val="auto"/>
              </w:rPr>
            </w:pPr>
          </w:p>
        </w:tc>
      </w:tr>
      <w:tr>
        <w:trPr>
          <w:trHeight w:val="196"/>
        </w:trPr>
        <w:tc>
          <w:tcPr>
            <w:tcW w:w="4740" w:type="dxa"/>
            <w:vAlign w:val="bottom"/>
            <w:shd w:val="clear" w:color="auto" w:fill="CFF0FC"/>
          </w:tcPr>
          <w:p>
            <w:pPr>
              <w:ind w:left="540"/>
              <w:spacing w:after="0" w:line="196" w:lineRule="exact"/>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(9,792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(15,039</w:t>
            </w:r>
          </w:p>
        </w:tc>
        <w:tc>
          <w:tcPr>
            <w:tcW w:w="1240" w:type="dxa"/>
            <w:vAlign w:val="bottom"/>
            <w:shd w:val="clear" w:color="auto" w:fill="CFF0FC"/>
          </w:tcPr>
          <w:p>
            <w:pPr>
              <w:jc w:val="right"/>
              <w:ind w:right="10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(22,762</w:t>
            </w:r>
          </w:p>
        </w:tc>
        <w:tc>
          <w:tcPr>
            <w:tcW w:w="2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(25,527</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740" w:type="dxa"/>
            <w:vAlign w:val="bottom"/>
          </w:tcPr>
          <w:p>
            <w:pPr>
              <w:ind w:left="360"/>
              <w:spacing w:after="0" w:line="202" w:lineRule="exact"/>
              <w:rPr>
                <w:sz w:val="20"/>
                <w:szCs w:val="20"/>
                <w:color w:val="auto"/>
              </w:rPr>
            </w:pPr>
            <w:r>
              <w:rPr>
                <w:rFonts w:ascii="Arial" w:cs="Arial" w:eastAsia="Arial" w:hAnsi="Arial"/>
                <w:sz w:val="18"/>
                <w:szCs w:val="18"/>
                <w:color w:val="auto"/>
              </w:rPr>
              <w:t>Income tax benefit</w:t>
            </w:r>
          </w:p>
        </w:tc>
        <w:tc>
          <w:tcPr>
            <w:tcW w:w="2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115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CFF0FC"/>
            </w:tcBorders>
            <w:shd w:val="clear" w:color="auto" w:fill="CFF0FC"/>
          </w:tcPr>
          <w:p>
            <w:pPr>
              <w:ind w:left="540"/>
              <w:spacing w:after="0" w:line="196" w:lineRule="exact"/>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(9,579</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(15,039</w:t>
            </w:r>
          </w:p>
        </w:tc>
        <w:tc>
          <w:tcPr>
            <w:tcW w:w="1240" w:type="dxa"/>
            <w:vAlign w:val="bottom"/>
            <w:tcBorders>
              <w:bottom w:val="single" w:sz="8" w:color="CFF0FC"/>
            </w:tcBorders>
            <w:shd w:val="clear" w:color="auto" w:fill="CFF0FC"/>
          </w:tcPr>
          <w:p>
            <w:pPr>
              <w:jc w:val="right"/>
              <w:ind w:right="1070"/>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(22,636</w:t>
            </w:r>
          </w:p>
        </w:tc>
        <w:tc>
          <w:tcPr>
            <w:tcW w:w="20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(25,527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55"/>
        </w:trPr>
        <w:tc>
          <w:tcPr>
            <w:tcW w:w="4740" w:type="dxa"/>
            <w:vAlign w:val="bottom"/>
          </w:tcPr>
          <w:p>
            <w:pPr>
              <w:ind w:left="180"/>
              <w:spacing w:after="0" w:line="156" w:lineRule="exact"/>
              <w:rPr>
                <w:sz w:val="20"/>
                <w:szCs w:val="20"/>
                <w:color w:val="auto"/>
              </w:rPr>
            </w:pPr>
            <w:r>
              <w:rPr>
                <w:rFonts w:ascii="Arial" w:cs="Arial" w:eastAsia="Arial" w:hAnsi="Arial"/>
                <w:sz w:val="18"/>
                <w:szCs w:val="18"/>
                <w:color w:val="auto"/>
              </w:rPr>
              <w:t>Less: Net loss attributable to Definitive</w:t>
            </w: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2"/>
            <w:vMerge w:val="restart"/>
          </w:tcPr>
          <w:p>
            <w:pPr>
              <w:jc w:val="right"/>
              <w:ind w:right="1070"/>
              <w:spacing w:after="0"/>
              <w:rPr>
                <w:sz w:val="20"/>
                <w:szCs w:val="20"/>
                <w:color w:val="auto"/>
              </w:rPr>
            </w:pPr>
            <w:r>
              <w:rPr>
                <w:rFonts w:ascii="Arial" w:cs="Arial" w:eastAsia="Arial" w:hAnsi="Arial"/>
                <w:sz w:val="18"/>
                <w:szCs w:val="18"/>
                <w:color w:val="auto"/>
              </w:rPr>
              <w:t>(15,039 )</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(25,527 )</w:t>
            </w:r>
          </w:p>
        </w:tc>
        <w:tc>
          <w:tcPr>
            <w:tcW w:w="0" w:type="dxa"/>
            <w:vAlign w:val="bottom"/>
          </w:tcPr>
          <w:p>
            <w:pPr>
              <w:spacing w:after="0"/>
              <w:rPr>
                <w:sz w:val="1"/>
                <w:szCs w:val="1"/>
                <w:color w:val="auto"/>
              </w:rPr>
            </w:pPr>
          </w:p>
        </w:tc>
      </w:tr>
      <w:tr>
        <w:trPr>
          <w:trHeight w:val="175"/>
        </w:trPr>
        <w:tc>
          <w:tcPr>
            <w:tcW w:w="4740" w:type="dxa"/>
            <w:vAlign w:val="bottom"/>
          </w:tcPr>
          <w:p>
            <w:pPr>
              <w:ind w:left="180"/>
              <w:spacing w:after="0" w:line="176" w:lineRule="exact"/>
              <w:rPr>
                <w:sz w:val="20"/>
                <w:szCs w:val="20"/>
                <w:color w:val="auto"/>
              </w:rPr>
            </w:pPr>
            <w:r>
              <w:rPr>
                <w:rFonts w:ascii="Arial" w:cs="Arial" w:eastAsia="Arial" w:hAnsi="Arial"/>
                <w:sz w:val="18"/>
                <w:szCs w:val="18"/>
                <w:color w:val="auto"/>
              </w:rPr>
              <w:t>OpCo prior to the Reorganization</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Transactions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4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Less: Net loss attributable to noncontrolling</w:t>
            </w:r>
          </w:p>
        </w:tc>
        <w:tc>
          <w:tcPr>
            <w:tcW w:w="200" w:type="dxa"/>
            <w:vAlign w:val="bottom"/>
            <w:shd w:val="clear" w:color="auto" w:fill="CFF0FC"/>
          </w:tcPr>
          <w:p>
            <w:pPr>
              <w:spacing w:after="0"/>
              <w:rPr>
                <w:sz w:val="14"/>
                <w:szCs w:val="14"/>
                <w:color w:val="auto"/>
              </w:rPr>
            </w:pPr>
          </w:p>
        </w:tc>
        <w:tc>
          <w:tcPr>
            <w:tcW w:w="920" w:type="dxa"/>
            <w:vAlign w:val="bottom"/>
            <w:gridSpan w:val="2"/>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(4,429 )</w:t>
            </w:r>
          </w:p>
        </w:tc>
        <w:tc>
          <w:tcPr>
            <w:tcW w:w="22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(8,862 )</w:t>
            </w:r>
          </w:p>
        </w:tc>
        <w:tc>
          <w:tcPr>
            <w:tcW w:w="2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vMerge w:val="restart"/>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interests</w:t>
            </w:r>
          </w:p>
        </w:tc>
        <w:tc>
          <w:tcPr>
            <w:tcW w:w="200" w:type="dxa"/>
            <w:vAlign w:val="bottom"/>
            <w:shd w:val="clear" w:color="auto" w:fill="CFF0FC"/>
          </w:tcPr>
          <w:p>
            <w:pPr>
              <w:spacing w:after="0"/>
              <w:rPr>
                <w:sz w:val="11"/>
                <w:szCs w:val="11"/>
                <w:color w:val="auto"/>
              </w:rPr>
            </w:pPr>
          </w:p>
        </w:tc>
        <w:tc>
          <w:tcPr>
            <w:tcW w:w="92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00" w:type="dxa"/>
            <w:vAlign w:val="bottom"/>
            <w:vMerge w:val="continue"/>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vMerge w:val="continue"/>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740" w:type="dxa"/>
            <w:vAlign w:val="bottom"/>
            <w:tcBorders>
              <w:bottom w:val="single" w:sz="8" w:color="CFF0FC"/>
            </w:tcBorders>
            <w:vMerge w:val="continue"/>
            <w:shd w:val="clear" w:color="auto" w:fill="CFF0FC"/>
          </w:tcPr>
          <w:p>
            <w:pPr>
              <w:spacing w:after="0"/>
              <w:rPr>
                <w:sz w:val="5"/>
                <w:szCs w:val="5"/>
                <w:color w:val="auto"/>
              </w:rPr>
            </w:pPr>
          </w:p>
        </w:tc>
        <w:tc>
          <w:tcPr>
            <w:tcW w:w="200" w:type="dxa"/>
            <w:vAlign w:val="bottom"/>
            <w:tcBorders>
              <w:bottom w:val="single" w:sz="8" w:color="auto"/>
            </w:tcBorders>
            <w:shd w:val="clear" w:color="auto" w:fill="CFF0FC"/>
          </w:tcPr>
          <w:p>
            <w:pPr>
              <w:spacing w:after="0"/>
              <w:rPr>
                <w:sz w:val="5"/>
                <w:szCs w:val="5"/>
                <w:color w:val="auto"/>
              </w:rPr>
            </w:pPr>
          </w:p>
        </w:tc>
        <w:tc>
          <w:tcPr>
            <w:tcW w:w="700" w:type="dxa"/>
            <w:vAlign w:val="bottom"/>
            <w:tcBorders>
              <w:bottom w:val="single" w:sz="8" w:color="auto"/>
            </w:tcBorders>
            <w:shd w:val="clear" w:color="auto" w:fill="CFF0FC"/>
          </w:tcPr>
          <w:p>
            <w:pPr>
              <w:spacing w:after="0"/>
              <w:rPr>
                <w:sz w:val="5"/>
                <w:szCs w:val="5"/>
                <w:color w:val="auto"/>
              </w:rPr>
            </w:pPr>
          </w:p>
        </w:tc>
        <w:tc>
          <w:tcPr>
            <w:tcW w:w="220" w:type="dxa"/>
            <w:vAlign w:val="bottom"/>
            <w:tcBorders>
              <w:bottom w:val="single" w:sz="8" w:color="CFF0FC"/>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700" w:type="dxa"/>
            <w:vAlign w:val="bottom"/>
            <w:tcBorders>
              <w:bottom w:val="single" w:sz="8" w:color="auto"/>
            </w:tcBorders>
            <w:shd w:val="clear" w:color="auto" w:fill="CFF0FC"/>
          </w:tcPr>
          <w:p>
            <w:pPr>
              <w:spacing w:after="0"/>
              <w:rPr>
                <w:sz w:val="5"/>
                <w:szCs w:val="5"/>
                <w:color w:val="auto"/>
              </w:rPr>
            </w:pPr>
          </w:p>
        </w:tc>
        <w:tc>
          <w:tcPr>
            <w:tcW w:w="1240" w:type="dxa"/>
            <w:vAlign w:val="bottom"/>
            <w:tcBorders>
              <w:bottom w:val="single" w:sz="8" w:color="CFF0FC"/>
            </w:tcBorders>
            <w:shd w:val="clear" w:color="auto" w:fill="CFF0FC"/>
          </w:tcPr>
          <w:p>
            <w:pPr>
              <w:spacing w:after="0"/>
              <w:rPr>
                <w:sz w:val="5"/>
                <w:szCs w:val="5"/>
                <w:color w:val="auto"/>
              </w:rPr>
            </w:pPr>
          </w:p>
        </w:tc>
        <w:tc>
          <w:tcPr>
            <w:tcW w:w="120" w:type="dxa"/>
            <w:vAlign w:val="bottom"/>
            <w:tcBorders>
              <w:bottom w:val="single" w:sz="8" w:color="auto"/>
            </w:tcBorders>
            <w:shd w:val="clear" w:color="auto" w:fill="CFF0FC"/>
          </w:tcPr>
          <w:p>
            <w:pPr>
              <w:spacing w:after="0"/>
              <w:rPr>
                <w:sz w:val="5"/>
                <w:szCs w:val="5"/>
                <w:color w:val="auto"/>
              </w:rPr>
            </w:pPr>
          </w:p>
        </w:tc>
        <w:tc>
          <w:tcPr>
            <w:tcW w:w="760" w:type="dxa"/>
            <w:vAlign w:val="bottom"/>
            <w:tcBorders>
              <w:bottom w:val="single" w:sz="8" w:color="auto"/>
            </w:tcBorders>
            <w:shd w:val="clear" w:color="auto" w:fill="CFF0FC"/>
          </w:tcPr>
          <w:p>
            <w:pPr>
              <w:spacing w:after="0"/>
              <w:rPr>
                <w:sz w:val="5"/>
                <w:szCs w:val="5"/>
                <w:color w:val="auto"/>
              </w:rPr>
            </w:pPr>
          </w:p>
        </w:tc>
        <w:tc>
          <w:tcPr>
            <w:tcW w:w="200" w:type="dxa"/>
            <w:vAlign w:val="bottom"/>
            <w:tcBorders>
              <w:bottom w:val="single" w:sz="8" w:color="CFF0FC"/>
            </w:tcBorders>
            <w:shd w:val="clear" w:color="auto" w:fill="CFF0FC"/>
          </w:tcPr>
          <w:p>
            <w:pPr>
              <w:spacing w:after="0"/>
              <w:rPr>
                <w:sz w:val="5"/>
                <w:szCs w:val="5"/>
                <w:color w:val="auto"/>
              </w:rPr>
            </w:pPr>
          </w:p>
        </w:tc>
        <w:tc>
          <w:tcPr>
            <w:tcW w:w="220" w:type="dxa"/>
            <w:vAlign w:val="bottom"/>
            <w:tcBorders>
              <w:bottom w:val="single" w:sz="8" w:color="auto"/>
            </w:tcBorders>
            <w:shd w:val="clear" w:color="auto" w:fill="CFF0FC"/>
          </w:tcPr>
          <w:p>
            <w:pPr>
              <w:spacing w:after="0"/>
              <w:rPr>
                <w:sz w:val="5"/>
                <w:szCs w:val="5"/>
                <w:color w:val="auto"/>
              </w:rPr>
            </w:pPr>
          </w:p>
        </w:tc>
        <w:tc>
          <w:tcPr>
            <w:tcW w:w="680" w:type="dxa"/>
            <w:vAlign w:val="bottom"/>
            <w:tcBorders>
              <w:bottom w:val="single" w:sz="8" w:color="auto"/>
            </w:tcBorders>
            <w:shd w:val="clear" w:color="auto" w:fill="CFF0FC"/>
          </w:tcPr>
          <w:p>
            <w:pPr>
              <w:spacing w:after="0"/>
              <w:rPr>
                <w:sz w:val="5"/>
                <w:szCs w:val="5"/>
                <w:color w:val="auto"/>
              </w:rPr>
            </w:pPr>
          </w:p>
        </w:tc>
        <w:tc>
          <w:tcPr>
            <w:tcW w:w="100" w:type="dxa"/>
            <w:vAlign w:val="bottom"/>
            <w:tcBorders>
              <w:bottom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740" w:type="dxa"/>
            <w:vAlign w:val="bottom"/>
          </w:tcPr>
          <w:p>
            <w:pPr>
              <w:ind w:left="540"/>
              <w:spacing w:after="0" w:line="156" w:lineRule="exact"/>
              <w:rPr>
                <w:sz w:val="20"/>
                <w:szCs w:val="20"/>
                <w:color w:val="auto"/>
              </w:rPr>
            </w:pPr>
            <w:r>
              <w:rPr>
                <w:rFonts w:ascii="Arial" w:cs="Arial" w:eastAsia="Arial" w:hAnsi="Arial"/>
                <w:sz w:val="18"/>
                <w:szCs w:val="18"/>
                <w:color w:val="auto"/>
              </w:rPr>
              <w:t>Net loss attributable to Definitive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(5,150 )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(13,774 )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740" w:type="dxa"/>
            <w:vAlign w:val="bottom"/>
            <w:vMerge w:val="restart"/>
          </w:tcPr>
          <w:p>
            <w:pPr>
              <w:ind w:left="540"/>
              <w:spacing w:after="0" w:line="156" w:lineRule="exact"/>
              <w:rPr>
                <w:sz w:val="20"/>
                <w:szCs w:val="20"/>
                <w:color w:val="auto"/>
              </w:rPr>
            </w:pPr>
            <w:r>
              <w:rPr>
                <w:rFonts w:ascii="Arial" w:cs="Arial" w:eastAsia="Arial" w:hAnsi="Arial"/>
                <w:sz w:val="18"/>
                <w:szCs w:val="18"/>
                <w:color w:val="auto"/>
              </w:rPr>
              <w:t>Healthcare Corp.</w:t>
            </w:r>
          </w:p>
        </w:tc>
        <w:tc>
          <w:tcPr>
            <w:tcW w:w="200" w:type="dxa"/>
            <w:vAlign w:val="bottom"/>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740" w:type="dxa"/>
            <w:vAlign w:val="bottom"/>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-2945130</wp:posOffset>
            </wp:positionV>
            <wp:extent cx="6858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-2945130</wp:posOffset>
            </wp:positionV>
            <wp:extent cx="6032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-2945130</wp:posOffset>
            </wp:positionV>
            <wp:extent cx="6032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-2945130</wp:posOffset>
            </wp:positionV>
            <wp:extent cx="603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-1899285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-1899285</wp:posOffset>
            </wp:positionV>
            <wp:extent cx="6032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-1899285</wp:posOffset>
            </wp:positionV>
            <wp:extent cx="6032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-1899285</wp:posOffset>
            </wp:positionV>
            <wp:extent cx="6032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-1376680</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-1376680</wp:posOffset>
            </wp:positionV>
            <wp:extent cx="6032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-1376680</wp:posOffset>
            </wp:positionV>
            <wp:extent cx="6032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-1376680</wp:posOffset>
            </wp:positionV>
            <wp:extent cx="6032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-836295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-836295</wp:posOffset>
            </wp:positionV>
            <wp:extent cx="6032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-836295</wp:posOffset>
            </wp:positionV>
            <wp:extent cx="6032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-836295</wp:posOffset>
            </wp:positionV>
            <wp:extent cx="6032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-245110</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-245110</wp:posOffset>
            </wp:positionV>
            <wp:extent cx="6032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-245110</wp:posOffset>
            </wp:positionV>
            <wp:extent cx="60325"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-245110</wp:posOffset>
            </wp:positionV>
            <wp:extent cx="6032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to Three Months Ended June 30, 2021</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Revenue increased $14.7 million, or 37%, in the three months ended June 30, 2022 compared with the same period in the prior year, driven by higher subscription revenue of $14.1 million. This increase was primarily due to net expansion with existing customers, as well as organic addition of new customers, and the addition of new customers resulting from the acquisition of Analytical Wizards.</w:t>
      </w:r>
    </w:p>
    <w:p>
      <w:pPr>
        <w:spacing w:after="0" w:line="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Cost of revenue increased $1.9 million, or 19%, in the three months ended June 30, 2022 compared with the same period in the prior year, primarily due to increased hosting fees, increases in employee benefit and insurance costs and, to a lesser extent, incremental personnel costs resulting from the acquisition of Analytical Wizards.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expenses increased $17.4 million, or 48%, during the three months ended June 30, 2022 compared with the same period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w:t>
      </w:r>
    </w:p>
    <w:p>
      <w:pPr>
        <w:spacing w:after="0" w:line="88" w:lineRule="exact"/>
        <w:rPr>
          <w:sz w:val="20"/>
          <w:szCs w:val="20"/>
          <w:color w:val="auto"/>
        </w:rPr>
      </w:pPr>
    </w:p>
    <w:p>
      <w:pPr>
        <w:ind w:left="1020" w:hanging="503"/>
        <w:spacing w:after="0" w:line="32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sales and marketing expense of $10.7 million for the three months ended June 30, 2022, due primarily to increased personnel costs resulting from additional hiring, as well as increases in stock-based compensation expense and in employee benefit and insurance costs;</w:t>
      </w:r>
    </w:p>
    <w:p>
      <w:pPr>
        <w:spacing w:after="0" w:line="16" w:lineRule="exact"/>
        <w:rPr>
          <w:rFonts w:ascii="Arial" w:cs="Arial" w:eastAsia="Arial" w:hAnsi="Arial"/>
          <w:sz w:val="16"/>
          <w:szCs w:val="16"/>
          <w:color w:val="auto"/>
        </w:rPr>
      </w:pPr>
    </w:p>
    <w:p>
      <w:pPr>
        <w:ind w:left="1020" w:right="80" w:hanging="503"/>
        <w:spacing w:after="0" w:line="32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product development expense of $4.4 million for the three months ended June 30, 2022, due primarily to increased personnel costs resulting from additional hiring and increases in stock-based compensation expense and in employee benefit and insurance costs;</w:t>
      </w:r>
    </w:p>
    <w:p>
      <w:pPr>
        <w:spacing w:after="0" w:line="16" w:lineRule="exact"/>
        <w:rPr>
          <w:rFonts w:ascii="Arial" w:cs="Arial" w:eastAsia="Arial" w:hAnsi="Arial"/>
          <w:sz w:val="16"/>
          <w:szCs w:val="16"/>
          <w:color w:val="auto"/>
        </w:rPr>
      </w:pPr>
    </w:p>
    <w:p>
      <w:pPr>
        <w:ind w:left="1020" w:right="240" w:hanging="503"/>
        <w:spacing w:after="0" w:line="294"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general and administrative expense of $3.0 million for the three months ended June 30, 2022, due primarily to increased personnel costs arising from additional hiring and increases in employee benefit and insurance costs, as well as increases in stock-based compensation expense and additional accounting and legal expenses resulting from the transition to becoming a publicly traded company;</w:t>
      </w:r>
    </w:p>
    <w:p>
      <w:pPr>
        <w:spacing w:after="0" w:line="39"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This increase was partially offset by a decrease in transaction and restructuring expenses of $1.3 million for the three months ended June 30, 2022, due primarily to contingent consideration related to the Monocl acquisition recognized during the second quarter of 2021, partially offset by costs recognized during the second quarter of 2022 from the acquisition of Analytical Wizards and the restructuring costs.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Other expense, net decreased $9.8 million, or 117%, for the three months ended June 30, 2022 compared with the same period in the prior year. This was primarily due to a decrease in interest expense, net for the three months ended June 30, 2022, attributable to lower outstanding debt in 2022, as well as lower interest rates resulting from the refinancing of the Company’s debt in September of 2021, and to a lesser extent a TRA remeasurement gain of $3.4 million and realized and unrealized foreign exchange gains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w:t>
      </w:r>
    </w:p>
    <w:p>
      <w:pPr>
        <w:spacing w:after="0" w:line="10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Revenue increased $27.9 million, or 36%, in the six months ended June 30, 2022 compared with the same period in the prior year, driven by higher subscription revenue of $27.2 million. This increase was primarily due to net expansion with existing customers, as well as organic addition of new customers, and the addition of new customers resulting from the acquisition of Analytical Wizards.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Cost of Revenue</w:t>
      </w:r>
    </w:p>
    <w:p>
      <w:pPr>
        <w:spacing w:after="0" w:line="108"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Cost of revenue increased $3.8 million, or 20%, in the six months ended June 30, 2022 compared with the same period in the prior year, primarily due to increased hosting fees, increases in employee benefit and insurance costs and, to a lesser extent, incremental personnel costs resulting from the acquisition of Analytical Wizards.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Operating expenses increased $37.5 million, or 57%, during the six months ended June 30, 2022 compared with the same period in the prior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w:t>
      </w:r>
    </w:p>
    <w:p>
      <w:pPr>
        <w:spacing w:after="0" w:line="88" w:lineRule="exact"/>
        <w:rPr>
          <w:sz w:val="20"/>
          <w:szCs w:val="20"/>
          <w:color w:val="auto"/>
        </w:rPr>
      </w:pPr>
    </w:p>
    <w:p>
      <w:pPr>
        <w:ind w:left="1020" w:hanging="503"/>
        <w:spacing w:after="0" w:line="32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sales and marketing expense of $20.3 million for the six months ended June 30, 2022, due primarily to increased personnel costs resulting from additional hiring, as well as increases in stock-based compensation expense and in employee benefit and insurance costs;</w:t>
      </w:r>
    </w:p>
    <w:p>
      <w:pPr>
        <w:spacing w:after="0" w:line="16" w:lineRule="exact"/>
        <w:rPr>
          <w:rFonts w:ascii="Arial" w:cs="Arial" w:eastAsia="Arial" w:hAnsi="Arial"/>
          <w:sz w:val="16"/>
          <w:szCs w:val="16"/>
          <w:color w:val="auto"/>
        </w:rPr>
      </w:pPr>
    </w:p>
    <w:p>
      <w:pPr>
        <w:ind w:left="1020" w:hanging="503"/>
        <w:spacing w:after="0" w:line="324"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in product development expense of $7.5 million for the six months ended June 30, 2022, due primarily to increased personnel costs resulting from additional hiring, as well as increases in stock-based compensation expense and in employee benefit and insurance costs;</w:t>
      </w:r>
    </w:p>
    <w:p>
      <w:pPr>
        <w:spacing w:after="0" w:line="16" w:lineRule="exact"/>
        <w:rPr>
          <w:rFonts w:ascii="Arial" w:cs="Arial" w:eastAsia="Arial" w:hAnsi="Arial"/>
          <w:sz w:val="16"/>
          <w:szCs w:val="16"/>
          <w:color w:val="auto"/>
        </w:rPr>
      </w:pPr>
    </w:p>
    <w:p>
      <w:pPr>
        <w:ind w:left="1020" w:right="600" w:hanging="503"/>
        <w:spacing w:after="0" w:line="291" w:lineRule="auto"/>
        <w:tabs>
          <w:tab w:leader="none" w:pos="10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$8.8 million for the six months ended June 30, 2022, due primarily to increased personnel costs arising from additional hiring and increases in employee benefit and insurance costs, as well</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35" w:name="page36"/>
    <w:bookmarkEnd w:id="35"/>
    <w:p>
      <w:pPr>
        <w:ind w:left="1020" w:right="200"/>
        <w:spacing w:after="0" w:line="261" w:lineRule="auto"/>
        <w:rPr>
          <w:sz w:val="20"/>
          <w:szCs w:val="20"/>
          <w:color w:val="auto"/>
        </w:rPr>
      </w:pPr>
      <w:r>
        <w:rPr>
          <w:rFonts w:ascii="Arial" w:cs="Arial" w:eastAsia="Arial" w:hAnsi="Arial"/>
          <w:sz w:val="18"/>
          <w:szCs w:val="18"/>
          <w:color w:val="auto"/>
        </w:rPr>
        <w:t>as increases in stock-based compensation expense and additional accounting and legal expenses resulting from the transition to becoming a publicly traded company;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Expense, Net</w:t>
      </w:r>
    </w:p>
    <w:p>
      <w:pPr>
        <w:spacing w:after="0" w:line="108"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Other expense, net decreased $16.2 million, or 97%, for the six months ended June 30, 2022 compared with the same period in the prior year, due to a decrease in interest expense, net for the six months ended June 30, 2022, attributable to lower outstanding debt in 2022, as well as lower interest rates resulting from the refinancing of the Company’s debt in September of 2021, and to a lesser extent a TRA remeasurement gain of $3.1 million and realized and unrealized foreign exchange gains in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auto"/>
        </w:rPr>
        <w:t>As of June 30, 2022, we had $228.2 million of cash and cash equivalents, $118.2 million of short-term investments and $75.0 million available under our revolving credit facility. Our principal sources of liquidity are cash and cash equivalents and short-term investments on hand, primarily from our IPO and follow-on offerings, as well as the cash flows we generate from operations. Our principal uses of liquidity have been primarily for investment in long-term growth of the business through capital expenditures and acquisitions, as well as debt services and distributions to members of Definitive OpCo.</w:t>
      </w:r>
    </w:p>
    <w:p>
      <w:pPr>
        <w:spacing w:after="0" w:line="47"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auto"/>
        </w:rPr>
        <w:t>All of our business is conducted through Definitive OpCo and its consolidated subsidiaries and affiliates, and the financial results are included in the condensed consolidated financial statements of Definitive Healthcare Corp. Definitive Healthcare Corp. has no independent means of generating revenue. The Amended LLC Agreement provides that certain distributions will be made to cover Definitive Healthcare Corp.'s taxes and such tax distributions are also expected to be used by Definitive Healthcare Corp. to satisfy its obligations under the TRA.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2021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w:t>
      </w:r>
    </w:p>
    <w:p>
      <w:pPr>
        <w:spacing w:after="0" w:line="5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We believe that our cash flow from operations, availability under the 2021 Credit Agreement and available cash and cash equivalents and short-term investments will be sufficient to meet our liquidity needs for at least the next twelve months. We anticipate that to the extent that we require additional liquidity, it will be funded through the incurrence of additional indebtedness, the issuance of additional equity, or a combination thereof. We cannot provide assurance that we will be able to obtain this additional liquidity on reasonable terms, or at all.</w:t>
      </w:r>
    </w:p>
    <w:p>
      <w:pPr>
        <w:spacing w:after="0" w:line="80"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auto"/>
        </w:rPr>
        <w:t>Additionally, our liquidity and our ability to meet our obligations and fund our capital requirements are also dependent on our future financial performance, which is subject to general economic, financial and other factors that are beyond our control. See “Risk Factors” in our 2021 Form 10-K. Accordingly, we cannot provide assurance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96"/>
        </w:trPr>
        <w:tc>
          <w:tcPr>
            <w:tcW w:w="580" w:type="dxa"/>
            <w:vAlign w:val="bottom"/>
          </w:tcPr>
          <w:p>
            <w:pPr>
              <w:spacing w:after="0"/>
              <w:rPr>
                <w:sz w:val="17"/>
                <w:szCs w:val="17"/>
                <w:color w:val="auto"/>
              </w:rPr>
            </w:pPr>
          </w:p>
        </w:tc>
        <w:tc>
          <w:tcPr>
            <w:tcW w:w="69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provided by (used in):</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80" w:type="dxa"/>
            <w:vAlign w:val="bottom"/>
          </w:tcPr>
          <w:p>
            <w:pPr>
              <w:ind w:left="360"/>
              <w:spacing w:after="0" w:line="202" w:lineRule="exact"/>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29,114</w:t>
            </w:r>
          </w:p>
        </w:tc>
        <w:tc>
          <w:tcPr>
            <w:tcW w:w="26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21,941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8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(177,033 )</w:t>
            </w:r>
          </w:p>
        </w:tc>
        <w:tc>
          <w:tcPr>
            <w:tcW w:w="32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(5,222 )</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6980" w:type="dxa"/>
            <w:vAlign w:val="bottom"/>
          </w:tcPr>
          <w:p>
            <w:pPr>
              <w:ind w:left="360"/>
              <w:spacing w:after="0" w:line="202" w:lineRule="exact"/>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17"/>
                <w:szCs w:val="17"/>
                <w:color w:val="auto"/>
              </w:rPr>
            </w:pPr>
          </w:p>
        </w:tc>
        <w:tc>
          <w:tcPr>
            <w:tcW w:w="13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(11,124 )</w:t>
            </w:r>
          </w:p>
        </w:tc>
        <w:tc>
          <w:tcPr>
            <w:tcW w:w="320" w:type="dxa"/>
            <w:vAlign w:val="bottom"/>
          </w:tcPr>
          <w:p>
            <w:pPr>
              <w:spacing w:after="0"/>
              <w:rPr>
                <w:sz w:val="17"/>
                <w:szCs w:val="17"/>
                <w:color w:val="auto"/>
              </w:rPr>
            </w:pPr>
          </w:p>
        </w:tc>
        <w:tc>
          <w:tcPr>
            <w:tcW w:w="1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(3,062 )</w:t>
            </w: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9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Change in cash and cash equivalents (excluding effect of exchange rate changes)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(159,043</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13,657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7"/>
        </w:trPr>
        <w:tc>
          <w:tcPr>
            <w:tcW w:w="580" w:type="dxa"/>
            <w:vAlign w:val="bottom"/>
          </w:tcPr>
          <w:p>
            <w:pPr>
              <w:spacing w:after="0"/>
              <w:rPr>
                <w:sz w:val="24"/>
                <w:szCs w:val="24"/>
                <w:color w:val="auto"/>
              </w:rPr>
            </w:pPr>
          </w:p>
        </w:tc>
        <w:tc>
          <w:tcPr>
            <w:tcW w:w="6980" w:type="dxa"/>
            <w:vAlign w:val="bottom"/>
          </w:tcPr>
          <w:p>
            <w:pPr>
              <w:ind w:left="496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69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-436880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-419735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-436880</wp:posOffset>
            </wp:positionV>
            <wp:extent cx="6032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-419735</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Net cash provided by operating activities was $29.1 million during the six months ended June 30, 2022, primarily as a result of a net loss of $22.6 million, offset by non-cash charges of $49.0 million. The non-cash charges were primarily comprised of amortization of intangible assets of $29.8 million, equity compensation costs of $15.9 million, and amortization of deferred contract costs of $4.0 million, offset by a gain on remeasurement of the tax receivable agreement of $3.1 million. The net change in operating assets and liabilities of $2.8 million was primarily the result of a decrease in accounts receivable of $15.3 million, an increase in deferred revenue of $1.7 million due to the timing of billings and cash received in advance of revenue recognition for subscription services, and a decrease in prepaid expenses and other assets of $1.3 million, partially offset by cash outflows resulting from an increase in deferred contract costs of $6.8 million, $6.4 million in payments of contingent consideration arising from the Monocl acquisition, and lower accounts payable, accrued expenses and other current liabilities, collectively, of $2.2 million.</w:t>
      </w:r>
    </w:p>
    <w:p>
      <w:pPr>
        <w:spacing w:after="0" w:line="7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Net cash provided by operating activities was $21.9 million during the six months ended June 30, 2021, primarily as a result of a net loss of $25.5 million, which was offset by non-cash charges of $37.8 million and a net change of $9.6 million in our operating assets and liabilities. The non-cash charges were primarily comprised of amortization of intangible assets of $28.9 million, a $3.4 million increase in the earnout liability related to the Monocl acquisition, equity compensation costs of $2.0 million, amortization of deferred contract costs of $1.9 million, and amortization of debt issuance costs of $1.0 million. The change in operating assets and liabilities was primarily the result of a decrease in accounts receivable of $10.5 million and an increase in deferred revenue of $7.9 million due to the timing of billings and cash received in advance of revenue recognition for subscription services, partially offset by an increase in deferred contact costs of $6.0 million and a net decrease in accounts payable, accrued expenses and other current liabilities of $2.1 million, and an increase in prepaid expenses and other current assets of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Cash used in investing activities during the six months ended June 30, 2022 was $177.0 million, driven primarily by $163.0 million in purchases of short-term investments, partially offset by $44.0 million in maturities of short-term investments, and $56.5 million paid to complete the purchase of Analytical Wizards (net of cash acquired).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used in investing activities during the six months ended June 30, 2021 was $5.2 million, resulting from purchases of property, equipment,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Financing Activities</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Cash used in financing activities during the six months ended June 30, 2022 was $11.1 million, primarily driven by $5.3 million in tax distributions to members, repayments of the 2021 Term Loan of $3.4 million, $1.3 million in payments of deferred equity offering issuance costs, and $1.1 million in payments of contingent consideration arising from the Monocl acquisition.</w:t>
      </w:r>
    </w:p>
    <w:p>
      <w:pPr>
        <w:spacing w:after="0" w:line="74" w:lineRule="exact"/>
        <w:rPr>
          <w:sz w:val="20"/>
          <w:szCs w:val="20"/>
          <w:color w:val="auto"/>
        </w:rPr>
      </w:pPr>
    </w:p>
    <w:p>
      <w:pPr>
        <w:ind w:right="320" w:firstLine="509"/>
        <w:spacing w:after="0" w:line="270" w:lineRule="auto"/>
        <w:rPr>
          <w:sz w:val="20"/>
          <w:szCs w:val="20"/>
          <w:color w:val="auto"/>
        </w:rPr>
      </w:pPr>
      <w:r>
        <w:rPr>
          <w:rFonts w:ascii="Arial" w:cs="Arial" w:eastAsia="Arial" w:hAnsi="Arial"/>
          <w:sz w:val="17"/>
          <w:szCs w:val="17"/>
          <w:color w:val="auto"/>
        </w:rPr>
        <w:t>Cash used in financing activities during the six months ended June 30, 2021 was $3.1 million, primarily driven by tax distribution payments to members of $3.3 million, term loan repayments of $2.3 million, $1.4 million in payments of deferred equity offering issuance costs, and $1.5 million in payments of contingent consideration arising from the Monocl acquisition, partially offset by member contributions of $5.5 million.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Debt Obligations</w:t>
      </w:r>
      <w:r>
        <w:rPr>
          <w:rFonts w:ascii="Arial" w:cs="Arial" w:eastAsia="Arial" w:hAnsi="Arial"/>
          <w:sz w:val="18"/>
          <w:szCs w:val="18"/>
          <w:color w:val="auto"/>
        </w:rPr>
        <w:t xml:space="preserve"> for additional information related to our debt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04"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auto"/>
        </w:rPr>
        <w:t>The 2021 Term Loan of $275.0 million has a maturity date of September 17, 2026. The 2021 Term Loan was recorded net of $3.5 million in issuance costs, which are amortized to interest expense over the term of the loan using the effective interest method.</w:t>
      </w:r>
    </w:p>
    <w:p>
      <w:pPr>
        <w:spacing w:after="0" w:line="63"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The 2021 Term Loan is subject to annual amortization of principal, payable in equal quarterly installments on the last day of each fiscal quarter, commencing on the Initial Amortization Date, equal to approximately 2.5% per annum of the principal amount of the term loans in the first year and second year after the Initial Amortization Date and approximately 5.0% per annum of the principal amount of the term loans in the third year, fourth year, and fifth year after the Initial Amortization Date. A balloon payment of approximately $220.0 million will be due at maturity. There was $269.8 million outstanding on the 2021 Term Loan at June 30, 2022.</w:t>
      </w:r>
    </w:p>
    <w:p>
      <w:pPr>
        <w:spacing w:after="0" w:line="81"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The 2021 Revolving Line of Credit is committed for $75.0 million and has a maturity date of September 17, 2026. There was no outstanding balance as of June 30, 2022.</w:t>
      </w:r>
    </w:p>
    <w:p>
      <w:pPr>
        <w:spacing w:after="0" w:line="63"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The 2021 Credit Agreement includes certain financial covenants, and the Company was compliant with its financial covenants under the 2021 Credit Agreement as of June 30, 2022 and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In connection with the Reorganization Transactions and the IPO, the Company entered into the TRA with certain of our pre- IPO unitholders and the former shareholders of certain Blocker Companies. The TRA provides for the payment by Definitive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right="20"/>
        <w:spacing w:after="0" w:line="241" w:lineRule="auto"/>
        <w:rPr>
          <w:sz w:val="20"/>
          <w:szCs w:val="20"/>
          <w:color w:val="auto"/>
        </w:rPr>
      </w:pPr>
      <w:r>
        <w:rPr>
          <w:rFonts w:ascii="Arial" w:cs="Arial" w:eastAsia="Arial" w:hAnsi="Arial"/>
          <w:sz w:val="18"/>
          <w:szCs w:val="18"/>
          <w:color w:val="auto"/>
        </w:rPr>
        <w:t>Healthcare Corp. of 85% of the amount of any tax benefits that it actually realizes, or in some cases is deemed to realize, as a result of (i) certain favorable tax attributes it acquired from the Blocker Companies in the Reorganization Transactions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the acquisition of LLC Units by Definitive Healthcare Corp. and (iii) certain payments made under the TRA.</w:t>
      </w:r>
    </w:p>
    <w:p>
      <w:pPr>
        <w:spacing w:after="0" w:line="81"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each case, these tax basis adjustments generated over time may increase (for tax purposes) the Definitive Healthcare Corp.’s depreciation and amortization deductions and, therefore, may reduce the amount of tax that the Definitive Healthcare Corp. would otherwise be required to pay in the future, although the IRS may challenge all or part of the validity of that tax basis, and a court could sustain such a challenge. The anticipated tax basis adjustments upon redemptions or exchanges of LLC Units may also decrease gains (or increase losses) on future dispositions of certain assets to the extent tax basis is allocated to those assets. The payment obligations under the TRA are an obligation of Definitive Healthcare Corp., but not of Definitive OpCo. Definitive Healthcare Corp. expects to benefit from the remaining 15% of realized cash tax benefits. For purposes of the TRA, the realized cash tax benefits will be computed by comparing the actual income tax liability of Definitive Healthcare Corp. (calculated with certain assumptions) to the amount of such taxes that Definitive Healthcare Corp. would have been required to pay had there been no tax basis adjustments of the assets of Definitive Healthcare Corp. as a result of redemptions or exchanges and no utilization of certain tax attributes of the Blocker Companies, and had Definitive Healthcare Corp. not entered into the TRA. The term of the TRA will continue until all such tax benefits have been utilized or expired, unless (i) Definitive Healthcare Corp. exercises its right to terminate the TRA for an amount based on the agreed payments remaining to be made under the agreement, (ii) Definitive Healthcare Corp. breaches any of its material obligations under the TRA in which case all obligations (including any additional interest due relating to any deferred payments) generally will be accelerated and due as if Definitive Healthcare Corp. had exercised its right to terminate the TRA, or (iii) there is a change of control of Definitive Healthcare Corp., in which case, all obligations (including any additional interest due relating to any deferred payments) generally will be accelerated and due as if Definitive Healthcare Corp. had exercised its right to terminate the TRA as described above in clause (i). Estimating the amount of payments that may be made under the TRA is by its nature imprecise, insofar as the calculation of amounts payable depends on a variety of factors. The amount of the anticipated tax basis adjustments, as well as the amount and timing of any payments under the TRA, will vary depending upon a number of factors, including the timing of exchanges, the price of shares of our Class A Common Stock at the time of an exchange, the extent to which such exchanges are taxable, the amount of tax attributes, and the amount and timing of our income.</w:t>
      </w:r>
    </w:p>
    <w:p>
      <w:pPr>
        <w:spacing w:after="0" w:line="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 xml:space="preserve">We expect that as a result of the size of the anticipated tax basis adjustment of the tangible and intangible assets of Definitive OpCo upon the exchange or redemption of LLC Units and our possible utilization of certain tax attributes, the payments that Definitive Healthcare Corp. may make under the TRA will be substantial. The payments under the TRA are not conditioned upon continued ownership of us by the exchanging holders of LLC Units. See Note 18.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unaudited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0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Capital expenditures decreased by $3.6 million to $1.6 million for the six months ended June 30, 2022 compared to $5.2 million for the same period in the prior year, primarily driven by higher capital expenditures in support of the Company’s growth in the prior year that did not repeat in the first six months of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we had no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unaudited interim condensed consolidated financial statements have been prepared in accordance with GAAP, which requires us to make estimates and assumptions that affect reported amounts. The estimates and assumptions are based on historical experience and on other factors that we believe to be reasonable. Actual results may differ from those estimates. We review these estimates on a periodic basis to ensure reasonableness. Although actual amounts may differ from such estimated amounts, we believe such differences are not likely to be material. For additional detail regarding our critical accounting policies and estimates including business combinations, goodwill and indefinite-lived intangible assets and income taxes, see our discussion for the year ended December 31, 2021 included in our 2021 Form 10-K. There have been no material changes to these policies or estimates as of June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04"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right="360"/>
        <w:spacing w:after="0" w:line="248" w:lineRule="auto"/>
        <w:rPr>
          <w:sz w:val="20"/>
          <w:szCs w:val="20"/>
          <w:color w:val="auto"/>
        </w:rPr>
      </w:pPr>
      <w:r>
        <w:rPr>
          <w:rFonts w:ascii="Arial" w:cs="Arial" w:eastAsia="Arial" w:hAnsi="Arial"/>
          <w:sz w:val="18"/>
          <w:szCs w:val="18"/>
          <w:color w:val="auto"/>
        </w:rPr>
        <w:t>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 xml:space="preserve">See new accounting pronouncements described under “—Adoption of Recently Issued Financial Accounting Standards” and “—Recently Issued Accounting Pronouncements Not Yet Adopted”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interim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right="460" w:firstLine="509"/>
        <w:spacing w:after="0" w:line="291"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Our cash, cash equivalents, and short-term investments primarily consist of cash on hand and highly liquid investments in money market funds, U.S. government securities and commercial paper. As of June 30, 2022, we had cash and cash equivalents of $228.2 million and short-term investments of $118.2 million.</w:t>
      </w:r>
    </w:p>
    <w:p>
      <w:pPr>
        <w:spacing w:after="0" w:line="74"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Our operating results are subject to market risk from interest rate fluctuations on our 2021 Term Loan, which bears a variable interest rate based on the LIBO Rate or a Base Rate plus an applicable margin. In order to reduce the interest rate risk on our debt, we have entered into an interest rate swap agreement on a portion of our borrowings. As of June 30, 2022, the total principal balance outstanding was $269.8 million. Excluding the effect of the interest rate swap agreement, a hypothetical 1.0% increase or decrease in the interest rate associated with borrowings under the 2021 Credit Agreement would have resulted in an impact to interest expense of approximately $1.4 million for the six months ended June 30, 2022.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To date, our sales contracts have been denominated in U.S. dollars. We have one foreign entity established in Sweden and one in India. The functional currencies of these foreign subsidiaries are the Swedish Krona and the Indian Rupee, respectively.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0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As of the end of the period covered by this Quarterly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June 30, 2022 to provide reasonable assurance that information to be disclosed by us in the reports that we file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submit under the Exchange Act is (i) recorded, processed, summarized and reported within the time periods specified in the rules and forms of the SEC and</w:t>
      </w:r>
    </w:p>
    <w:p>
      <w:pPr>
        <w:spacing w:after="0" w:line="35" w:lineRule="exact"/>
        <w:rPr>
          <w:sz w:val="20"/>
          <w:szCs w:val="20"/>
          <w:color w:val="auto"/>
        </w:rPr>
      </w:pPr>
    </w:p>
    <w:p>
      <w:pPr>
        <w:ind w:right="540" w:firstLine="8"/>
        <w:spacing w:after="0" w:line="243" w:lineRule="auto"/>
        <w:tabs>
          <w:tab w:leader="none" w:pos="2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or persons performing similar functions, as appropriate to allow timely decisions regarding disclosure.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ind w:right="360" w:firstLine="509"/>
        <w:spacing w:after="0" w:line="324" w:lineRule="auto"/>
        <w:rPr>
          <w:sz w:val="20"/>
          <w:szCs w:val="20"/>
          <w:color w:val="auto"/>
        </w:rPr>
      </w:pPr>
      <w:r>
        <w:rPr>
          <w:rFonts w:ascii="Arial" w:cs="Arial" w:eastAsia="Arial" w:hAnsi="Arial"/>
          <w:sz w:val="16"/>
          <w:szCs w:val="16"/>
          <w:color w:val="auto"/>
        </w:rPr>
        <w:t>During the quarter ended June 30, 2022, no change in our internal control over financial reporting (as defined in Rules 13a-15(f) and 15d-15(f) under the Exchange Act) occurred that has materially affected, or is reasonably likely to materially affect, our internal control over financial reporting.</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matters cannot be predicted with certainty, in the opinion of management, the ultimate resolution of these matters would not be expected to have a material adverse effect on our financial position, results of operations, or cash flows.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For a more detailed discussion of our risks and uncertainties, see also Item 1A – Risk Factors in our 2021 Form 10-K. There have been no material changes in our risk factors since the filing of our 2021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Pursuant to the terms of the Amended LLC Agreement, holders of LLC Units have the right to exchange all or a portion of their LLC Units for newly issued shares of Class A Common Stock on a one-for-one basis. Upon any such exchange, a corresponding number of shares of Class B Common Stock held by the LLC Unit holder are cancelled. Such exchanges executed in the second quarter of 2022 are as follows:</w:t>
      </w:r>
    </w:p>
    <w:p>
      <w:pPr>
        <w:spacing w:after="0" w:line="133" w:lineRule="exact"/>
        <w:rPr>
          <w:sz w:val="20"/>
          <w:szCs w:val="20"/>
          <w:color w:val="auto"/>
        </w:rPr>
      </w:pPr>
    </w:p>
    <w:tbl>
      <w:tblPr>
        <w:tblLayout w:type="fixed"/>
        <w:tblInd w:w="2820" w:type="dxa"/>
        <w:tblCellMar>
          <w:top w:w="0" w:type="dxa"/>
          <w:left w:w="0" w:type="dxa"/>
          <w:bottom w:w="0" w:type="dxa"/>
          <w:right w:w="0" w:type="dxa"/>
        </w:tblCellMar>
      </w:tblPr>
      <w:tr>
        <w:trPr>
          <w:trHeight w:val="207"/>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Date of Exchange</w:t>
            </w:r>
          </w:p>
        </w:tc>
        <w:tc>
          <w:tcPr>
            <w:tcW w:w="240" w:type="dxa"/>
            <w:vAlign w:val="bottom"/>
          </w:tcPr>
          <w:p>
            <w:pPr>
              <w:spacing w:after="0"/>
              <w:rPr>
                <w:sz w:val="17"/>
                <w:szCs w:val="17"/>
                <w:color w:val="auto"/>
              </w:rPr>
            </w:pPr>
          </w:p>
        </w:tc>
        <w:tc>
          <w:tcPr>
            <w:tcW w:w="208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 Shares</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Exchanged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April 18, 2022</w:t>
            </w:r>
          </w:p>
        </w:tc>
        <w:tc>
          <w:tcPr>
            <w:tcW w:w="24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April 25, 2022</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May 2, 2022</w:t>
            </w:r>
          </w:p>
        </w:tc>
        <w:tc>
          <w:tcPr>
            <w:tcW w:w="2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75,079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May 9, 2022</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70,097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May 10, 2022</w:t>
            </w:r>
          </w:p>
        </w:tc>
        <w:tc>
          <w:tcPr>
            <w:tcW w:w="2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2,717,042</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June 13, 2022</w:t>
            </w:r>
          </w:p>
        </w:tc>
        <w:tc>
          <w:tcPr>
            <w:tcW w:w="2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25,109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CFF0FC"/>
            </w:tcBorders>
            <w:shd w:val="clear" w:color="auto" w:fill="CFF0FC"/>
          </w:tcPr>
          <w:p>
            <w:pPr>
              <w:spacing w:after="0"/>
              <w:rPr>
                <w:sz w:val="20"/>
                <w:szCs w:val="20"/>
                <w:color w:val="auto"/>
              </w:rPr>
            </w:pPr>
          </w:p>
        </w:tc>
        <w:tc>
          <w:tcPr>
            <w:tcW w:w="2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2,898,589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-25400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3429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ind w:right="360" w:firstLine="509"/>
        <w:spacing w:after="0" w:line="259" w:lineRule="auto"/>
        <w:rPr>
          <w:sz w:val="20"/>
          <w:szCs w:val="20"/>
          <w:color w:val="auto"/>
        </w:rPr>
      </w:pPr>
      <w:r>
        <w:rPr>
          <w:rFonts w:ascii="Arial" w:cs="Arial" w:eastAsia="Arial" w:hAnsi="Arial"/>
          <w:sz w:val="17"/>
          <w:szCs w:val="17"/>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Definitive Healthcare Corp., any other persons, any state of affairs or other matters.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120" w:type="dxa"/>
            <w:vAlign w:val="bottom"/>
            <w:gridSpan w:val="12"/>
          </w:tcPr>
          <w:p>
            <w:pPr>
              <w:ind w:left="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60" w:type="dxa"/>
            <w:vAlign w:val="bottom"/>
          </w:tcPr>
          <w:p>
            <w:pPr>
              <w:ind w:left="20"/>
              <w:spacing w:after="0" w:line="15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3"/>
                <w:szCs w:val="13"/>
                <w:color w:val="auto"/>
              </w:rPr>
            </w:pPr>
          </w:p>
        </w:tc>
        <w:tc>
          <w:tcPr>
            <w:tcW w:w="9320" w:type="dxa"/>
            <w:vAlign w:val="bottom"/>
            <w:tcBorders>
              <w:bottom w:val="single" w:sz="8" w:color="0000FF"/>
            </w:tcBorders>
            <w:gridSpan w:val="10"/>
          </w:tcPr>
          <w:p>
            <w:pPr>
              <w:spacing w:after="0" w:line="156" w:lineRule="exact"/>
              <w:rPr>
                <w:rFonts w:ascii="Arial" w:cs="Arial" w:eastAsia="Arial" w:hAnsi="Arial"/>
                <w:sz w:val="18"/>
                <w:szCs w:val="18"/>
                <w:color w:val="0000FF"/>
                <w:w w:val="91"/>
              </w:rPr>
            </w:pPr>
            <w:hyperlink r:id="rId313">
              <w:r>
                <w:rPr>
                  <w:rFonts w:ascii="Arial" w:cs="Arial" w:eastAsia="Arial" w:hAnsi="Arial"/>
                  <w:sz w:val="18"/>
                  <w:szCs w:val="18"/>
                  <w:color w:val="0000FF"/>
                  <w:w w:val="91"/>
                </w:rPr>
                <w:t>Amended and Restated Employment Agreement, dated as of May 4, 2022, by and among Definitive Healthcare, LLC, Definitive</w:t>
              </w:r>
            </w:hyperlink>
          </w:p>
        </w:tc>
        <w:tc>
          <w:tcPr>
            <w:tcW w:w="6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60" w:type="dxa"/>
            <w:vAlign w:val="bottom"/>
            <w:gridSpan w:val="19"/>
          </w:tcPr>
          <w:p>
            <w:pPr>
              <w:spacing w:after="0" w:line="156" w:lineRule="exact"/>
              <w:rPr>
                <w:rFonts w:ascii="Arial" w:cs="Arial" w:eastAsia="Arial" w:hAnsi="Arial"/>
                <w:sz w:val="18"/>
                <w:szCs w:val="18"/>
                <w:color w:val="0000FF"/>
                <w:w w:val="91"/>
              </w:rPr>
            </w:pPr>
            <w:hyperlink r:id="rId313">
              <w:r>
                <w:rPr>
                  <w:rFonts w:ascii="Arial" w:cs="Arial" w:eastAsia="Arial" w:hAnsi="Arial"/>
                  <w:sz w:val="18"/>
                  <w:szCs w:val="18"/>
                  <w:color w:val="0000FF"/>
                  <w:w w:val="91"/>
                </w:rPr>
                <w:t>Healthcare Corp. and Robert Musslewhite (incorporated by reference to Exhibit 10.1 to the Company’s Current Report on Form 8-K (File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313">
              <w:r>
                <w:rPr>
                  <w:rFonts w:ascii="Arial" w:cs="Arial" w:eastAsia="Arial" w:hAnsi="Arial"/>
                  <w:sz w:val="18"/>
                  <w:szCs w:val="18"/>
                  <w:color w:val="0000FF"/>
                </w:rPr>
                <w:t>No. 001-40815) filed with the SEC on May 5,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4"/>
                <w:szCs w:val="14"/>
                <w:color w:val="auto"/>
              </w:rPr>
            </w:pPr>
          </w:p>
        </w:tc>
        <w:tc>
          <w:tcPr>
            <w:tcW w:w="3820" w:type="dxa"/>
            <w:vAlign w:val="bottom"/>
            <w:tcBorders>
              <w:top w:val="single" w:sz="8" w:color="0000FF"/>
            </w:tcBorders>
            <w:gridSpan w:val="6"/>
          </w:tcPr>
          <w:p>
            <w:pPr>
              <w:spacing w:after="0" w:line="169" w:lineRule="exact"/>
              <w:rPr>
                <w:rFonts w:ascii="Arial" w:cs="Arial" w:eastAsia="Arial" w:hAnsi="Arial"/>
                <w:sz w:val="18"/>
                <w:szCs w:val="18"/>
                <w:color w:val="0000FF"/>
                <w:w w:val="92"/>
              </w:rPr>
            </w:pPr>
            <w:hyperlink r:id="rId314">
              <w:r>
                <w:rPr>
                  <w:rFonts w:ascii="Arial" w:cs="Arial" w:eastAsia="Arial" w:hAnsi="Arial"/>
                  <w:sz w:val="18"/>
                  <w:szCs w:val="18"/>
                  <w:color w:val="0000FF"/>
                  <w:w w:val="92"/>
                </w:rPr>
                <w:t>Executive Chairman Agreement, dated as of May 4,</w:t>
              </w:r>
            </w:hyperlink>
          </w:p>
        </w:tc>
        <w:tc>
          <w:tcPr>
            <w:tcW w:w="20" w:type="dxa"/>
            <w:vAlign w:val="bottom"/>
            <w:tcBorders>
              <w:top w:val="single" w:sz="8" w:color="0000EE"/>
            </w:tcBorders>
          </w:tcPr>
          <w:p>
            <w:pPr>
              <w:spacing w:after="0"/>
              <w:rPr>
                <w:sz w:val="14"/>
                <w:szCs w:val="14"/>
                <w:color w:val="auto"/>
              </w:rPr>
            </w:pPr>
          </w:p>
        </w:tc>
        <w:tc>
          <w:tcPr>
            <w:tcW w:w="6120" w:type="dxa"/>
            <w:vAlign w:val="bottom"/>
            <w:gridSpan w:val="12"/>
          </w:tcPr>
          <w:p>
            <w:pPr>
              <w:spacing w:after="0" w:line="169" w:lineRule="exact"/>
              <w:rPr>
                <w:rFonts w:ascii="Arial" w:cs="Arial" w:eastAsia="Arial" w:hAnsi="Arial"/>
                <w:sz w:val="18"/>
                <w:szCs w:val="18"/>
                <w:color w:val="0000FF"/>
                <w:w w:val="95"/>
              </w:rPr>
            </w:pPr>
            <w:hyperlink r:id="rId314">
              <w:r>
                <w:rPr>
                  <w:rFonts w:ascii="Arial" w:cs="Arial" w:eastAsia="Arial" w:hAnsi="Arial"/>
                  <w:sz w:val="18"/>
                  <w:szCs w:val="18"/>
                  <w:color w:val="0000FF"/>
                  <w:w w:val="95"/>
                </w:rPr>
                <w:t>2022, by and among Definitive Healthcare, LLC, Definitive Healthcare Corp.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1"/>
              </w:rPr>
            </w:pPr>
            <w:hyperlink r:id="rId314">
              <w:r>
                <w:rPr>
                  <w:rFonts w:ascii="Arial" w:cs="Arial" w:eastAsia="Arial" w:hAnsi="Arial"/>
                  <w:sz w:val="18"/>
                  <w:szCs w:val="18"/>
                  <w:color w:val="0000FF"/>
                  <w:w w:val="91"/>
                </w:rPr>
                <w:t>Jason Krantz (incorporated by reference to Exhibit 10.2 to the Company’s Current Report on Form 8-K (File No. 001-40815) filed with</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10.3</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800" w:type="dxa"/>
            <w:vAlign w:val="bottom"/>
            <w:gridSpan w:val="13"/>
          </w:tcPr>
          <w:p>
            <w:pPr>
              <w:spacing w:after="0" w:line="156" w:lineRule="exact"/>
              <w:rPr>
                <w:rFonts w:ascii="Arial" w:cs="Arial" w:eastAsia="Arial" w:hAnsi="Arial"/>
                <w:sz w:val="18"/>
                <w:szCs w:val="18"/>
                <w:color w:val="0000FF"/>
              </w:rPr>
            </w:pPr>
            <w:hyperlink r:id="rId314">
              <w:r>
                <w:rPr>
                  <w:rFonts w:ascii="Arial" w:cs="Arial" w:eastAsia="Arial" w:hAnsi="Arial"/>
                  <w:sz w:val="18"/>
                  <w:szCs w:val="18"/>
                  <w:color w:val="0000FF"/>
                </w:rPr>
                <w:t>the SEC on May 5, 2022).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960" w:type="dxa"/>
            <w:vAlign w:val="bottom"/>
            <w:gridSpan w:val="19"/>
          </w:tcPr>
          <w:p>
            <w:pPr>
              <w:spacing w:after="0" w:line="169"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Restricted Stock Unit Award Agreement (333,322 time-based Restricted Stock Units), dated as of May 3, 2022, by and among Definitive</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92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w:anchor="page44">
              <w:r>
                <w:rPr>
                  <w:rFonts w:ascii="Arial" w:cs="Arial" w:eastAsia="Arial" w:hAnsi="Arial"/>
                  <w:sz w:val="18"/>
                  <w:szCs w:val="18"/>
                  <w:color w:val="0000FF"/>
                </w:rPr>
                <w:t>Healthcare Corp. and Robert Musslewhite.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tcBorders>
              <w:top w:val="single" w:sz="8" w:color="0000FF"/>
            </w:tcBorders>
            <w:gridSpan w:val="3"/>
          </w:tcPr>
          <w:p>
            <w:pPr>
              <w:spacing w:after="0" w:line="169" w:lineRule="exact"/>
              <w:rPr>
                <w:rFonts w:ascii="Arial" w:cs="Arial" w:eastAsia="Arial" w:hAnsi="Arial"/>
                <w:sz w:val="18"/>
                <w:szCs w:val="18"/>
                <w:color w:val="0000FF"/>
                <w:w w:val="96"/>
              </w:rPr>
            </w:pPr>
            <w:hyperlink w:anchor="page55">
              <w:r>
                <w:rPr>
                  <w:rFonts w:ascii="Arial" w:cs="Arial" w:eastAsia="Arial" w:hAnsi="Arial"/>
                  <w:sz w:val="18"/>
                  <w:szCs w:val="18"/>
                  <w:color w:val="0000FF"/>
                  <w:w w:val="96"/>
                </w:rPr>
                <w:t>Restricted Stock Unit Award Agreement</w:t>
              </w:r>
            </w:hyperlink>
          </w:p>
        </w:tc>
        <w:tc>
          <w:tcPr>
            <w:tcW w:w="20" w:type="dxa"/>
            <w:vAlign w:val="bottom"/>
            <w:tcBorders>
              <w:top w:val="single" w:sz="8" w:color="0000EE"/>
            </w:tcBorders>
          </w:tcPr>
          <w:p>
            <w:pPr>
              <w:spacing w:after="0"/>
              <w:rPr>
                <w:sz w:val="14"/>
                <w:szCs w:val="14"/>
                <w:color w:val="auto"/>
              </w:rPr>
            </w:pPr>
          </w:p>
        </w:tc>
        <w:tc>
          <w:tcPr>
            <w:tcW w:w="6860" w:type="dxa"/>
            <w:vAlign w:val="bottom"/>
            <w:gridSpan w:val="15"/>
          </w:tcPr>
          <w:p>
            <w:pPr>
              <w:spacing w:after="0" w:line="169" w:lineRule="exact"/>
              <w:rPr>
                <w:rFonts w:ascii="Arial" w:cs="Arial" w:eastAsia="Arial" w:hAnsi="Arial"/>
                <w:sz w:val="18"/>
                <w:szCs w:val="18"/>
                <w:color w:val="0000FF"/>
                <w:w w:val="91"/>
              </w:rPr>
            </w:pPr>
            <w:hyperlink w:anchor="page55">
              <w:r>
                <w:rPr>
                  <w:rFonts w:ascii="Arial" w:cs="Arial" w:eastAsia="Arial" w:hAnsi="Arial"/>
                  <w:sz w:val="18"/>
                  <w:szCs w:val="18"/>
                  <w:color w:val="0000FF"/>
                  <w:w w:val="91"/>
                </w:rPr>
                <w:t>(83,333 time-based Restricted Stock Units), dated as of May 3, 2022, by and among Definitive</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10.5</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8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55">
              <w:r>
                <w:rPr>
                  <w:rFonts w:ascii="Arial" w:cs="Arial" w:eastAsia="Arial" w:hAnsi="Arial"/>
                  <w:sz w:val="18"/>
                  <w:szCs w:val="18"/>
                  <w:color w:val="0000FF"/>
                </w:rPr>
                <w:t>Healthcare Corp. and Robert Musslewhite.</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tcBorders>
              <w:top w:val="single" w:sz="8" w:color="0000FF"/>
            </w:tcBorders>
            <w:gridSpan w:val="3"/>
          </w:tcPr>
          <w:p>
            <w:pPr>
              <w:spacing w:after="0" w:line="169" w:lineRule="exact"/>
              <w:rPr>
                <w:rFonts w:ascii="Arial" w:cs="Arial" w:eastAsia="Arial" w:hAnsi="Arial"/>
                <w:sz w:val="18"/>
                <w:szCs w:val="18"/>
                <w:color w:val="0000FF"/>
                <w:w w:val="96"/>
              </w:rPr>
            </w:pPr>
            <w:hyperlink w:anchor="page66">
              <w:r>
                <w:rPr>
                  <w:rFonts w:ascii="Arial" w:cs="Arial" w:eastAsia="Arial" w:hAnsi="Arial"/>
                  <w:sz w:val="18"/>
                  <w:szCs w:val="18"/>
                  <w:color w:val="0000FF"/>
                  <w:w w:val="96"/>
                </w:rPr>
                <w:t>Restricted Stock Unit Award Agreement</w:t>
              </w:r>
            </w:hyperlink>
          </w:p>
        </w:tc>
        <w:tc>
          <w:tcPr>
            <w:tcW w:w="20" w:type="dxa"/>
            <w:vAlign w:val="bottom"/>
            <w:tcBorders>
              <w:top w:val="single" w:sz="8" w:color="0000EE"/>
            </w:tcBorders>
          </w:tcPr>
          <w:p>
            <w:pPr>
              <w:spacing w:after="0"/>
              <w:rPr>
                <w:sz w:val="14"/>
                <w:szCs w:val="14"/>
                <w:color w:val="auto"/>
              </w:rPr>
            </w:pPr>
          </w:p>
        </w:tc>
        <w:tc>
          <w:tcPr>
            <w:tcW w:w="6860" w:type="dxa"/>
            <w:vAlign w:val="bottom"/>
            <w:gridSpan w:val="15"/>
          </w:tcPr>
          <w:p>
            <w:pPr>
              <w:spacing w:after="0" w:line="169"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(performance-based Restricted Stock Units), dated as of May 3, 2022, by and among Definitive</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31.1</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8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Healthcare Corp. and Robert Musslewhite.</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tcBorders>
              <w:top w:val="single" w:sz="8" w:color="0000FF"/>
            </w:tcBorders>
            <w:gridSpan w:val="3"/>
          </w:tcPr>
          <w:p>
            <w:pPr>
              <w:spacing w:after="0" w:line="169" w:lineRule="exact"/>
              <w:rPr>
                <w:rFonts w:ascii="Arial" w:cs="Arial" w:eastAsia="Arial" w:hAnsi="Arial"/>
                <w:sz w:val="18"/>
                <w:szCs w:val="18"/>
                <w:color w:val="0000FF"/>
                <w:w w:val="92"/>
              </w:rPr>
            </w:pPr>
            <w:hyperlink w:anchor="page80">
              <w:r>
                <w:rPr>
                  <w:rFonts w:ascii="Arial" w:cs="Arial" w:eastAsia="Arial" w:hAnsi="Arial"/>
                  <w:sz w:val="18"/>
                  <w:szCs w:val="18"/>
                  <w:color w:val="0000FF"/>
                  <w:w w:val="92"/>
                </w:rPr>
                <w:t>Certification of Principal Executive Officer</w:t>
              </w:r>
            </w:hyperlink>
          </w:p>
        </w:tc>
        <w:tc>
          <w:tcPr>
            <w:tcW w:w="20" w:type="dxa"/>
            <w:vAlign w:val="bottom"/>
            <w:tcBorders>
              <w:top w:val="single" w:sz="8" w:color="0000EE"/>
            </w:tcBorders>
          </w:tcPr>
          <w:p>
            <w:pPr>
              <w:spacing w:after="0"/>
              <w:rPr>
                <w:sz w:val="14"/>
                <w:szCs w:val="14"/>
                <w:color w:val="auto"/>
              </w:rPr>
            </w:pPr>
          </w:p>
        </w:tc>
        <w:tc>
          <w:tcPr>
            <w:tcW w:w="6860" w:type="dxa"/>
            <w:vAlign w:val="bottom"/>
            <w:gridSpan w:val="15"/>
          </w:tcPr>
          <w:p>
            <w:pPr>
              <w:ind w:left="80"/>
              <w:spacing w:after="0" w:line="16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pursuant to Exchange Act Rules 13a-14(a) and 15d-14(a), as adopted pursuant to Section 302</w:t>
              </w:r>
            </w:hyperlink>
          </w:p>
        </w:tc>
        <w:tc>
          <w:tcPr>
            <w:tcW w:w="0" w:type="dxa"/>
            <w:vAlign w:val="bottom"/>
          </w:tcPr>
          <w:p>
            <w:pPr>
              <w:spacing w:after="0"/>
              <w:rPr>
                <w:sz w:val="1"/>
                <w:szCs w:val="1"/>
                <w:color w:val="auto"/>
              </w:rPr>
            </w:pPr>
          </w:p>
        </w:tc>
      </w:tr>
      <w:tr>
        <w:trPr>
          <w:trHeight w:val="155"/>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31.2</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9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80">
              <w:r>
                <w:rPr>
                  <w:rFonts w:ascii="Arial" w:cs="Arial" w:eastAsia="Arial" w:hAnsi="Arial"/>
                  <w:sz w:val="18"/>
                  <w:szCs w:val="18"/>
                  <w:color w:val="0000FF"/>
                </w:rPr>
                <w:t>of the Sarbanes-Oxley Act of 2002.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Borders>
              <w:top w:val="single" w:sz="8" w:color="0000FF"/>
            </w:tcBorders>
            <w:gridSpan w:val="2"/>
          </w:tcPr>
          <w:p>
            <w:pPr>
              <w:spacing w:after="0" w:line="169" w:lineRule="exact"/>
              <w:rPr>
                <w:rFonts w:ascii="Arial" w:cs="Arial" w:eastAsia="Arial" w:hAnsi="Arial"/>
                <w:sz w:val="18"/>
                <w:szCs w:val="18"/>
                <w:color w:val="0000FF"/>
                <w:w w:val="95"/>
              </w:rPr>
            </w:pPr>
            <w:hyperlink w:anchor="page81">
              <w:r>
                <w:rPr>
                  <w:rFonts w:ascii="Arial" w:cs="Arial" w:eastAsia="Arial" w:hAnsi="Arial"/>
                  <w:sz w:val="18"/>
                  <w:szCs w:val="18"/>
                  <w:color w:val="0000FF"/>
                  <w:w w:val="95"/>
                </w:rPr>
                <w:t>Certification of Principal Financial</w:t>
              </w:r>
            </w:hyperlink>
          </w:p>
        </w:tc>
        <w:tc>
          <w:tcPr>
            <w:tcW w:w="7400" w:type="dxa"/>
            <w:vAlign w:val="bottom"/>
            <w:gridSpan w:val="17"/>
          </w:tcPr>
          <w:p>
            <w:pPr>
              <w:spacing w:after="0" w:line="169" w:lineRule="exact"/>
              <w:rPr>
                <w:rFonts w:ascii="Arial" w:cs="Arial" w:eastAsia="Arial" w:hAnsi="Arial"/>
                <w:sz w:val="18"/>
                <w:szCs w:val="18"/>
                <w:color w:val="0000FF"/>
                <w:w w:val="94"/>
              </w:rPr>
            </w:pPr>
            <w:hyperlink w:anchor="page81">
              <w:r>
                <w:rPr>
                  <w:rFonts w:ascii="Arial" w:cs="Arial" w:eastAsia="Arial" w:hAnsi="Arial"/>
                  <w:sz w:val="18"/>
                  <w:szCs w:val="18"/>
                  <w:color w:val="0000FF"/>
                  <w:w w:val="94"/>
                </w:rPr>
                <w:t>Officer Pursuant to Rules 13a-14(a) and 15d-14(a) under the Securities Exchange Act of 1934, as</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32.1</w:t>
            </w:r>
            <w:r>
              <w:rPr>
                <w:rFonts w:ascii="Arial" w:cs="Arial" w:eastAsia="Arial" w:hAnsi="Arial"/>
                <w:sz w:val="24"/>
                <w:szCs w:val="24"/>
                <w:color w:val="auto"/>
                <w:vertAlign w:val="superscript"/>
              </w:rPr>
              <w:t>+</w:t>
            </w:r>
            <w:r>
              <w:rPr>
                <w:rFonts w:ascii="Arial" w:cs="Arial" w:eastAsia="Arial" w:hAnsi="Arial"/>
                <w:sz w:val="18"/>
                <w:szCs w:val="18"/>
                <w:color w:val="auto"/>
              </w:rPr>
              <w:t>*</w:t>
            </w:r>
          </w:p>
        </w:tc>
        <w:tc>
          <w:tcPr>
            <w:tcW w:w="140" w:type="dxa"/>
            <w:vAlign w:val="bottom"/>
          </w:tcPr>
          <w:p>
            <w:pPr>
              <w:spacing w:after="0"/>
              <w:rPr>
                <w:sz w:val="13"/>
                <w:szCs w:val="13"/>
                <w:color w:val="auto"/>
              </w:rPr>
            </w:pPr>
          </w:p>
        </w:tc>
        <w:tc>
          <w:tcPr>
            <w:tcW w:w="962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81">
              <w:r>
                <w:rPr>
                  <w:rFonts w:ascii="Arial" w:cs="Arial" w:eastAsia="Arial" w:hAnsi="Arial"/>
                  <w:sz w:val="18"/>
                  <w:szCs w:val="18"/>
                  <w:color w:val="0000FF"/>
                </w:rPr>
                <w:t>Adopted Pursuant to Section 302 of the Sarbanes-Oxley Act of 2002.</w:t>
              </w:r>
            </w:hyperlink>
          </w:p>
        </w:tc>
        <w:tc>
          <w:tcPr>
            <w:tcW w:w="200" w:type="dxa"/>
            <w:vAlign w:val="bottom"/>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980" w:type="dxa"/>
            <w:vAlign w:val="bottom"/>
            <w:tcBorders>
              <w:top w:val="single" w:sz="8" w:color="0000FF"/>
            </w:tcBorders>
            <w:gridSpan w:val="8"/>
          </w:tcPr>
          <w:p>
            <w:pPr>
              <w:spacing w:after="0" w:line="169" w:lineRule="exact"/>
              <w:rPr>
                <w:rFonts w:ascii="Arial" w:cs="Arial" w:eastAsia="Arial" w:hAnsi="Arial"/>
                <w:sz w:val="18"/>
                <w:szCs w:val="18"/>
                <w:color w:val="0000FF"/>
                <w:w w:val="96"/>
              </w:rPr>
            </w:pPr>
            <w:hyperlink w:anchor="page82">
              <w:r>
                <w:rPr>
                  <w:rFonts w:ascii="Arial" w:cs="Arial" w:eastAsia="Arial" w:hAnsi="Arial"/>
                  <w:sz w:val="18"/>
                  <w:szCs w:val="18"/>
                  <w:color w:val="0000FF"/>
                  <w:w w:val="96"/>
                </w:rPr>
                <w:t>Certification of Principal Executive Officer and Principal Financial</w:t>
              </w:r>
            </w:hyperlink>
          </w:p>
        </w:tc>
        <w:tc>
          <w:tcPr>
            <w:tcW w:w="20" w:type="dxa"/>
            <w:vAlign w:val="bottom"/>
            <w:tcBorders>
              <w:top w:val="single" w:sz="8" w:color="0000EE"/>
            </w:tcBorders>
          </w:tcPr>
          <w:p>
            <w:pPr>
              <w:spacing w:after="0"/>
              <w:rPr>
                <w:sz w:val="14"/>
                <w:szCs w:val="14"/>
                <w:color w:val="auto"/>
              </w:rPr>
            </w:pPr>
          </w:p>
        </w:tc>
        <w:tc>
          <w:tcPr>
            <w:tcW w:w="4960" w:type="dxa"/>
            <w:vAlign w:val="bottom"/>
            <w:gridSpan w:val="10"/>
          </w:tcPr>
          <w:p>
            <w:pPr>
              <w:spacing w:after="0" w:line="169" w:lineRule="exact"/>
              <w:rPr>
                <w:rFonts w:ascii="Arial" w:cs="Arial" w:eastAsia="Arial" w:hAnsi="Arial"/>
                <w:sz w:val="18"/>
                <w:szCs w:val="18"/>
                <w:color w:val="0000FF"/>
                <w:w w:val="91"/>
              </w:rPr>
            </w:pPr>
            <w:hyperlink w:anchor="page82">
              <w:r>
                <w:rPr>
                  <w:rFonts w:ascii="Arial" w:cs="Arial" w:eastAsia="Arial" w:hAnsi="Arial"/>
                  <w:sz w:val="18"/>
                  <w:szCs w:val="18"/>
                  <w:color w:val="0000FF"/>
                  <w:w w:val="91"/>
                </w:rPr>
                <w:t>Officer Pursuant to 18 U.S.C. Section 1350, as Adopted Pursuant to</w:t>
              </w:r>
            </w:hyperlink>
          </w:p>
        </w:tc>
        <w:tc>
          <w:tcPr>
            <w:tcW w:w="0" w:type="dxa"/>
            <w:vAlign w:val="bottom"/>
          </w:tcPr>
          <w:p>
            <w:pPr>
              <w:spacing w:after="0"/>
              <w:rPr>
                <w:sz w:val="1"/>
                <w:szCs w:val="1"/>
                <w:color w:val="auto"/>
              </w:rPr>
            </w:pPr>
          </w:p>
        </w:tc>
      </w:tr>
      <w:tr>
        <w:trPr>
          <w:trHeight w:val="156"/>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101.INS</w:t>
            </w:r>
            <w:r>
              <w:rPr>
                <w:rFonts w:ascii="Arial" w:cs="Arial" w:eastAsia="Arial" w:hAnsi="Arial"/>
                <w:sz w:val="24"/>
                <w:szCs w:val="24"/>
                <w:color w:val="auto"/>
                <w:vertAlign w:val="superscript"/>
              </w:rPr>
              <w:t>+</w:t>
            </w:r>
          </w:p>
        </w:tc>
        <w:tc>
          <w:tcPr>
            <w:tcW w:w="140" w:type="dxa"/>
            <w:vAlign w:val="bottom"/>
          </w:tcPr>
          <w:p>
            <w:pPr>
              <w:spacing w:after="0"/>
              <w:rPr>
                <w:sz w:val="13"/>
                <w:szCs w:val="13"/>
                <w:color w:val="auto"/>
              </w:rPr>
            </w:pPr>
          </w:p>
        </w:tc>
        <w:tc>
          <w:tcPr>
            <w:tcW w:w="982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82">
              <w:r>
                <w:rPr>
                  <w:rFonts w:ascii="Arial" w:cs="Arial" w:eastAsia="Arial" w:hAnsi="Arial"/>
                  <w:sz w:val="18"/>
                  <w:szCs w:val="18"/>
                  <w:color w:val="0000FF"/>
                </w:rPr>
                <w:t>Section 906 of the Sarbanes-Oxley Act of 2002.</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46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auto"/>
                <w:w w:val="92"/>
              </w:rPr>
              <w:t>Inline XBRL Instance Document – the instance</w:t>
            </w:r>
          </w:p>
        </w:tc>
        <w:tc>
          <w:tcPr>
            <w:tcW w:w="6500" w:type="dxa"/>
            <w:vAlign w:val="bottom"/>
            <w:gridSpan w:val="14"/>
          </w:tcPr>
          <w:p>
            <w:pPr>
              <w:spacing w:after="0" w:line="156" w:lineRule="exact"/>
              <w:rPr>
                <w:sz w:val="20"/>
                <w:szCs w:val="20"/>
                <w:color w:val="auto"/>
              </w:rPr>
            </w:pPr>
            <w:r>
              <w:rPr>
                <w:rFonts w:ascii="Arial" w:cs="Arial" w:eastAsia="Arial" w:hAnsi="Arial"/>
                <w:sz w:val="18"/>
                <w:szCs w:val="18"/>
                <w:color w:val="auto"/>
                <w:w w:val="90"/>
              </w:rPr>
              <w:t>document does not appear in the Interactive Data File because XBRL tags are embedded</w:t>
            </w:r>
          </w:p>
        </w:tc>
        <w:tc>
          <w:tcPr>
            <w:tcW w:w="0" w:type="dxa"/>
            <w:vAlign w:val="bottom"/>
          </w:tcPr>
          <w:p>
            <w:pPr>
              <w:spacing w:after="0"/>
              <w:rPr>
                <w:sz w:val="1"/>
                <w:szCs w:val="1"/>
                <w:color w:val="auto"/>
              </w:rPr>
            </w:pPr>
          </w:p>
        </w:tc>
      </w:tr>
      <w:tr>
        <w:trPr>
          <w:trHeight w:val="188"/>
        </w:trPr>
        <w:tc>
          <w:tcPr>
            <w:tcW w:w="1160" w:type="dxa"/>
            <w:vAlign w:val="bottom"/>
            <w:vMerge w:val="restart"/>
          </w:tcPr>
          <w:p>
            <w:pPr>
              <w:ind w:left="20"/>
              <w:spacing w:after="0"/>
              <w:rPr>
                <w:sz w:val="20"/>
                <w:szCs w:val="20"/>
                <w:color w:val="auto"/>
              </w:rPr>
            </w:pPr>
            <w:r>
              <w:rPr>
                <w:rFonts w:ascii="Arial" w:cs="Arial" w:eastAsia="Arial" w:hAnsi="Arial"/>
                <w:sz w:val="18"/>
                <w:szCs w:val="18"/>
                <w:color w:val="auto"/>
              </w:rPr>
              <w:t>101.SCH</w:t>
            </w:r>
            <w:r>
              <w:rPr>
                <w:rFonts w:ascii="Arial" w:cs="Arial" w:eastAsia="Arial" w:hAnsi="Arial"/>
                <w:sz w:val="24"/>
                <w:szCs w:val="24"/>
                <w:color w:val="auto"/>
                <w:vertAlign w:val="superscript"/>
              </w:rPr>
              <w:t>+</w:t>
            </w:r>
          </w:p>
        </w:tc>
        <w:tc>
          <w:tcPr>
            <w:tcW w:w="140" w:type="dxa"/>
            <w:vAlign w:val="bottom"/>
          </w:tcPr>
          <w:p>
            <w:pPr>
              <w:spacing w:after="0"/>
              <w:rPr>
                <w:sz w:val="16"/>
                <w:szCs w:val="16"/>
                <w:color w:val="auto"/>
              </w:rPr>
            </w:pPr>
          </w:p>
        </w:tc>
        <w:tc>
          <w:tcPr>
            <w:tcW w:w="9960" w:type="dxa"/>
            <w:vAlign w:val="bottom"/>
            <w:gridSpan w:val="19"/>
          </w:tcPr>
          <w:p>
            <w:pPr>
              <w:spacing w:after="0" w:line="189" w:lineRule="exact"/>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960" w:type="dxa"/>
            <w:vAlign w:val="bottom"/>
            <w:gridSpan w:val="19"/>
          </w:tcPr>
          <w:p>
            <w:pPr>
              <w:spacing w:after="0" w:line="176"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6"/>
                <w:szCs w:val="16"/>
                <w:color w:val="auto"/>
              </w:rPr>
              <w:t>101.CAL</w:t>
            </w:r>
            <w:r>
              <w:rPr>
                <w:rFonts w:ascii="Arial" w:cs="Arial" w:eastAsia="Arial" w:hAnsi="Arial"/>
                <w:sz w:val="21"/>
                <w:szCs w:val="21"/>
                <w:color w:val="auto"/>
                <w:vertAlign w:val="superscript"/>
              </w:rPr>
              <w:t>+</w:t>
            </w:r>
          </w:p>
        </w:tc>
        <w:tc>
          <w:tcPr>
            <w:tcW w:w="140" w:type="dxa"/>
            <w:vAlign w:val="bottom"/>
          </w:tcPr>
          <w:p>
            <w:pPr>
              <w:spacing w:after="0"/>
              <w:rPr>
                <w:sz w:val="16"/>
                <w:szCs w:val="16"/>
                <w:color w:val="auto"/>
              </w:rPr>
            </w:pPr>
          </w:p>
        </w:tc>
        <w:tc>
          <w:tcPr>
            <w:tcW w:w="996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140" w:type="dxa"/>
            <w:vAlign w:val="bottom"/>
          </w:tcPr>
          <w:p>
            <w:pPr>
              <w:spacing w:after="0"/>
              <w:rPr>
                <w:sz w:val="16"/>
                <w:szCs w:val="16"/>
                <w:color w:val="auto"/>
              </w:rPr>
            </w:pPr>
          </w:p>
        </w:tc>
        <w:tc>
          <w:tcPr>
            <w:tcW w:w="996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6"/>
                <w:szCs w:val="16"/>
                <w:color w:val="auto"/>
              </w:rPr>
              <w:t>101.LAB</w:t>
            </w:r>
            <w:r>
              <w:rPr>
                <w:rFonts w:ascii="Arial" w:cs="Arial" w:eastAsia="Arial" w:hAnsi="Arial"/>
                <w:sz w:val="21"/>
                <w:szCs w:val="21"/>
                <w:color w:val="auto"/>
                <w:vertAlign w:val="superscript"/>
              </w:rPr>
              <w:t>+</w:t>
            </w:r>
          </w:p>
        </w:tc>
        <w:tc>
          <w:tcPr>
            <w:tcW w:w="140" w:type="dxa"/>
            <w:vAlign w:val="bottom"/>
          </w:tcPr>
          <w:p>
            <w:pPr>
              <w:spacing w:after="0"/>
              <w:rPr>
                <w:sz w:val="16"/>
                <w:szCs w:val="16"/>
                <w:color w:val="auto"/>
              </w:rPr>
            </w:pPr>
          </w:p>
        </w:tc>
        <w:tc>
          <w:tcPr>
            <w:tcW w:w="996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89"/>
        </w:trPr>
        <w:tc>
          <w:tcPr>
            <w:tcW w:w="1160" w:type="dxa"/>
            <w:vAlign w:val="bottom"/>
          </w:tcPr>
          <w:p>
            <w:pPr>
              <w:ind w:left="20"/>
              <w:spacing w:after="0" w:line="189"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140" w:type="dxa"/>
            <w:vAlign w:val="bottom"/>
          </w:tcPr>
          <w:p>
            <w:pPr>
              <w:spacing w:after="0"/>
              <w:rPr>
                <w:sz w:val="16"/>
                <w:szCs w:val="16"/>
                <w:color w:val="auto"/>
              </w:rPr>
            </w:pPr>
          </w:p>
        </w:tc>
        <w:tc>
          <w:tcPr>
            <w:tcW w:w="9960" w:type="dxa"/>
            <w:vAlign w:val="bottom"/>
            <w:gridSpan w:val="19"/>
          </w:tcPr>
          <w:p>
            <w:pPr>
              <w:spacing w:after="0" w:line="189"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15"/>
        </w:trPr>
        <w:tc>
          <w:tcPr>
            <w:tcW w:w="1160" w:type="dxa"/>
            <w:vAlign w:val="bottom"/>
          </w:tcPr>
          <w:p>
            <w:pPr>
              <w:ind w:left="20"/>
              <w:spacing w:after="0"/>
              <w:rPr>
                <w:sz w:val="20"/>
                <w:szCs w:val="20"/>
                <w:color w:val="auto"/>
              </w:rPr>
            </w:pPr>
            <w:r>
              <w:rPr>
                <w:rFonts w:ascii="Arial" w:cs="Arial" w:eastAsia="Arial" w:hAnsi="Arial"/>
                <w:sz w:val="18"/>
                <w:szCs w:val="18"/>
                <w:color w:val="auto"/>
              </w:rPr>
              <w:t>104</w:t>
            </w:r>
            <w:r>
              <w:rPr>
                <w:rFonts w:ascii="Arial" w:cs="Arial" w:eastAsia="Arial" w:hAnsi="Arial"/>
                <w:sz w:val="24"/>
                <w:szCs w:val="24"/>
                <w:color w:val="auto"/>
                <w:vertAlign w:val="superscript"/>
              </w:rPr>
              <w:t>+</w:t>
            </w:r>
          </w:p>
        </w:tc>
        <w:tc>
          <w:tcPr>
            <w:tcW w:w="140" w:type="dxa"/>
            <w:vAlign w:val="bottom"/>
          </w:tcPr>
          <w:p>
            <w:pPr>
              <w:spacing w:after="0"/>
              <w:rPr>
                <w:sz w:val="24"/>
                <w:szCs w:val="24"/>
                <w:color w:val="auto"/>
              </w:rPr>
            </w:pPr>
          </w:p>
        </w:tc>
        <w:tc>
          <w:tcPr>
            <w:tcW w:w="9960" w:type="dxa"/>
            <w:vAlign w:val="bottom"/>
            <w:gridSpan w:val="19"/>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right="180" w:firstLine="8"/>
        <w:spacing w:after="0" w:line="243" w:lineRule="auto"/>
        <w:tabs>
          <w:tab w:leader="none" w:pos="1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certifications attached as Exhibits 31.1, 31.2 and 32.1 that accompany this Quarterly Report on Form 10-Q are not deemed filed with the Securities and Exchange Commission and are not to be incorporated by reference into any filing of Definitive Healthcare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2" w:name="page43"/>
    <w:bookmarkEnd w:id="4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DEFINITIVE HEALTHCARE CORP.</w:t>
      </w:r>
    </w:p>
    <w:p>
      <w:pPr>
        <w:spacing w:after="0" w:line="12"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Registrant</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27"/>
        </w:trPr>
        <w:tc>
          <w:tcPr>
            <w:tcW w:w="2700" w:type="dxa"/>
            <w:vAlign w:val="bottom"/>
            <w:vMerge w:val="restart"/>
          </w:tcPr>
          <w:p>
            <w:pPr>
              <w:spacing w:after="0"/>
              <w:rPr>
                <w:sz w:val="20"/>
                <w:szCs w:val="20"/>
                <w:color w:val="auto"/>
              </w:rPr>
            </w:pPr>
            <w:r>
              <w:rPr>
                <w:rFonts w:ascii="Arial" w:cs="Arial" w:eastAsia="Arial" w:hAnsi="Arial"/>
                <w:sz w:val="18"/>
                <w:szCs w:val="18"/>
                <w:color w:val="auto"/>
              </w:rPr>
              <w:t>August 4, 2022</w:t>
            </w:r>
          </w:p>
        </w:tc>
        <w:tc>
          <w:tcPr>
            <w:tcW w:w="2500" w:type="dxa"/>
            <w:vAlign w:val="bottom"/>
            <w:vMerge w:val="restart"/>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Robert Musslewhite</w:t>
            </w:r>
          </w:p>
        </w:tc>
        <w:tc>
          <w:tcPr>
            <w:tcW w:w="0" w:type="dxa"/>
            <w:vAlign w:val="bottom"/>
          </w:tcPr>
          <w:p>
            <w:pPr>
              <w:spacing w:after="0"/>
              <w:rPr>
                <w:sz w:val="1"/>
                <w:szCs w:val="1"/>
                <w:color w:val="auto"/>
              </w:rPr>
            </w:pPr>
          </w:p>
        </w:tc>
      </w:tr>
      <w:tr>
        <w:trPr>
          <w:trHeight w:val="39"/>
        </w:trPr>
        <w:tc>
          <w:tcPr>
            <w:tcW w:w="2700" w:type="dxa"/>
            <w:vAlign w:val="bottom"/>
            <w:tcBorders>
              <w:bottom w:val="single" w:sz="8" w:color="auto"/>
            </w:tcBorders>
            <w:vMerge w:val="continue"/>
          </w:tcPr>
          <w:p>
            <w:pPr>
              <w:spacing w:after="0"/>
              <w:rPr>
                <w:sz w:val="2"/>
                <w:szCs w:val="2"/>
                <w:color w:val="auto"/>
              </w:rPr>
            </w:pPr>
          </w:p>
        </w:tc>
        <w:tc>
          <w:tcPr>
            <w:tcW w:w="2500" w:type="dxa"/>
            <w:vAlign w:val="bottom"/>
            <w:vMerge w:val="continue"/>
          </w:tcPr>
          <w:p>
            <w:pPr>
              <w:spacing w:after="0"/>
              <w:rPr>
                <w:sz w:val="2"/>
                <w:szCs w:val="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Robert Musslewhite</w:t>
            </w:r>
          </w:p>
        </w:tc>
        <w:tc>
          <w:tcPr>
            <w:tcW w:w="0" w:type="dxa"/>
            <w:vAlign w:val="bottom"/>
          </w:tcPr>
          <w:p>
            <w:pPr>
              <w:spacing w:after="0"/>
              <w:rPr>
                <w:sz w:val="1"/>
                <w:szCs w:val="1"/>
                <w:color w:val="auto"/>
              </w:rPr>
            </w:pPr>
          </w:p>
        </w:tc>
      </w:tr>
      <w:tr>
        <w:trPr>
          <w:trHeight w:val="182"/>
        </w:trPr>
        <w:tc>
          <w:tcPr>
            <w:tcW w:w="2700" w:type="dxa"/>
            <w:vAlign w:val="bottom"/>
          </w:tcPr>
          <w:p>
            <w:pPr>
              <w:spacing w:after="0" w:line="182" w:lineRule="exact"/>
              <w:rPr>
                <w:sz w:val="20"/>
                <w:szCs w:val="20"/>
                <w:color w:val="auto"/>
              </w:rPr>
            </w:pPr>
            <w:r>
              <w:rPr>
                <w:rFonts w:ascii="Arial" w:cs="Arial" w:eastAsia="Arial" w:hAnsi="Arial"/>
                <w:sz w:val="18"/>
                <w:szCs w:val="18"/>
                <w:color w:val="auto"/>
              </w:rPr>
              <w:t>Date</w:t>
            </w:r>
          </w:p>
        </w:tc>
        <w:tc>
          <w:tcPr>
            <w:tcW w:w="25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432"/>
        </w:trPr>
        <w:tc>
          <w:tcPr>
            <w:tcW w:w="2700" w:type="dxa"/>
            <w:vAlign w:val="bottom"/>
            <w:vMerge w:val="restart"/>
          </w:tcPr>
          <w:p>
            <w:pPr>
              <w:spacing w:after="0"/>
              <w:rPr>
                <w:sz w:val="20"/>
                <w:szCs w:val="20"/>
                <w:color w:val="auto"/>
              </w:rPr>
            </w:pPr>
            <w:r>
              <w:rPr>
                <w:rFonts w:ascii="Arial" w:cs="Arial" w:eastAsia="Arial" w:hAnsi="Arial"/>
                <w:sz w:val="18"/>
                <w:szCs w:val="18"/>
                <w:color w:val="auto"/>
              </w:rPr>
              <w:t>August 4, 2022</w:t>
            </w:r>
          </w:p>
        </w:tc>
        <w:tc>
          <w:tcPr>
            <w:tcW w:w="2500" w:type="dxa"/>
            <w:vAlign w:val="bottom"/>
            <w:vMerge w:val="restart"/>
          </w:tcPr>
          <w:p>
            <w:pPr>
              <w:ind w:left="21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53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Richard Booth</w:t>
            </w:r>
          </w:p>
        </w:tc>
        <w:tc>
          <w:tcPr>
            <w:tcW w:w="0" w:type="dxa"/>
            <w:vAlign w:val="bottom"/>
          </w:tcPr>
          <w:p>
            <w:pPr>
              <w:spacing w:after="0"/>
              <w:rPr>
                <w:sz w:val="1"/>
                <w:szCs w:val="1"/>
                <w:color w:val="auto"/>
              </w:rPr>
            </w:pPr>
          </w:p>
        </w:tc>
      </w:tr>
      <w:tr>
        <w:trPr>
          <w:trHeight w:val="39"/>
        </w:trPr>
        <w:tc>
          <w:tcPr>
            <w:tcW w:w="2700" w:type="dxa"/>
            <w:vAlign w:val="bottom"/>
            <w:tcBorders>
              <w:bottom w:val="single" w:sz="8" w:color="auto"/>
            </w:tcBorders>
            <w:vMerge w:val="continue"/>
          </w:tcPr>
          <w:p>
            <w:pPr>
              <w:spacing w:after="0"/>
              <w:rPr>
                <w:sz w:val="2"/>
                <w:szCs w:val="2"/>
                <w:color w:val="auto"/>
              </w:rPr>
            </w:pPr>
          </w:p>
        </w:tc>
        <w:tc>
          <w:tcPr>
            <w:tcW w:w="2500" w:type="dxa"/>
            <w:vAlign w:val="bottom"/>
            <w:vMerge w:val="continue"/>
          </w:tcPr>
          <w:p>
            <w:pPr>
              <w:spacing w:after="0"/>
              <w:rPr>
                <w:sz w:val="2"/>
                <w:szCs w:val="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8"/>
                <w:szCs w:val="18"/>
                <w:color w:val="auto"/>
              </w:rPr>
              <w:t>Name:</w:t>
            </w:r>
          </w:p>
        </w:tc>
        <w:tc>
          <w:tcPr>
            <w:tcW w:w="4700" w:type="dxa"/>
            <w:vAlign w:val="bottom"/>
            <w:vMerge w:val="restart"/>
          </w:tcPr>
          <w:p>
            <w:pPr>
              <w:ind w:left="140"/>
              <w:spacing w:after="0"/>
              <w:rPr>
                <w:sz w:val="20"/>
                <w:szCs w:val="20"/>
                <w:color w:val="auto"/>
              </w:rPr>
            </w:pPr>
            <w:r>
              <w:rPr>
                <w:rFonts w:ascii="Arial" w:cs="Arial" w:eastAsia="Arial" w:hAnsi="Arial"/>
                <w:sz w:val="18"/>
                <w:szCs w:val="18"/>
                <w:color w:val="auto"/>
              </w:rPr>
              <w:t>Richard Booth</w:t>
            </w:r>
          </w:p>
        </w:tc>
        <w:tc>
          <w:tcPr>
            <w:tcW w:w="0" w:type="dxa"/>
            <w:vAlign w:val="bottom"/>
          </w:tcPr>
          <w:p>
            <w:pPr>
              <w:spacing w:after="0"/>
              <w:rPr>
                <w:sz w:val="1"/>
                <w:szCs w:val="1"/>
                <w:color w:val="auto"/>
              </w:rPr>
            </w:pPr>
          </w:p>
        </w:tc>
      </w:tr>
      <w:tr>
        <w:trPr>
          <w:trHeight w:val="182"/>
        </w:trPr>
        <w:tc>
          <w:tcPr>
            <w:tcW w:w="2700" w:type="dxa"/>
            <w:vAlign w:val="bottom"/>
          </w:tcPr>
          <w:p>
            <w:pPr>
              <w:spacing w:after="0" w:line="182" w:lineRule="exact"/>
              <w:rPr>
                <w:sz w:val="20"/>
                <w:szCs w:val="20"/>
                <w:color w:val="auto"/>
              </w:rPr>
            </w:pPr>
            <w:r>
              <w:rPr>
                <w:rFonts w:ascii="Arial" w:cs="Arial" w:eastAsia="Arial" w:hAnsi="Arial"/>
                <w:sz w:val="18"/>
                <w:szCs w:val="18"/>
                <w:color w:val="auto"/>
              </w:rPr>
              <w:t>Date</w:t>
            </w:r>
          </w:p>
        </w:tc>
        <w:tc>
          <w:tcPr>
            <w:tcW w:w="250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Title:</w:t>
            </w:r>
          </w:p>
        </w:tc>
        <w:tc>
          <w:tcPr>
            <w:tcW w:w="4700" w:type="dxa"/>
            <w:vAlign w:val="bottom"/>
          </w:tcPr>
          <w:p>
            <w:pPr>
              <w:ind w:left="14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ind w:left="4340"/>
        <w:spacing w:after="0"/>
        <w:rPr>
          <w:sz w:val="20"/>
          <w:szCs w:val="20"/>
          <w:color w:val="auto"/>
        </w:rPr>
      </w:pPr>
      <w:r>
        <w:rPr>
          <w:rFonts w:ascii="Arial" w:cs="Arial" w:eastAsia="Arial" w:hAnsi="Arial"/>
          <w:sz w:val="22"/>
          <w:szCs w:val="22"/>
          <w:b w:val="1"/>
          <w:bCs w:val="1"/>
          <w:color w:val="auto"/>
        </w:rPr>
        <w:t>Definitive Healthcare Corp.</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2021 Equity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5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Robert Musslewhite (the “</w:t>
      </w:r>
      <w:r>
        <w:rPr>
          <w:rFonts w:ascii="Arial" w:cs="Arial" w:eastAsia="Arial" w:hAnsi="Arial"/>
          <w:sz w:val="22"/>
          <w:szCs w:val="22"/>
          <w:u w:val="single" w:color="auto"/>
          <w:color w:val="auto"/>
        </w:rPr>
        <w:t>Participant</w:t>
      </w:r>
      <w:r>
        <w:rPr>
          <w:rFonts w:ascii="Arial" w:cs="Arial" w:eastAsia="Arial" w:hAnsi="Arial"/>
          <w:sz w:val="22"/>
          <w:szCs w:val="22"/>
          <w:color w:val="auto"/>
        </w:rPr>
        <w:t>”), effective as of May 3, 2022 (the “</w:t>
      </w:r>
      <w:r>
        <w:rPr>
          <w:rFonts w:ascii="Arial" w:cs="Arial" w:eastAsia="Arial" w:hAnsi="Arial"/>
          <w:sz w:val="22"/>
          <w:szCs w:val="22"/>
          <w:u w:val="single" w:color="auto"/>
          <w:color w:val="auto"/>
        </w:rPr>
        <w:t>Date of Grant</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93"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Definitive Healthcare Corp. 2021 Equity Incentive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and made a part of this Agreement. Capitalized terms not otherwise defined in this Agreement shall have the meanings ascribed to those terms in the Plan (or if not defined in the Plan but in the Employment Agreement, in the Employment Agreement); and</w:t>
      </w:r>
    </w:p>
    <w:p>
      <w:pPr>
        <w:spacing w:after="0" w:line="12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Committee has authorized and approved the grant of an Award to the Participant that will</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the Participant the opportunity to receive shares of Common Stock upon the settlement of restricted stock units on the terms and conditions set forth in the Plan and this Agreement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10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14" w:lineRule="exact"/>
        <w:rPr>
          <w:sz w:val="20"/>
          <w:szCs w:val="20"/>
          <w:color w:val="auto"/>
        </w:rPr>
      </w:pPr>
    </w:p>
    <w:p>
      <w:pPr>
        <w:ind w:left="760" w:right="20" w:hanging="752"/>
        <w:spacing w:after="0" w:line="250" w:lineRule="auto"/>
        <w:tabs>
          <w:tab w:leader="none" w:pos="760" w:val="left"/>
        </w:tabs>
        <w:numPr>
          <w:ilvl w:val="0"/>
          <w:numId w:val="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effective as of the Date of Grant, 333,322 Restricted Stock Units, on the terms and conditions set forth in the Plan and this Agreement.</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ind w:left="760" w:hanging="752"/>
        <w:spacing w:after="0" w:line="250" w:lineRule="auto"/>
        <w:tabs>
          <w:tab w:leader="none" w:pos="760" w:val="left"/>
        </w:tabs>
        <w:numPr>
          <w:ilvl w:val="0"/>
          <w:numId w:val="15"/>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Subject to the terms and conditions set forth in the Plan and this Agreement, the Restricted Stock Units shall vest as follows:</w:t>
      </w:r>
    </w:p>
    <w:p>
      <w:pPr>
        <w:spacing w:after="0" w:line="174" w:lineRule="exact"/>
        <w:rPr>
          <w:rFonts w:ascii="Arial" w:cs="Arial" w:eastAsia="Arial" w:hAnsi="Arial"/>
          <w:sz w:val="22"/>
          <w:szCs w:val="22"/>
          <w:u w:val="single" w:color="auto"/>
          <w:color w:val="auto"/>
        </w:rPr>
      </w:pPr>
    </w:p>
    <w:p>
      <w:pPr>
        <w:jc w:val="both"/>
        <w:ind w:left="1500" w:hanging="369"/>
        <w:spacing w:after="0" w:line="282" w:lineRule="auto"/>
        <w:tabs>
          <w:tab w:leader="none" w:pos="1500"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Thirty percent (30%) of the Restricted Stock Units shall vest on the first anniversary of May 4, 2022 (the “</w:t>
      </w:r>
      <w:r>
        <w:rPr>
          <w:rFonts w:ascii="Arial" w:cs="Arial" w:eastAsia="Arial" w:hAnsi="Arial"/>
          <w:sz w:val="19"/>
          <w:szCs w:val="19"/>
          <w:u w:val="single" w:color="auto"/>
          <w:color w:val="auto"/>
        </w:rPr>
        <w:t>Vesting Start Date</w:t>
      </w:r>
      <w:r>
        <w:rPr>
          <w:rFonts w:ascii="Arial" w:cs="Arial" w:eastAsia="Arial" w:hAnsi="Arial"/>
          <w:sz w:val="19"/>
          <w:szCs w:val="19"/>
          <w:color w:val="auto"/>
        </w:rPr>
        <w:t>”), and the remaining seventy percent (70%) of the Restricted Stock Units shall vest in substantially equal installments at the end of each three-month period measured from the first anniversary of the Vesting Start Date (each, a “</w:t>
      </w:r>
      <w:r>
        <w:rPr>
          <w:rFonts w:ascii="Arial" w:cs="Arial" w:eastAsia="Arial" w:hAnsi="Arial"/>
          <w:sz w:val="19"/>
          <w:szCs w:val="19"/>
          <w:u w:val="single" w:color="auto"/>
          <w:color w:val="auto"/>
        </w:rPr>
        <w:t>Vesting Date</w:t>
      </w:r>
      <w:r>
        <w:rPr>
          <w:rFonts w:ascii="Arial" w:cs="Arial" w:eastAsia="Arial" w:hAnsi="Arial"/>
          <w:sz w:val="19"/>
          <w:szCs w:val="19"/>
          <w:color w:val="auto"/>
        </w:rPr>
        <w:t>”) for a period of thirty (30) months, subject to the Participant’s continued Service through the applicable Vesting Date (except as provided in Section 2(b).</w:t>
      </w:r>
    </w:p>
    <w:p>
      <w:pPr>
        <w:spacing w:after="0" w:line="147" w:lineRule="exact"/>
        <w:rPr>
          <w:rFonts w:ascii="Arial" w:cs="Arial" w:eastAsia="Arial" w:hAnsi="Arial"/>
          <w:sz w:val="19"/>
          <w:szCs w:val="19"/>
          <w:color w:val="auto"/>
        </w:rPr>
      </w:pPr>
    </w:p>
    <w:p>
      <w:pPr>
        <w:jc w:val="both"/>
        <w:ind w:left="1500" w:hanging="369"/>
        <w:spacing w:after="0" w:line="236" w:lineRule="auto"/>
        <w:tabs>
          <w:tab w:leader="none" w:pos="150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Termination of Service; Breach</w:t>
      </w:r>
      <w:r>
        <w:rPr>
          <w:rFonts w:ascii="Arial" w:cs="Arial" w:eastAsia="Arial" w:hAnsi="Arial"/>
          <w:sz w:val="22"/>
          <w:szCs w:val="22"/>
          <w:color w:val="auto"/>
        </w:rPr>
        <w:t>. Except as set forth in Section 11 of the Employment Agreement between Definitive Healthcare, LLC and the Participant, dated May 4, 2022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 notwithstanding Section 11.3 of the Plan, which shall not apply to this Agreement, upon termination of the Participant’s Service for any other reason or no reason, any then unvested Restricted Stock Units will be forfeited immediately, automatically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44" w:name="page45"/>
    <w:bookmarkEnd w:id="44"/>
    <w:p>
      <w:pPr>
        <w:ind w:left="1500"/>
        <w:spacing w:after="0" w:line="284" w:lineRule="auto"/>
        <w:rPr>
          <w:sz w:val="20"/>
          <w:szCs w:val="20"/>
          <w:color w:val="auto"/>
        </w:rPr>
      </w:pPr>
      <w:r>
        <w:rPr>
          <w:rFonts w:ascii="Arial" w:cs="Arial" w:eastAsia="Arial" w:hAnsi="Arial"/>
          <w:sz w:val="19"/>
          <w:szCs w:val="19"/>
          <w:color w:val="auto"/>
        </w:rPr>
        <w:t>consideration. If the Participant breaches and if such breach is capable of being cured in all material respects, fails to cure in all material respects, Section 5, 6 or 7 of the Employment Agreement, any vested or unvested</w:t>
      </w:r>
    </w:p>
    <w:p>
      <w:pPr>
        <w:jc w:val="center"/>
        <w:ind w:right="100"/>
        <w:spacing w:after="0"/>
        <w:rPr>
          <w:sz w:val="20"/>
          <w:szCs w:val="20"/>
          <w:color w:val="auto"/>
        </w:rPr>
      </w:pPr>
      <w:r>
        <w:rPr>
          <w:rFonts w:ascii="Arial" w:cs="Arial" w:eastAsia="Arial" w:hAnsi="Arial"/>
          <w:sz w:val="22"/>
          <w:szCs w:val="22"/>
          <w:color w:val="auto"/>
        </w:rPr>
        <w:t>Restricted Stock Units will be forfeited immediately, automatically and without consideration.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1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77" w:lineRule="auto"/>
        <w:tabs>
          <w:tab w:leader="none" w:pos="150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The Company shall deliver to the Participant within thirty (30) days following each Vesting Date or the vesting date under Section 11 of the Employment Agreement, as applicable, a number of shares of Common Stock equal to the number of Restricted Stock Units that vested or otherwise became issuable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0" w:lineRule="exact"/>
        <w:rPr>
          <w:rFonts w:ascii="Arial" w:cs="Arial" w:eastAsia="Arial" w:hAnsi="Arial"/>
          <w:sz w:val="19"/>
          <w:szCs w:val="19"/>
          <w:color w:val="auto"/>
        </w:rPr>
      </w:pPr>
    </w:p>
    <w:p>
      <w:pPr>
        <w:spacing w:after="0" w:line="370" w:lineRule="exact"/>
        <w:rPr>
          <w:rFonts w:ascii="Arial" w:cs="Arial" w:eastAsia="Arial" w:hAnsi="Arial"/>
          <w:sz w:val="19"/>
          <w:szCs w:val="19"/>
          <w:color w:val="auto"/>
        </w:rPr>
      </w:pPr>
    </w:p>
    <w:p>
      <w:pPr>
        <w:jc w:val="both"/>
        <w:ind w:left="1500" w:hanging="743"/>
        <w:spacing w:after="0" w:line="274" w:lineRule="auto"/>
        <w:tabs>
          <w:tab w:leader="none" w:pos="1500"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Unless the Company and the Participant otherwise agree, the Company shall deduct or withhold from any shares of Common Stock deliverable under this Agreement amounts necessary to satisfy all federal, state and local taxes required to be withheld in connection with the settlement of the Restricted Stock Units. In addition, to the extent permitted by the Committee in its sole discretion,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and the Participant may also agree to satisfy some or all of any applicable tax withholding obligations by any means allowable under Section 14 of the Plan.</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ind w:left="760" w:hanging="752"/>
        <w:spacing w:after="0"/>
        <w:tabs>
          <w:tab w:leader="none" w:pos="760" w:val="left"/>
        </w:tabs>
        <w:numPr>
          <w:ilvl w:val="0"/>
          <w:numId w:val="1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 and Non-Use of the Company’s Trade Secrets or Confidential Information</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ind w:left="1500" w:right="20" w:hanging="743"/>
        <w:spacing w:after="0" w:line="250" w:lineRule="auto"/>
        <w:tabs>
          <w:tab w:leader="none" w:pos="1500" w:val="left"/>
        </w:tabs>
        <w:numPr>
          <w:ilvl w:val="1"/>
          <w:numId w:val="16"/>
        </w:numPr>
        <w:rPr>
          <w:rFonts w:ascii="Arial" w:cs="Arial" w:eastAsia="Arial" w:hAnsi="Arial"/>
          <w:sz w:val="22"/>
          <w:szCs w:val="22"/>
          <w:color w:val="auto"/>
        </w:rPr>
      </w:pPr>
      <w:r>
        <w:rPr>
          <w:rFonts w:ascii="Arial" w:cs="Arial" w:eastAsia="Arial" w:hAnsi="Arial"/>
          <w:sz w:val="22"/>
          <w:szCs w:val="22"/>
          <w:color w:val="auto"/>
        </w:rPr>
        <w:t>At all times during and following Participant’s Service, Participant agrees that he or she will not, either directly or indirectly, and Participant will not permit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5" w:name="page46"/>
    <w:bookmarkEnd w:id="45"/>
    <w:p>
      <w:pPr>
        <w:jc w:val="both"/>
        <w:ind w:left="380"/>
        <w:spacing w:after="0" w:line="268" w:lineRule="auto"/>
        <w:rPr>
          <w:sz w:val="20"/>
          <w:szCs w:val="20"/>
          <w:color w:val="auto"/>
        </w:rPr>
      </w:pPr>
      <w:r>
        <w:rPr>
          <w:rFonts w:ascii="Arial" w:cs="Arial" w:eastAsia="Arial" w:hAnsi="Arial"/>
          <w:sz w:val="19"/>
          <w:szCs w:val="19"/>
          <w:color w:val="auto"/>
        </w:rPr>
        <w:t>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448945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3" w:right="339" w:bottom="1440" w:gutter="0" w:footer="0" w:header="0"/>
        </w:sectPr>
      </w:pPr>
    </w:p>
    <w:bookmarkStart w:id="46" w:name="page47"/>
    <w:bookmarkEnd w:id="46"/>
    <w:p>
      <w:pPr>
        <w:jc w:val="both"/>
        <w:ind w:left="1500" w:hanging="743"/>
        <w:spacing w:after="0" w:line="274" w:lineRule="auto"/>
        <w:tabs>
          <w:tab w:leader="none" w:pos="1500" w:val="left"/>
        </w:tabs>
        <w:numPr>
          <w:ilvl w:val="1"/>
          <w:numId w:val="17"/>
        </w:numPr>
        <w:rPr>
          <w:rFonts w:ascii="Arial" w:cs="Arial" w:eastAsia="Arial" w:hAnsi="Arial"/>
          <w:sz w:val="19"/>
          <w:szCs w:val="19"/>
          <w:color w:val="auto"/>
        </w:rPr>
      </w:pPr>
      <w:r>
        <w:rPr>
          <w:rFonts w:ascii="Arial" w:cs="Arial" w:eastAsia="Arial" w:hAnsi="Arial"/>
          <w:sz w:val="19"/>
          <w:szCs w:val="19"/>
          <w:color w:val="auto"/>
        </w:rPr>
        <w:t xml:space="preserve">Notwithstanding Participant’s confidentiality obligations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jc w:val="both"/>
        <w:ind w:left="1500" w:hanging="743"/>
        <w:spacing w:after="0" w:line="245" w:lineRule="auto"/>
        <w:tabs>
          <w:tab w:leader="none" w:pos="1500" w:val="left"/>
        </w:tabs>
        <w:numPr>
          <w:ilvl w:val="1"/>
          <w:numId w:val="17"/>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Arial" w:cs="Arial" w:eastAsia="Arial" w:hAnsi="Arial"/>
          <w:sz w:val="21"/>
          <w:szCs w:val="21"/>
          <w:u w:val="single" w:color="auto"/>
          <w:color w:val="auto"/>
        </w:rPr>
        <w:t>Government Agency</w:t>
      </w:r>
      <w:r>
        <w:rPr>
          <w:rFonts w:ascii="Arial" w:cs="Arial" w:eastAsia="Arial" w:hAnsi="Arial"/>
          <w:sz w:val="21"/>
          <w:szCs w:val="21"/>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1500" w:hanging="743"/>
        <w:spacing w:after="0"/>
        <w:tabs>
          <w:tab w:leader="none" w:pos="15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the terms of Section 5 of the Employment Agreement shall apply for purposes of the Participant’s obligations regarding the use or disclosure of the Company’s confidential information and trade secrets.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380" w:right="20" w:hanging="372"/>
        <w:spacing w:after="0" w:line="250" w:lineRule="auto"/>
        <w:tabs>
          <w:tab w:leader="none" w:pos="380"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During the term of Participant’s Service and for 12 months following the termination of Participant’s Service (the “Restricted Period”):</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jc w:val="both"/>
        <w:ind w:left="1500" w:hanging="743"/>
        <w:spacing w:after="0"/>
        <w:tabs>
          <w:tab w:leader="none" w:pos="1500" w:val="left"/>
        </w:tabs>
        <w:numPr>
          <w:ilvl w:val="1"/>
          <w:numId w:val="18"/>
        </w:numPr>
        <w:rPr>
          <w:rFonts w:ascii="Arial" w:cs="Arial" w:eastAsia="Arial" w:hAnsi="Arial"/>
          <w:sz w:val="22"/>
          <w:szCs w:val="22"/>
          <w:color w:val="auto"/>
        </w:rPr>
      </w:pPr>
      <w:r>
        <w:rPr>
          <w:rFonts w:ascii="Arial" w:cs="Arial" w:eastAsia="Arial" w:hAnsi="Arial"/>
          <w:sz w:val="22"/>
          <w:szCs w:val="22"/>
          <w:color w:val="auto"/>
        </w:rPr>
        <w:t>Participant will not, directly or indirectly, individually or as a consultant to, or an Participant, officer, director, manager, stockholder, partner, member or other owner or participant in any business entity (including, without limitation, any competitor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7" w:name="page48"/>
    <w:bookmarkEnd w:id="47"/>
    <w:p>
      <w:pPr>
        <w:jc w:val="both"/>
        <w:ind w:left="1500"/>
        <w:spacing w:after="0" w:line="275" w:lineRule="auto"/>
        <w:rPr>
          <w:sz w:val="20"/>
          <w:szCs w:val="20"/>
          <w:color w:val="auto"/>
        </w:rPr>
      </w:pPr>
      <w:r>
        <w:rPr>
          <w:rFonts w:ascii="Arial" w:cs="Arial" w:eastAsia="Arial" w:hAnsi="Arial"/>
          <w:sz w:val="19"/>
          <w:szCs w:val="19"/>
          <w:color w:val="auto"/>
        </w:rPr>
        <w:t>of the Company), other than the Company, engage in or assist any other person or entity to engage in any business which competes with any business in which the Company is engaging or the actual or demonstrably anticipated research or development of the Company (a “Competing Business”), during the Participant’s employment, anywhere in the United States or anywhere else in the world where the Company does business or plans to do business or is considering doing business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200" w:lineRule="exact"/>
        <w:rPr>
          <w:sz w:val="20"/>
          <w:szCs w:val="20"/>
          <w:color w:val="auto"/>
        </w:rPr>
      </w:pPr>
    </w:p>
    <w:p>
      <w:pPr>
        <w:spacing w:after="0" w:line="376" w:lineRule="exact"/>
        <w:rPr>
          <w:sz w:val="20"/>
          <w:szCs w:val="20"/>
          <w:color w:val="auto"/>
        </w:rPr>
      </w:pPr>
    </w:p>
    <w:p>
      <w:pPr>
        <w:jc w:val="both"/>
        <w:ind w:left="1500" w:hanging="743"/>
        <w:spacing w:after="0" w:line="279" w:lineRule="auto"/>
        <w:tabs>
          <w:tab w:leader="none" w:pos="15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35" w:lineRule="auto"/>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jc w:val="both"/>
        <w:ind w:left="1500" w:hanging="743"/>
        <w:spacing w:after="0"/>
        <w:tabs>
          <w:tab w:leader="none" w:pos="15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5, the terms of Sections 6 and 7 of the Employment Agreement shall apply for purposes of the Participant’s obligations regarding non-competition and non-solicitation.</w:t>
      </w:r>
    </w:p>
    <w:p>
      <w:pPr>
        <w:spacing w:after="0" w:line="389" w:lineRule="exact"/>
        <w:rPr>
          <w:sz w:val="20"/>
          <w:szCs w:val="20"/>
          <w:color w:val="auto"/>
        </w:rPr>
      </w:pPr>
    </w:p>
    <w:p>
      <w:pPr>
        <w:jc w:val="both"/>
        <w:ind w:left="380" w:hanging="372"/>
        <w:spacing w:after="0" w:line="249" w:lineRule="auto"/>
        <w:tabs>
          <w:tab w:leader="none" w:pos="380" w:val="left"/>
        </w:tabs>
        <w:numPr>
          <w:ilvl w:val="0"/>
          <w:numId w:val="20"/>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Enforcement; Remedies</w:t>
      </w:r>
      <w:r>
        <w:rPr>
          <w:rFonts w:ascii="Arial" w:cs="Arial" w:eastAsia="Arial" w:hAnsi="Arial"/>
          <w:sz w:val="21"/>
          <w:szCs w:val="21"/>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8" w:name="page49"/>
    <w:bookmarkEnd w:id="48"/>
    <w:p>
      <w:pPr>
        <w:jc w:val="both"/>
        <w:ind w:left="380"/>
        <w:spacing w:after="0" w:line="271" w:lineRule="auto"/>
        <w:rPr>
          <w:sz w:val="20"/>
          <w:szCs w:val="20"/>
          <w:color w:val="auto"/>
        </w:rPr>
      </w:pPr>
      <w:r>
        <w:rPr>
          <w:rFonts w:ascii="Arial" w:cs="Arial" w:eastAsia="Arial" w:hAnsi="Arial"/>
          <w:sz w:val="19"/>
          <w:szCs w:val="19"/>
          <w:color w:val="auto"/>
        </w:rPr>
        <w:t>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(“Fairness Extension”).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 Notwithstanding the foregoing, the terms of Section 8 of the Employment Agreement shall apply.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right="300" w:hanging="372"/>
        <w:spacing w:after="0" w:line="328" w:lineRule="auto"/>
        <w:tabs>
          <w:tab w:leader="none" w:pos="380" w:val="left"/>
        </w:tabs>
        <w:numPr>
          <w:ilvl w:val="0"/>
          <w:numId w:val="2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To the extent used expressly in this Agreement, the following definitions shall apply. To the extent the same term is defined in the Employment Agreement, the term as defined in the Employment Agreement shall apply.</w:t>
      </w:r>
    </w:p>
    <w:p>
      <w:pPr>
        <w:spacing w:after="0" w:line="200" w:lineRule="exact"/>
        <w:rPr>
          <w:rFonts w:ascii="Arial" w:cs="Arial" w:eastAsia="Arial" w:hAnsi="Arial"/>
          <w:sz w:val="19"/>
          <w:szCs w:val="19"/>
          <w:u w:val="single" w:color="auto"/>
          <w:color w:val="auto"/>
        </w:rPr>
      </w:pPr>
    </w:p>
    <w:p>
      <w:pPr>
        <w:spacing w:after="0" w:line="323" w:lineRule="exact"/>
        <w:rPr>
          <w:rFonts w:ascii="Arial" w:cs="Arial" w:eastAsia="Arial" w:hAnsi="Arial"/>
          <w:sz w:val="19"/>
          <w:szCs w:val="19"/>
          <w:u w:val="single" w:color="auto"/>
          <w:color w:val="auto"/>
        </w:rPr>
      </w:pPr>
    </w:p>
    <w:p>
      <w:pPr>
        <w:jc w:val="both"/>
        <w:ind w:left="1500" w:hanging="650"/>
        <w:spacing w:after="0" w:line="272" w:lineRule="auto"/>
        <w:tabs>
          <w:tab w:leader="none" w:pos="15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9" w:name="page50"/>
    <w:bookmarkEnd w:id="49"/>
    <w:p>
      <w:pPr>
        <w:ind w:left="650"/>
        <w:spacing w:after="0" w:line="250" w:lineRule="auto"/>
        <w:rPr>
          <w:sz w:val="20"/>
          <w:szCs w:val="20"/>
          <w:color w:val="auto"/>
        </w:rPr>
      </w:pPr>
      <w:r>
        <w:rPr>
          <w:rFonts w:ascii="Arial" w:cs="Arial" w:eastAsia="Arial" w:hAnsi="Arial"/>
          <w:sz w:val="22"/>
          <w:szCs w:val="22"/>
          <w:color w:val="auto"/>
        </w:rPr>
        <w:t>is or becomes known to Participant other than through Participant’s work for the Company, or (z) is or becomes generally available to the public.</w:t>
      </w:r>
    </w:p>
    <w:p>
      <w:pPr>
        <w:spacing w:after="0" w:line="200" w:lineRule="exact"/>
        <w:rPr>
          <w:sz w:val="20"/>
          <w:szCs w:val="20"/>
          <w:color w:val="auto"/>
        </w:rPr>
      </w:pPr>
    </w:p>
    <w:p>
      <w:pPr>
        <w:spacing w:after="0" w:line="393" w:lineRule="exact"/>
        <w:rPr>
          <w:sz w:val="20"/>
          <w:szCs w:val="20"/>
          <w:color w:val="auto"/>
        </w:rPr>
      </w:pPr>
    </w:p>
    <w:p>
      <w:pPr>
        <w:jc w:val="both"/>
        <w:ind w:left="650" w:hanging="650"/>
        <w:spacing w:after="0" w:line="236" w:lineRule="auto"/>
        <w:tabs>
          <w:tab w:leader="none" w:pos="650" w:val="left"/>
        </w:tabs>
        <w:numPr>
          <w:ilvl w:val="0"/>
          <w:numId w:val="2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left="650" w:hanging="650"/>
        <w:spacing w:after="0" w:line="245" w:lineRule="auto"/>
        <w:tabs>
          <w:tab w:leader="none" w:pos="65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650" w:hanging="650"/>
        <w:spacing w:after="0" w:line="274" w:lineRule="auto"/>
        <w:tabs>
          <w:tab w:leader="none" w:pos="650" w:val="left"/>
        </w:tabs>
        <w:numPr>
          <w:ilvl w:val="0"/>
          <w:numId w:val="2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200" w:lineRule="exact"/>
        <w:rPr>
          <w:sz w:val="20"/>
          <w:szCs w:val="20"/>
          <w:color w:val="auto"/>
        </w:rPr>
      </w:pPr>
    </w:p>
    <w:p>
      <w:pPr>
        <w:spacing w:after="0" w:line="377" w:lineRule="exact"/>
        <w:rPr>
          <w:sz w:val="20"/>
          <w:szCs w:val="20"/>
          <w:color w:val="auto"/>
        </w:rPr>
      </w:pPr>
    </w:p>
    <w:p>
      <w:pPr>
        <w:ind w:left="473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448945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70" w:top="523" w:right="339" w:bottom="1440" w:gutter="0" w:footer="0" w:header="0"/>
        </w:sectPr>
      </w:pPr>
    </w:p>
    <w:bookmarkStart w:id="50" w:name="page51"/>
    <w:bookmarkEnd w:id="50"/>
    <w:p>
      <w:pPr>
        <w:ind w:left="760" w:hanging="752"/>
        <w:spacing w:after="0"/>
        <w:tabs>
          <w:tab w:leader="none" w:pos="760" w:val="left"/>
        </w:tabs>
        <w:numPr>
          <w:ilvl w:val="0"/>
          <w:numId w:val="2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 Provisions</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34" w:lineRule="auto"/>
        <w:tabs>
          <w:tab w:leader="none" w:pos="15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Rights of a Shareholder; Dividend Equivalents</w:t>
      </w:r>
      <w:r>
        <w:rPr>
          <w:rFonts w:ascii="Arial" w:cs="Arial" w:eastAsia="Arial" w:hAnsi="Arial"/>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1500" w:hanging="743"/>
        <w:spacing w:after="0" w:line="279"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85" w:lineRule="auto"/>
        <w:tabs>
          <w:tab w:leader="none" w:pos="1500"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0" w:lineRule="exact"/>
        <w:rPr>
          <w:rFonts w:ascii="Arial" w:cs="Arial" w:eastAsia="Arial" w:hAnsi="Arial"/>
          <w:sz w:val="19"/>
          <w:szCs w:val="19"/>
          <w:color w:val="auto"/>
        </w:rPr>
      </w:pPr>
    </w:p>
    <w:p>
      <w:pPr>
        <w:spacing w:after="0" w:line="362" w:lineRule="exact"/>
        <w:rPr>
          <w:rFonts w:ascii="Arial" w:cs="Arial" w:eastAsia="Arial" w:hAnsi="Arial"/>
          <w:sz w:val="19"/>
          <w:szCs w:val="19"/>
          <w:color w:val="auto"/>
        </w:rPr>
      </w:pPr>
    </w:p>
    <w:p>
      <w:pPr>
        <w:jc w:val="both"/>
        <w:ind w:left="1500" w:hanging="743"/>
        <w:spacing w:after="0"/>
        <w:tabs>
          <w:tab w:leader="none" w:pos="1500" w:val="left"/>
        </w:tabs>
        <w:numPr>
          <w:ilvl w:val="1"/>
          <w:numId w:val="23"/>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of any change with respect to the outstanding shares of Common Stock contemplated by Section 4.5 of the Plan, the Restricted Stock Units shall be adjusted in accordance with Section 4.5 of the 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1" w:name="page52"/>
    <w:bookmarkEnd w:id="51"/>
    <w:p>
      <w:pPr>
        <w:jc w:val="both"/>
        <w:ind w:left="743" w:hanging="743"/>
        <w:spacing w:after="0" w:line="249" w:lineRule="auto"/>
        <w:tabs>
          <w:tab w:leader="none" w:pos="74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 subject to compliance with the terms of the Employment Agreement.</w:t>
      </w: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jc w:val="both"/>
        <w:ind w:left="743" w:hanging="743"/>
        <w:spacing w:after="0" w:line="249" w:lineRule="auto"/>
        <w:tabs>
          <w:tab w:leader="none" w:pos="74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8" w:lineRule="exact"/>
        <w:rPr>
          <w:rFonts w:ascii="Arial" w:cs="Arial" w:eastAsia="Arial" w:hAnsi="Arial"/>
          <w:sz w:val="21"/>
          <w:szCs w:val="21"/>
          <w:color w:val="auto"/>
        </w:rPr>
      </w:pPr>
    </w:p>
    <w:p>
      <w:pPr>
        <w:jc w:val="both"/>
        <w:ind w:left="743" w:hanging="743"/>
        <w:spacing w:after="0"/>
        <w:tabs>
          <w:tab w:leader="none" w:pos="74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86" w:lineRule="exact"/>
        <w:rPr>
          <w:rFonts w:ascii="Arial" w:cs="Arial" w:eastAsia="Arial" w:hAnsi="Arial"/>
          <w:sz w:val="22"/>
          <w:szCs w:val="22"/>
          <w:color w:val="auto"/>
        </w:rPr>
      </w:pPr>
    </w:p>
    <w:p>
      <w:pPr>
        <w:ind w:left="743" w:right="20" w:hanging="743"/>
        <w:spacing w:after="0" w:line="250" w:lineRule="auto"/>
        <w:tabs>
          <w:tab w:leader="none" w:pos="743"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74" w:lineRule="exact"/>
        <w:rPr>
          <w:rFonts w:ascii="Arial" w:cs="Arial" w:eastAsia="Arial" w:hAnsi="Arial"/>
          <w:sz w:val="22"/>
          <w:szCs w:val="22"/>
          <w:color w:val="auto"/>
        </w:rPr>
      </w:pPr>
    </w:p>
    <w:p>
      <w:pPr>
        <w:jc w:val="both"/>
        <w:ind w:left="743" w:hanging="743"/>
        <w:spacing w:after="0" w:line="249" w:lineRule="auto"/>
        <w:tabs>
          <w:tab w:leader="none" w:pos="743"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Choice of Law; Jurisdiction</w:t>
      </w:r>
      <w:r>
        <w:rPr>
          <w:rFonts w:ascii="Arial" w:cs="Arial" w:eastAsia="Arial" w:hAnsi="Arial"/>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w:t>
      </w:r>
    </w:p>
    <w:p>
      <w:pPr>
        <w:spacing w:after="0" w:line="178" w:lineRule="exact"/>
        <w:rPr>
          <w:rFonts w:ascii="Arial" w:cs="Arial" w:eastAsia="Arial" w:hAnsi="Arial"/>
          <w:sz w:val="21"/>
          <w:szCs w:val="21"/>
          <w:color w:val="auto"/>
        </w:rPr>
      </w:pPr>
    </w:p>
    <w:p>
      <w:pPr>
        <w:jc w:val="both"/>
        <w:ind w:left="743" w:hanging="743"/>
        <w:spacing w:after="0" w:line="277" w:lineRule="auto"/>
        <w:tabs>
          <w:tab w:leader="none" w:pos="743"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Other Restrictive Covenants</w:t>
      </w:r>
      <w:r>
        <w:rPr>
          <w:rFonts w:ascii="Arial" w:cs="Arial" w:eastAsia="Arial" w:hAnsi="Arial"/>
          <w:sz w:val="19"/>
          <w:szCs w:val="19"/>
          <w:color w:val="auto"/>
        </w:rPr>
        <w:t>. Notwithstanding any other language in this Agreement, this Agreement does not supersede, and shall not preclude the enforceability of (in addition to enforcement of this Agreement), any restrictive covenant provision contained in any prior or subsequent agreement entered into by the Participant, nor shall any subsequent agreement entered into by the Participant be construed or interpreted as amending, superseding, overriding, or otherwise precluding the enforceability of the restrictive covenants contained herein (including in Sections 4 and 5) unless such subsequent agreement specifically references the applicable covenant in this Agreement and expressly states that such covenant shall be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-103505</wp:posOffset>
            </wp:positionV>
            <wp:extent cx="342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2"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52" w:name="page53"/>
    <w:bookmarkEnd w:id="52"/>
    <w:p>
      <w:pPr>
        <w:ind w:left="743" w:hanging="743"/>
        <w:spacing w:after="0" w:line="328" w:lineRule="auto"/>
        <w:tabs>
          <w:tab w:leader="none" w:pos="743"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04" w:lineRule="exact"/>
        <w:rPr>
          <w:rFonts w:ascii="Arial" w:cs="Arial" w:eastAsia="Arial" w:hAnsi="Arial"/>
          <w:sz w:val="19"/>
          <w:szCs w:val="19"/>
          <w:color w:val="auto"/>
        </w:rPr>
      </w:pPr>
    </w:p>
    <w:p>
      <w:pPr>
        <w:jc w:val="both"/>
        <w:ind w:left="743" w:hanging="743"/>
        <w:spacing w:after="0" w:line="249" w:lineRule="auto"/>
        <w:tabs>
          <w:tab w:leader="none" w:pos="743"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78" w:lineRule="exact"/>
        <w:rPr>
          <w:rFonts w:ascii="Arial" w:cs="Arial" w:eastAsia="Arial" w:hAnsi="Arial"/>
          <w:sz w:val="21"/>
          <w:szCs w:val="21"/>
          <w:color w:val="auto"/>
        </w:rPr>
      </w:pPr>
    </w:p>
    <w:p>
      <w:pPr>
        <w:jc w:val="both"/>
        <w:ind w:left="743" w:hanging="743"/>
        <w:spacing w:after="0" w:line="234" w:lineRule="auto"/>
        <w:tabs>
          <w:tab w:leader="none" w:pos="743"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91" w:lineRule="exact"/>
        <w:rPr>
          <w:sz w:val="20"/>
          <w:szCs w:val="20"/>
          <w:color w:val="auto"/>
        </w:rPr>
      </w:pPr>
    </w:p>
    <w:p>
      <w:pPr>
        <w:ind w:left="3763"/>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53" w:name="page54"/>
    <w:bookmarkEnd w:id="53"/>
    <w:p>
      <w:pPr>
        <w:ind w:firstLine="432"/>
        <w:spacing w:after="0" w:line="250" w:lineRule="auto"/>
        <w:rPr>
          <w:sz w:val="20"/>
          <w:szCs w:val="20"/>
          <w:color w:val="auto"/>
        </w:rPr>
      </w:pPr>
      <w:r>
        <w:rPr>
          <w:rFonts w:ascii="Arial" w:cs="Arial" w:eastAsia="Arial" w:hAnsi="Arial"/>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387"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DEFINITIVE HEALTHCARE CORP.</w:t>
      </w:r>
    </w:p>
    <w:p>
      <w:pPr>
        <w:sectPr>
          <w:pgSz w:w="11900" w:h="16838" w:orient="portrait"/>
          <w:cols w:equalWidth="0" w:num="1">
            <w:col w:w="11220"/>
          </w:cols>
          <w:pgMar w:left="320" w:top="3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00" w:lineRule="exact"/>
        <w:rPr>
          <w:sz w:val="20"/>
          <w:szCs w:val="20"/>
          <w:color w:val="auto"/>
        </w:rPr>
      </w:pPr>
    </w:p>
    <w:p>
      <w:pPr>
        <w:sectPr>
          <w:pgSz w:w="11900" w:h="16838" w:orient="portrait"/>
          <w:cols w:equalWidth="0" w:num="2">
            <w:col w:w="3240" w:space="220"/>
            <w:col w:w="7760"/>
          </w:cols>
          <w:pgMar w:left="320" w:top="321" w:right="3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w:t>
      </w:r>
    </w:p>
    <w:p>
      <w:pPr>
        <w:spacing w:after="0" w:line="211" w:lineRule="exact"/>
        <w:rPr>
          <w:sz w:val="20"/>
          <w:szCs w:val="20"/>
          <w:color w:val="auto"/>
        </w:rPr>
      </w:pPr>
    </w:p>
    <w:p>
      <w:pPr>
        <w:sectPr>
          <w:pgSz w:w="11900" w:h="16838" w:orient="portrait"/>
          <w:cols w:equalWidth="0" w:num="3">
            <w:col w:w="3220" w:space="680"/>
            <w:col w:w="3220" w:space="240"/>
            <w:col w:w="3860"/>
          </w:cols>
          <w:pgMar w:left="320" w:top="3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9"/>
          <w:szCs w:val="19"/>
          <w:i w:val="1"/>
          <w:iCs w:val="1"/>
          <w:color w:val="auto"/>
        </w:rPr>
        <w:t>[Signature Page –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type w:val="continuous"/>
        </w:sectPr>
      </w:pPr>
    </w:p>
    <w:bookmarkStart w:id="54" w:name="page55"/>
    <w:bookmarkEnd w:id="54"/>
    <w:p>
      <w:pPr>
        <w:ind w:left="4340"/>
        <w:spacing w:after="0"/>
        <w:rPr>
          <w:sz w:val="20"/>
          <w:szCs w:val="20"/>
          <w:color w:val="auto"/>
        </w:rPr>
      </w:pPr>
      <w:r>
        <w:rPr>
          <w:rFonts w:ascii="Arial" w:cs="Arial" w:eastAsia="Arial" w:hAnsi="Arial"/>
          <w:sz w:val="22"/>
          <w:szCs w:val="22"/>
          <w:b w:val="1"/>
          <w:bCs w:val="1"/>
          <w:color w:val="auto"/>
        </w:rPr>
        <w:t>Definitive Healthcare Corp.</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2021 Equity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5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Robert Musslewhite (the “</w:t>
      </w:r>
      <w:r>
        <w:rPr>
          <w:rFonts w:ascii="Arial" w:cs="Arial" w:eastAsia="Arial" w:hAnsi="Arial"/>
          <w:sz w:val="22"/>
          <w:szCs w:val="22"/>
          <w:u w:val="single" w:color="auto"/>
          <w:color w:val="auto"/>
        </w:rPr>
        <w:t>Participant</w:t>
      </w:r>
      <w:r>
        <w:rPr>
          <w:rFonts w:ascii="Arial" w:cs="Arial" w:eastAsia="Arial" w:hAnsi="Arial"/>
          <w:sz w:val="22"/>
          <w:szCs w:val="22"/>
          <w:color w:val="auto"/>
        </w:rPr>
        <w:t>”), effective as of May 3, 2022 (the “</w:t>
      </w:r>
      <w:r>
        <w:rPr>
          <w:rFonts w:ascii="Arial" w:cs="Arial" w:eastAsia="Arial" w:hAnsi="Arial"/>
          <w:sz w:val="22"/>
          <w:szCs w:val="22"/>
          <w:u w:val="single" w:color="auto"/>
          <w:color w:val="auto"/>
        </w:rPr>
        <w:t>Date of Grant</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93"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Definitive Healthcare Corp. 2021 Equity Incentive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and made a part of this Agreement. Capitalized terms not otherwise defined in this Agreement shall have the meanings ascribed to those terms in the Plan (or if not defined in the Plan but in the Employment Agreement, in the Employment Agreement); and</w:t>
      </w:r>
    </w:p>
    <w:p>
      <w:pPr>
        <w:spacing w:after="0" w:line="12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Committee has authorized and approved the grant of an Award to the Participant that will</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the Participant the opportunity to receive shares of Common Stock upon the settlement of restricted stock units on the terms and conditions set forth in the Plan and this Agreement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10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14" w:lineRule="exact"/>
        <w:rPr>
          <w:sz w:val="20"/>
          <w:szCs w:val="20"/>
          <w:color w:val="auto"/>
        </w:rPr>
      </w:pPr>
    </w:p>
    <w:p>
      <w:pPr>
        <w:ind w:left="760" w:right="20" w:hanging="752"/>
        <w:spacing w:after="0" w:line="250" w:lineRule="auto"/>
        <w:tabs>
          <w:tab w:leader="none" w:pos="760"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effective as of the Date of Grant, 83,333 Restricted Stock Units, on the terms and conditions set forth in the Plan and this Agreement.</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ind w:left="760" w:hanging="752"/>
        <w:spacing w:after="0" w:line="250" w:lineRule="auto"/>
        <w:tabs>
          <w:tab w:leader="none" w:pos="760" w:val="left"/>
        </w:tabs>
        <w:numPr>
          <w:ilvl w:val="0"/>
          <w:numId w:val="2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Subject to the terms and conditions set forth in the Plan and this Agreement, the Restricted Stock Units shall vest as follows:</w:t>
      </w:r>
    </w:p>
    <w:p>
      <w:pPr>
        <w:spacing w:after="0" w:line="174" w:lineRule="exact"/>
        <w:rPr>
          <w:rFonts w:ascii="Arial" w:cs="Arial" w:eastAsia="Arial" w:hAnsi="Arial"/>
          <w:sz w:val="22"/>
          <w:szCs w:val="22"/>
          <w:u w:val="single" w:color="auto"/>
          <w:color w:val="auto"/>
        </w:rPr>
      </w:pPr>
    </w:p>
    <w:p>
      <w:pPr>
        <w:jc w:val="both"/>
        <w:ind w:left="1500" w:hanging="369"/>
        <w:spacing w:after="0" w:line="282" w:lineRule="auto"/>
        <w:tabs>
          <w:tab w:leader="none" w:pos="150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Twenty-five percent (25%) of the Restricted Stock Units shall vest on the first anniversary of May 4, 2022 (the “</w:t>
      </w:r>
      <w:r>
        <w:rPr>
          <w:rFonts w:ascii="Arial" w:cs="Arial" w:eastAsia="Arial" w:hAnsi="Arial"/>
          <w:sz w:val="19"/>
          <w:szCs w:val="19"/>
          <w:u w:val="single" w:color="auto"/>
          <w:color w:val="auto"/>
        </w:rPr>
        <w:t>Vesting Start Date</w:t>
      </w:r>
      <w:r>
        <w:rPr>
          <w:rFonts w:ascii="Arial" w:cs="Arial" w:eastAsia="Arial" w:hAnsi="Arial"/>
          <w:sz w:val="19"/>
          <w:szCs w:val="19"/>
          <w:color w:val="auto"/>
        </w:rPr>
        <w:t>”), and the remaining seventy-five percent (75%) of the Restricted Stock Units shall vest in substantially equal installments at the end of each three-month period measured from the first anniversary of the Vesting Start Date (each, a “</w:t>
      </w:r>
      <w:r>
        <w:rPr>
          <w:rFonts w:ascii="Arial" w:cs="Arial" w:eastAsia="Arial" w:hAnsi="Arial"/>
          <w:sz w:val="19"/>
          <w:szCs w:val="19"/>
          <w:u w:val="single" w:color="auto"/>
          <w:color w:val="auto"/>
        </w:rPr>
        <w:t>Vesting Date</w:t>
      </w:r>
      <w:r>
        <w:rPr>
          <w:rFonts w:ascii="Arial" w:cs="Arial" w:eastAsia="Arial" w:hAnsi="Arial"/>
          <w:sz w:val="19"/>
          <w:szCs w:val="19"/>
          <w:color w:val="auto"/>
        </w:rPr>
        <w:t>”) for a period of thirty-six (36) months, subject to the Participant’s continued Service through the applicable Vesting Date (except as provided in Section 2(b)).</w:t>
      </w:r>
    </w:p>
    <w:p>
      <w:pPr>
        <w:spacing w:after="0" w:line="147" w:lineRule="exact"/>
        <w:rPr>
          <w:rFonts w:ascii="Arial" w:cs="Arial" w:eastAsia="Arial" w:hAnsi="Arial"/>
          <w:sz w:val="19"/>
          <w:szCs w:val="19"/>
          <w:color w:val="auto"/>
        </w:rPr>
      </w:pPr>
    </w:p>
    <w:p>
      <w:pPr>
        <w:jc w:val="both"/>
        <w:ind w:left="1500" w:hanging="369"/>
        <w:spacing w:after="0" w:line="236" w:lineRule="auto"/>
        <w:tabs>
          <w:tab w:leader="none" w:pos="150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Termination of Service; Breach</w:t>
      </w:r>
      <w:r>
        <w:rPr>
          <w:rFonts w:ascii="Arial" w:cs="Arial" w:eastAsia="Arial" w:hAnsi="Arial"/>
          <w:sz w:val="22"/>
          <w:szCs w:val="22"/>
          <w:color w:val="auto"/>
        </w:rPr>
        <w:t>. Except as set forth in Section 11 of the Employment Agreement between Definitive Healthcare, LLC and the Participant, dated May 4, 2022 (the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and notwithstanding Section 11.3 of the Plan, which shall not apply to this Agreement, upon termination of the Participant’s Service for any other reason or no reason, any then unvested Restricted Stock Units will be forfeited immediately, automatically and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55" w:name="page56"/>
    <w:bookmarkEnd w:id="55"/>
    <w:p>
      <w:pPr>
        <w:ind w:left="1500"/>
        <w:spacing w:after="0" w:line="284" w:lineRule="auto"/>
        <w:rPr>
          <w:sz w:val="20"/>
          <w:szCs w:val="20"/>
          <w:color w:val="auto"/>
        </w:rPr>
      </w:pPr>
      <w:r>
        <w:rPr>
          <w:rFonts w:ascii="Arial" w:cs="Arial" w:eastAsia="Arial" w:hAnsi="Arial"/>
          <w:sz w:val="19"/>
          <w:szCs w:val="19"/>
          <w:color w:val="auto"/>
        </w:rPr>
        <w:t>consideration. If the Participant breaches and if such breach is capable of being cured in all material respects, fails to cure in all material respects, Section 5, 6 or 7 of the Employment Agreement, any vested or unvested</w:t>
      </w:r>
    </w:p>
    <w:p>
      <w:pPr>
        <w:jc w:val="center"/>
        <w:ind w:right="100"/>
        <w:spacing w:after="0"/>
        <w:rPr>
          <w:sz w:val="20"/>
          <w:szCs w:val="20"/>
          <w:color w:val="auto"/>
        </w:rPr>
      </w:pPr>
      <w:r>
        <w:rPr>
          <w:rFonts w:ascii="Arial" w:cs="Arial" w:eastAsia="Arial" w:hAnsi="Arial"/>
          <w:sz w:val="22"/>
          <w:szCs w:val="22"/>
          <w:color w:val="auto"/>
        </w:rPr>
        <w:t>Restricted Stock Units will be forfeited immediately, automatically and without consideration.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hanging="752"/>
        <w:spacing w:after="0"/>
        <w:tabs>
          <w:tab w:leader="none" w:pos="760"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77" w:lineRule="auto"/>
        <w:tabs>
          <w:tab w:leader="none" w:pos="150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The Company shall deliver to the Participant within thirty (30) days following each Vesting Date or the vesting date under Section 11 of the Employment Agreement, as applicable, a number of shares of Common Stock equal to the number of Restricted Stock Units that vested or otherwise became issuable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0" w:lineRule="exact"/>
        <w:rPr>
          <w:rFonts w:ascii="Arial" w:cs="Arial" w:eastAsia="Arial" w:hAnsi="Arial"/>
          <w:sz w:val="19"/>
          <w:szCs w:val="19"/>
          <w:color w:val="auto"/>
        </w:rPr>
      </w:pPr>
    </w:p>
    <w:p>
      <w:pPr>
        <w:spacing w:after="0" w:line="370" w:lineRule="exact"/>
        <w:rPr>
          <w:rFonts w:ascii="Arial" w:cs="Arial" w:eastAsia="Arial" w:hAnsi="Arial"/>
          <w:sz w:val="19"/>
          <w:szCs w:val="19"/>
          <w:color w:val="auto"/>
        </w:rPr>
      </w:pPr>
    </w:p>
    <w:p>
      <w:pPr>
        <w:jc w:val="both"/>
        <w:ind w:left="1500" w:hanging="743"/>
        <w:spacing w:after="0" w:line="274" w:lineRule="auto"/>
        <w:tabs>
          <w:tab w:leader="none" w:pos="150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Unless the Company and the Participant otherwise agree, the Company shall deduct or withhold from any shares of Common Stock deliverable under this Agreement amounts necessary to satisfy all federal, state and local taxes required to be withheld in connection with the settlement of the Restricted Stock Units. In addition, to the extent permitted by the Committee in its sole discretion,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and the Participant may also agree to satisfy some or all of any applicable tax withholding obligations by any means allowable under Section 14 of the Plan.</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ind w:left="760" w:hanging="752"/>
        <w:spacing w:after="0"/>
        <w:tabs>
          <w:tab w:leader="none" w:pos="760" w:val="left"/>
        </w:tabs>
        <w:numPr>
          <w:ilvl w:val="0"/>
          <w:numId w:val="2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 and Non-Use of the Company’s Trade Secrets or Confidential Information</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ind w:left="1500" w:right="20" w:hanging="743"/>
        <w:spacing w:after="0" w:line="250" w:lineRule="auto"/>
        <w:tabs>
          <w:tab w:leader="none" w:pos="1500" w:val="left"/>
        </w:tabs>
        <w:numPr>
          <w:ilvl w:val="1"/>
          <w:numId w:val="27"/>
        </w:numPr>
        <w:rPr>
          <w:rFonts w:ascii="Arial" w:cs="Arial" w:eastAsia="Arial" w:hAnsi="Arial"/>
          <w:sz w:val="22"/>
          <w:szCs w:val="22"/>
          <w:color w:val="auto"/>
        </w:rPr>
      </w:pPr>
      <w:r>
        <w:rPr>
          <w:rFonts w:ascii="Arial" w:cs="Arial" w:eastAsia="Arial" w:hAnsi="Arial"/>
          <w:sz w:val="22"/>
          <w:szCs w:val="22"/>
          <w:color w:val="auto"/>
        </w:rPr>
        <w:t>At all times during and following Participant’s Service, Participant agrees that he or she will not, either directly or indirectly, and Participant will not permit any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6" w:name="page57"/>
    <w:bookmarkEnd w:id="56"/>
    <w:p>
      <w:pPr>
        <w:jc w:val="both"/>
        <w:ind w:left="380"/>
        <w:spacing w:after="0" w:line="268" w:lineRule="auto"/>
        <w:rPr>
          <w:sz w:val="20"/>
          <w:szCs w:val="20"/>
          <w:color w:val="auto"/>
        </w:rPr>
      </w:pPr>
      <w:r>
        <w:rPr>
          <w:rFonts w:ascii="Arial" w:cs="Arial" w:eastAsia="Arial" w:hAnsi="Arial"/>
          <w:sz w:val="19"/>
          <w:szCs w:val="19"/>
          <w:color w:val="auto"/>
        </w:rPr>
        <w:t>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 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448945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3" w:right="339" w:bottom="1440" w:gutter="0" w:footer="0" w:header="0"/>
        </w:sectPr>
      </w:pPr>
    </w:p>
    <w:bookmarkStart w:id="57" w:name="page58"/>
    <w:bookmarkEnd w:id="57"/>
    <w:p>
      <w:pPr>
        <w:jc w:val="both"/>
        <w:ind w:left="1500" w:hanging="743"/>
        <w:spacing w:after="0" w:line="274" w:lineRule="auto"/>
        <w:tabs>
          <w:tab w:leader="none" w:pos="1500" w:val="left"/>
        </w:tabs>
        <w:numPr>
          <w:ilvl w:val="1"/>
          <w:numId w:val="28"/>
        </w:numPr>
        <w:rPr>
          <w:rFonts w:ascii="Arial" w:cs="Arial" w:eastAsia="Arial" w:hAnsi="Arial"/>
          <w:sz w:val="19"/>
          <w:szCs w:val="19"/>
          <w:color w:val="auto"/>
        </w:rPr>
      </w:pPr>
      <w:r>
        <w:rPr>
          <w:rFonts w:ascii="Arial" w:cs="Arial" w:eastAsia="Arial" w:hAnsi="Arial"/>
          <w:sz w:val="19"/>
          <w:szCs w:val="19"/>
          <w:color w:val="auto"/>
        </w:rPr>
        <w:t xml:space="preserve">Notwithstanding Participant’s confidentiality obligations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jc w:val="both"/>
        <w:ind w:left="1500" w:hanging="743"/>
        <w:spacing w:after="0" w:line="245" w:lineRule="auto"/>
        <w:tabs>
          <w:tab w:leader="none" w:pos="1500" w:val="left"/>
        </w:tabs>
        <w:numPr>
          <w:ilvl w:val="1"/>
          <w:numId w:val="28"/>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Arial" w:cs="Arial" w:eastAsia="Arial" w:hAnsi="Arial"/>
          <w:sz w:val="21"/>
          <w:szCs w:val="21"/>
          <w:u w:val="single" w:color="auto"/>
          <w:color w:val="auto"/>
        </w:rPr>
        <w:t>Government Agency</w:t>
      </w:r>
      <w:r>
        <w:rPr>
          <w:rFonts w:ascii="Arial" w:cs="Arial" w:eastAsia="Arial" w:hAnsi="Arial"/>
          <w:sz w:val="21"/>
          <w:szCs w:val="21"/>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1500" w:hanging="743"/>
        <w:spacing w:after="0"/>
        <w:tabs>
          <w:tab w:leader="none" w:pos="1500" w:val="left"/>
        </w:tabs>
        <w:numPr>
          <w:ilvl w:val="1"/>
          <w:numId w:val="28"/>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the terms of Section 5 of the Employment Agreement shall apply for purposes of the Participant’s obligations regarding the use or disclosure of the Company’s confidential information and trade secrets.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380" w:right="20" w:hanging="372"/>
        <w:spacing w:after="0" w:line="250" w:lineRule="auto"/>
        <w:tabs>
          <w:tab w:leader="none" w:pos="380" w:val="left"/>
        </w:tabs>
        <w:numPr>
          <w:ilvl w:val="0"/>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During the term of Participant’s Service and for 12 months following the termination of Participant’s Service (the “Restricted Period”):</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jc w:val="both"/>
        <w:ind w:left="1500" w:hanging="743"/>
        <w:spacing w:after="0"/>
        <w:tabs>
          <w:tab w:leader="none" w:pos="15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Participant will not, directly or indirectly, individually or as a consultant to, or an Participant, officer, director, manager, stockholder, partner, member or other owner or participant in any business entity (including, without limitation, any competitor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8" w:name="page59"/>
    <w:bookmarkEnd w:id="58"/>
    <w:p>
      <w:pPr>
        <w:jc w:val="both"/>
        <w:ind w:left="1500"/>
        <w:spacing w:after="0" w:line="275" w:lineRule="auto"/>
        <w:rPr>
          <w:sz w:val="20"/>
          <w:szCs w:val="20"/>
          <w:color w:val="auto"/>
        </w:rPr>
      </w:pPr>
      <w:r>
        <w:rPr>
          <w:rFonts w:ascii="Arial" w:cs="Arial" w:eastAsia="Arial" w:hAnsi="Arial"/>
          <w:sz w:val="19"/>
          <w:szCs w:val="19"/>
          <w:color w:val="auto"/>
        </w:rPr>
        <w:t>of the Company), other than the Company, engage in or assist any other person or entity to engage in any business which competes with any business in which the Company is engaging or the actual or demonstrably anticipated research or development of the Company (a “Competing Business”), during the Participant’s employment, anywhere in the United States or anywhere else in the world where the Company does business or plans to do business or is considering doing business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200" w:lineRule="exact"/>
        <w:rPr>
          <w:sz w:val="20"/>
          <w:szCs w:val="20"/>
          <w:color w:val="auto"/>
        </w:rPr>
      </w:pPr>
    </w:p>
    <w:p>
      <w:pPr>
        <w:spacing w:after="0" w:line="376" w:lineRule="exact"/>
        <w:rPr>
          <w:sz w:val="20"/>
          <w:szCs w:val="20"/>
          <w:color w:val="auto"/>
        </w:rPr>
      </w:pPr>
    </w:p>
    <w:p>
      <w:pPr>
        <w:jc w:val="both"/>
        <w:ind w:left="1500" w:hanging="743"/>
        <w:spacing w:after="0" w:line="279" w:lineRule="auto"/>
        <w:tabs>
          <w:tab w:leader="none" w:pos="15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35" w:lineRule="auto"/>
        <w:tabs>
          <w:tab w:leader="none" w:pos="15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jc w:val="both"/>
        <w:ind w:left="1500" w:hanging="743"/>
        <w:spacing w:after="0"/>
        <w:tabs>
          <w:tab w:leader="none" w:pos="1500" w:val="left"/>
        </w:tabs>
        <w:numPr>
          <w:ilvl w:val="0"/>
          <w:numId w:val="30"/>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5, the terms of Sections 6 and 7 of the Employment Agreement shall apply for purposes of the Participant’s obligations regarding non-competition and non-solicitation.</w:t>
      </w:r>
    </w:p>
    <w:p>
      <w:pPr>
        <w:spacing w:after="0" w:line="389" w:lineRule="exact"/>
        <w:rPr>
          <w:sz w:val="20"/>
          <w:szCs w:val="20"/>
          <w:color w:val="auto"/>
        </w:rPr>
      </w:pPr>
    </w:p>
    <w:p>
      <w:pPr>
        <w:jc w:val="both"/>
        <w:ind w:left="380" w:hanging="372"/>
        <w:spacing w:after="0" w:line="249" w:lineRule="auto"/>
        <w:tabs>
          <w:tab w:leader="none" w:pos="380" w:val="left"/>
        </w:tabs>
        <w:numPr>
          <w:ilvl w:val="0"/>
          <w:numId w:val="31"/>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Enforcement; Remedies</w:t>
      </w:r>
      <w:r>
        <w:rPr>
          <w:rFonts w:ascii="Arial" w:cs="Arial" w:eastAsia="Arial" w:hAnsi="Arial"/>
          <w:sz w:val="21"/>
          <w:szCs w:val="21"/>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59" w:name="page60"/>
    <w:bookmarkEnd w:id="59"/>
    <w:p>
      <w:pPr>
        <w:jc w:val="both"/>
        <w:ind w:left="380"/>
        <w:spacing w:after="0" w:line="271" w:lineRule="auto"/>
        <w:rPr>
          <w:sz w:val="20"/>
          <w:szCs w:val="20"/>
          <w:color w:val="auto"/>
        </w:rPr>
      </w:pPr>
      <w:r>
        <w:rPr>
          <w:rFonts w:ascii="Arial" w:cs="Arial" w:eastAsia="Arial" w:hAnsi="Arial"/>
          <w:sz w:val="19"/>
          <w:szCs w:val="19"/>
          <w:color w:val="auto"/>
        </w:rPr>
        <w:t>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(“Fairness Extension”).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 Notwithstanding the foregoing, the terms of Section 8 of the Employment Agreement shall apply.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right="300" w:hanging="372"/>
        <w:spacing w:after="0" w:line="328" w:lineRule="auto"/>
        <w:tabs>
          <w:tab w:leader="none" w:pos="380" w:val="left"/>
        </w:tabs>
        <w:numPr>
          <w:ilvl w:val="0"/>
          <w:numId w:val="32"/>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To the extent used expressly in this Agreement, the following definitions shall apply. To the extent the same term is defined in the Employment Agreement, the term as defined in the Employment Agreement shall apply.</w:t>
      </w:r>
    </w:p>
    <w:p>
      <w:pPr>
        <w:spacing w:after="0" w:line="200" w:lineRule="exact"/>
        <w:rPr>
          <w:rFonts w:ascii="Arial" w:cs="Arial" w:eastAsia="Arial" w:hAnsi="Arial"/>
          <w:sz w:val="19"/>
          <w:szCs w:val="19"/>
          <w:u w:val="single" w:color="auto"/>
          <w:color w:val="auto"/>
        </w:rPr>
      </w:pPr>
    </w:p>
    <w:p>
      <w:pPr>
        <w:spacing w:after="0" w:line="323" w:lineRule="exact"/>
        <w:rPr>
          <w:rFonts w:ascii="Arial" w:cs="Arial" w:eastAsia="Arial" w:hAnsi="Arial"/>
          <w:sz w:val="19"/>
          <w:szCs w:val="19"/>
          <w:u w:val="single" w:color="auto"/>
          <w:color w:val="auto"/>
        </w:rPr>
      </w:pPr>
    </w:p>
    <w:p>
      <w:pPr>
        <w:jc w:val="both"/>
        <w:ind w:left="1500" w:hanging="650"/>
        <w:spacing w:after="0" w:line="272" w:lineRule="auto"/>
        <w:tabs>
          <w:tab w:leader="none" w:pos="15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 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0" w:name="page61"/>
    <w:bookmarkEnd w:id="60"/>
    <w:p>
      <w:pPr>
        <w:ind w:left="650"/>
        <w:spacing w:after="0" w:line="250" w:lineRule="auto"/>
        <w:rPr>
          <w:sz w:val="20"/>
          <w:szCs w:val="20"/>
          <w:color w:val="auto"/>
        </w:rPr>
      </w:pPr>
      <w:r>
        <w:rPr>
          <w:rFonts w:ascii="Arial" w:cs="Arial" w:eastAsia="Arial" w:hAnsi="Arial"/>
          <w:sz w:val="22"/>
          <w:szCs w:val="22"/>
          <w:color w:val="auto"/>
        </w:rPr>
        <w:t>is or becomes known to Participant other than through Participant’s work for the Company, or (z) is or becomes generally available to the public.</w:t>
      </w:r>
    </w:p>
    <w:p>
      <w:pPr>
        <w:spacing w:after="0" w:line="200" w:lineRule="exact"/>
        <w:rPr>
          <w:sz w:val="20"/>
          <w:szCs w:val="20"/>
          <w:color w:val="auto"/>
        </w:rPr>
      </w:pPr>
    </w:p>
    <w:p>
      <w:pPr>
        <w:spacing w:after="0" w:line="393" w:lineRule="exact"/>
        <w:rPr>
          <w:sz w:val="20"/>
          <w:szCs w:val="20"/>
          <w:color w:val="auto"/>
        </w:rPr>
      </w:pPr>
    </w:p>
    <w:p>
      <w:pPr>
        <w:jc w:val="both"/>
        <w:ind w:left="650" w:hanging="650"/>
        <w:spacing w:after="0" w:line="236" w:lineRule="auto"/>
        <w:tabs>
          <w:tab w:leader="none" w:pos="650" w:val="left"/>
        </w:tabs>
        <w:numPr>
          <w:ilvl w:val="0"/>
          <w:numId w:val="3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left="650" w:hanging="650"/>
        <w:spacing w:after="0" w:line="245" w:lineRule="auto"/>
        <w:tabs>
          <w:tab w:leader="none" w:pos="650" w:val="left"/>
        </w:tabs>
        <w:numPr>
          <w:ilvl w:val="0"/>
          <w:numId w:val="3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650" w:hanging="650"/>
        <w:spacing w:after="0" w:line="274" w:lineRule="auto"/>
        <w:tabs>
          <w:tab w:leader="none" w:pos="650" w:val="left"/>
        </w:tabs>
        <w:numPr>
          <w:ilvl w:val="0"/>
          <w:numId w:val="3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200" w:lineRule="exact"/>
        <w:rPr>
          <w:sz w:val="20"/>
          <w:szCs w:val="20"/>
          <w:color w:val="auto"/>
        </w:rPr>
      </w:pPr>
    </w:p>
    <w:p>
      <w:pPr>
        <w:spacing w:after="0" w:line="377" w:lineRule="exact"/>
        <w:rPr>
          <w:sz w:val="20"/>
          <w:szCs w:val="20"/>
          <w:color w:val="auto"/>
        </w:rPr>
      </w:pPr>
    </w:p>
    <w:p>
      <w:pPr>
        <w:ind w:left="473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448945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70" w:top="523" w:right="339" w:bottom="1440" w:gutter="0" w:footer="0" w:header="0"/>
        </w:sectPr>
      </w:pPr>
    </w:p>
    <w:bookmarkStart w:id="61" w:name="page62"/>
    <w:bookmarkEnd w:id="61"/>
    <w:p>
      <w:pPr>
        <w:ind w:left="760" w:hanging="752"/>
        <w:spacing w:after="0"/>
        <w:tabs>
          <w:tab w:leader="none" w:pos="760" w:val="left"/>
        </w:tabs>
        <w:numPr>
          <w:ilvl w:val="0"/>
          <w:numId w:val="34"/>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 Provisions</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34" w:lineRule="auto"/>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Rights of a Shareholder; Dividend Equivalents</w:t>
      </w:r>
      <w:r>
        <w:rPr>
          <w:rFonts w:ascii="Arial" w:cs="Arial" w:eastAsia="Arial" w:hAnsi="Arial"/>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1500" w:hanging="743"/>
        <w:spacing w:after="0" w:line="279" w:lineRule="auto"/>
        <w:tabs>
          <w:tab w:leader="none" w:pos="150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85" w:lineRule="auto"/>
        <w:tabs>
          <w:tab w:leader="none" w:pos="150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0" w:lineRule="exact"/>
        <w:rPr>
          <w:rFonts w:ascii="Arial" w:cs="Arial" w:eastAsia="Arial" w:hAnsi="Arial"/>
          <w:sz w:val="19"/>
          <w:szCs w:val="19"/>
          <w:color w:val="auto"/>
        </w:rPr>
      </w:pPr>
    </w:p>
    <w:p>
      <w:pPr>
        <w:spacing w:after="0" w:line="362" w:lineRule="exact"/>
        <w:rPr>
          <w:rFonts w:ascii="Arial" w:cs="Arial" w:eastAsia="Arial" w:hAnsi="Arial"/>
          <w:sz w:val="19"/>
          <w:szCs w:val="19"/>
          <w:color w:val="auto"/>
        </w:rPr>
      </w:pPr>
    </w:p>
    <w:p>
      <w:pPr>
        <w:jc w:val="both"/>
        <w:ind w:left="1500" w:hanging="743"/>
        <w:spacing w:after="0"/>
        <w:tabs>
          <w:tab w:leader="none" w:pos="1500" w:val="left"/>
        </w:tabs>
        <w:numPr>
          <w:ilvl w:val="1"/>
          <w:numId w:val="3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of any change with respect to the outstanding shares of Common Stock contemplated by Section 4.5 of the Plan, the Restricted Stock Units shall be adjusted in accordance with Section 4.5 of the Plan.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2" w:name="page63"/>
    <w:bookmarkEnd w:id="62"/>
    <w:p>
      <w:pPr>
        <w:jc w:val="both"/>
        <w:ind w:left="743" w:hanging="743"/>
        <w:spacing w:after="0" w:line="249" w:lineRule="auto"/>
        <w:tabs>
          <w:tab w:leader="none" w:pos="74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 subject to compliance with the terms of the Employment Agreement.</w:t>
      </w: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jc w:val="both"/>
        <w:ind w:left="743" w:hanging="743"/>
        <w:spacing w:after="0" w:line="249" w:lineRule="auto"/>
        <w:tabs>
          <w:tab w:leader="none" w:pos="74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8" w:lineRule="exact"/>
        <w:rPr>
          <w:rFonts w:ascii="Arial" w:cs="Arial" w:eastAsia="Arial" w:hAnsi="Arial"/>
          <w:sz w:val="21"/>
          <w:szCs w:val="21"/>
          <w:color w:val="auto"/>
        </w:rPr>
      </w:pPr>
    </w:p>
    <w:p>
      <w:pPr>
        <w:jc w:val="both"/>
        <w:ind w:left="743" w:hanging="743"/>
        <w:spacing w:after="0"/>
        <w:tabs>
          <w:tab w:leader="none" w:pos="743"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86" w:lineRule="exact"/>
        <w:rPr>
          <w:rFonts w:ascii="Arial" w:cs="Arial" w:eastAsia="Arial" w:hAnsi="Arial"/>
          <w:sz w:val="22"/>
          <w:szCs w:val="22"/>
          <w:color w:val="auto"/>
        </w:rPr>
      </w:pPr>
    </w:p>
    <w:p>
      <w:pPr>
        <w:ind w:left="743" w:right="20" w:hanging="743"/>
        <w:spacing w:after="0" w:line="250" w:lineRule="auto"/>
        <w:tabs>
          <w:tab w:leader="none" w:pos="743"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74" w:lineRule="exact"/>
        <w:rPr>
          <w:rFonts w:ascii="Arial" w:cs="Arial" w:eastAsia="Arial" w:hAnsi="Arial"/>
          <w:sz w:val="22"/>
          <w:szCs w:val="22"/>
          <w:color w:val="auto"/>
        </w:rPr>
      </w:pPr>
    </w:p>
    <w:p>
      <w:pPr>
        <w:jc w:val="both"/>
        <w:ind w:left="743" w:hanging="743"/>
        <w:spacing w:after="0" w:line="249" w:lineRule="auto"/>
        <w:tabs>
          <w:tab w:leader="none" w:pos="743"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Choice of Law; Jurisdiction</w:t>
      </w:r>
      <w:r>
        <w:rPr>
          <w:rFonts w:ascii="Arial" w:cs="Arial" w:eastAsia="Arial" w:hAnsi="Arial"/>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w:t>
      </w:r>
    </w:p>
    <w:p>
      <w:pPr>
        <w:spacing w:after="0" w:line="178" w:lineRule="exact"/>
        <w:rPr>
          <w:rFonts w:ascii="Arial" w:cs="Arial" w:eastAsia="Arial" w:hAnsi="Arial"/>
          <w:sz w:val="21"/>
          <w:szCs w:val="21"/>
          <w:color w:val="auto"/>
        </w:rPr>
      </w:pPr>
    </w:p>
    <w:p>
      <w:pPr>
        <w:jc w:val="both"/>
        <w:ind w:left="743" w:hanging="743"/>
        <w:spacing w:after="0" w:line="277" w:lineRule="auto"/>
        <w:tabs>
          <w:tab w:leader="none" w:pos="74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Other Restrictive Covenants</w:t>
      </w:r>
      <w:r>
        <w:rPr>
          <w:rFonts w:ascii="Arial" w:cs="Arial" w:eastAsia="Arial" w:hAnsi="Arial"/>
          <w:sz w:val="19"/>
          <w:szCs w:val="19"/>
          <w:color w:val="auto"/>
        </w:rPr>
        <w:t>. Notwithstanding any other language in this Agreement, this Agreement does not supersede, and shall not preclude the enforceability of (in addition to enforcement of this Agreement), any restrictive covenant provision contained in any prior or subsequent agreement entered into by the Participant, nor shall any subsequent agreement entered into by the Participant be construed or interpreted as amending, superseding, overriding, or otherwise precluding the enforceability of the restrictive covenants contained herein (including in Sections 4 and 5) unless such subsequent agreement specifically references the applicable covenant in this Agreement and expressly states that such covenant shall be superseded.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-103505</wp:posOffset>
            </wp:positionV>
            <wp:extent cx="3429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32"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63" w:name="page64"/>
    <w:bookmarkEnd w:id="63"/>
    <w:p>
      <w:pPr>
        <w:ind w:left="743" w:hanging="743"/>
        <w:spacing w:after="0" w:line="328" w:lineRule="auto"/>
        <w:tabs>
          <w:tab w:leader="none" w:pos="743"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04" w:lineRule="exact"/>
        <w:rPr>
          <w:rFonts w:ascii="Arial" w:cs="Arial" w:eastAsia="Arial" w:hAnsi="Arial"/>
          <w:sz w:val="19"/>
          <w:szCs w:val="19"/>
          <w:color w:val="auto"/>
        </w:rPr>
      </w:pPr>
    </w:p>
    <w:p>
      <w:pPr>
        <w:jc w:val="both"/>
        <w:ind w:left="743" w:hanging="743"/>
        <w:spacing w:after="0" w:line="249" w:lineRule="auto"/>
        <w:tabs>
          <w:tab w:leader="none" w:pos="743"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78" w:lineRule="exact"/>
        <w:rPr>
          <w:rFonts w:ascii="Arial" w:cs="Arial" w:eastAsia="Arial" w:hAnsi="Arial"/>
          <w:sz w:val="21"/>
          <w:szCs w:val="21"/>
          <w:color w:val="auto"/>
        </w:rPr>
      </w:pPr>
    </w:p>
    <w:p>
      <w:pPr>
        <w:jc w:val="both"/>
        <w:ind w:left="743" w:hanging="743"/>
        <w:spacing w:after="0" w:line="234" w:lineRule="auto"/>
        <w:tabs>
          <w:tab w:leader="none" w:pos="74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91" w:lineRule="exact"/>
        <w:rPr>
          <w:sz w:val="20"/>
          <w:szCs w:val="20"/>
          <w:color w:val="auto"/>
        </w:rPr>
      </w:pPr>
    </w:p>
    <w:p>
      <w:pPr>
        <w:ind w:left="3763"/>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64" w:name="page65"/>
    <w:bookmarkEnd w:id="64"/>
    <w:p>
      <w:pPr>
        <w:ind w:firstLine="432"/>
        <w:spacing w:after="0" w:line="250" w:lineRule="auto"/>
        <w:rPr>
          <w:sz w:val="20"/>
          <w:szCs w:val="20"/>
          <w:color w:val="auto"/>
        </w:rPr>
      </w:pPr>
      <w:r>
        <w:rPr>
          <w:rFonts w:ascii="Arial" w:cs="Arial" w:eastAsia="Arial" w:hAnsi="Arial"/>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387"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DEFINITIVE HEALTHCARE CORP.</w:t>
      </w:r>
    </w:p>
    <w:p>
      <w:pPr>
        <w:sectPr>
          <w:pgSz w:w="11900" w:h="16838" w:orient="portrait"/>
          <w:cols w:equalWidth="0" w:num="1">
            <w:col w:w="11220"/>
          </w:cols>
          <w:pgMar w:left="320" w:top="3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00" w:lineRule="exact"/>
        <w:rPr>
          <w:sz w:val="20"/>
          <w:szCs w:val="20"/>
          <w:color w:val="auto"/>
        </w:rPr>
      </w:pPr>
    </w:p>
    <w:p>
      <w:pPr>
        <w:sectPr>
          <w:pgSz w:w="11900" w:h="16838" w:orient="portrait"/>
          <w:cols w:equalWidth="0" w:num="2">
            <w:col w:w="3240" w:space="220"/>
            <w:col w:w="7760"/>
          </w:cols>
          <w:pgMar w:left="320" w:top="321" w:right="35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Date: _________________________</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____</w:t>
      </w:r>
    </w:p>
    <w:p>
      <w:pPr>
        <w:spacing w:after="0" w:line="211" w:lineRule="exact"/>
        <w:rPr>
          <w:sz w:val="20"/>
          <w:szCs w:val="20"/>
          <w:color w:val="auto"/>
        </w:rPr>
      </w:pPr>
    </w:p>
    <w:p>
      <w:pPr>
        <w:sectPr>
          <w:pgSz w:w="11900" w:h="16838" w:orient="portrait"/>
          <w:cols w:equalWidth="0" w:num="3">
            <w:col w:w="3220" w:space="680"/>
            <w:col w:w="3220" w:space="240"/>
            <w:col w:w="3860"/>
          </w:cols>
          <w:pgMar w:left="320" w:top="3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9"/>
          <w:szCs w:val="19"/>
          <w:i w:val="1"/>
          <w:iCs w:val="1"/>
          <w:color w:val="auto"/>
        </w:rPr>
        <w:t>[Signature Page –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type w:val="continuous"/>
        </w:sectPr>
      </w:pPr>
    </w:p>
    <w:bookmarkStart w:id="65" w:name="page66"/>
    <w:bookmarkEnd w:id="65"/>
    <w:p>
      <w:pPr>
        <w:ind w:left="4340"/>
        <w:spacing w:after="0"/>
        <w:rPr>
          <w:sz w:val="20"/>
          <w:szCs w:val="20"/>
          <w:color w:val="auto"/>
        </w:rPr>
      </w:pPr>
      <w:r>
        <w:rPr>
          <w:rFonts w:ascii="Arial" w:cs="Arial" w:eastAsia="Arial" w:hAnsi="Arial"/>
          <w:sz w:val="22"/>
          <w:szCs w:val="22"/>
          <w:b w:val="1"/>
          <w:bCs w:val="1"/>
          <w:color w:val="auto"/>
        </w:rPr>
        <w:t>Definitive Healthcare Corp.</w:t>
      </w:r>
    </w:p>
    <w:p>
      <w:pPr>
        <w:spacing w:after="0" w:line="14"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2021 Equity Incentive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58"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This Restricted Stock Unit Award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is made by and between Definitive Healthcare Corp.,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Robert Musslewhite (the “</w:t>
      </w:r>
      <w:r>
        <w:rPr>
          <w:rFonts w:ascii="Arial" w:cs="Arial" w:eastAsia="Arial" w:hAnsi="Arial"/>
          <w:sz w:val="22"/>
          <w:szCs w:val="22"/>
          <w:u w:val="single" w:color="auto"/>
          <w:color w:val="auto"/>
        </w:rPr>
        <w:t>Participant</w:t>
      </w:r>
      <w:r>
        <w:rPr>
          <w:rFonts w:ascii="Arial" w:cs="Arial" w:eastAsia="Arial" w:hAnsi="Arial"/>
          <w:sz w:val="22"/>
          <w:szCs w:val="22"/>
          <w:color w:val="auto"/>
        </w:rPr>
        <w:t>”), effective as of May 3, 2022 (the “</w:t>
      </w:r>
      <w:r>
        <w:rPr>
          <w:rFonts w:ascii="Arial" w:cs="Arial" w:eastAsia="Arial" w:hAnsi="Arial"/>
          <w:sz w:val="22"/>
          <w:szCs w:val="22"/>
          <w:u w:val="single" w:color="auto"/>
          <w:color w:val="auto"/>
        </w:rPr>
        <w:t>Date of Grant</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93" w:lineRule="exact"/>
        <w:rPr>
          <w:sz w:val="20"/>
          <w:szCs w:val="20"/>
          <w:color w:val="auto"/>
        </w:rPr>
      </w:pPr>
    </w:p>
    <w:p>
      <w:pPr>
        <w:jc w:val="both"/>
        <w:ind w:firstLine="1497"/>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Definitive Healthcare Corp. 2021 Equity Incentive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 and made a part of this Agreement. Capitalized terms not otherwise defined in this Agreement shall have the meanings ascribed to those terms in the Plan (or if not defined in the Plan but in the Employment Agreement, in the Employment Agreement); and</w:t>
      </w:r>
    </w:p>
    <w:p>
      <w:pPr>
        <w:spacing w:after="0" w:line="126"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Committee has authorized and approved the grant of an Award to the Participant that will</w:t>
      </w:r>
      <w:r>
        <w:rPr>
          <w:rFonts w:ascii="Arial" w:cs="Arial" w:eastAsia="Arial" w:hAnsi="Arial"/>
          <w:sz w:val="21"/>
          <w:szCs w:val="21"/>
          <w:b w:val="1"/>
          <w:bCs w:val="1"/>
          <w:color w:val="auto"/>
        </w:rPr>
        <w:t xml:space="preserve"> </w:t>
      </w:r>
      <w:r>
        <w:rPr>
          <w:rFonts w:ascii="Arial" w:cs="Arial" w:eastAsia="Arial" w:hAnsi="Arial"/>
          <w:sz w:val="21"/>
          <w:szCs w:val="21"/>
          <w:color w:val="auto"/>
        </w:rPr>
        <w:t>provide the Participant the opportunity to receive shares of Common Stock upon the settlement of restricted stock units on the terms and conditions set forth in the Plan and this Agreement (“</w:t>
      </w:r>
      <w:r>
        <w:rPr>
          <w:rFonts w:ascii="Arial" w:cs="Arial" w:eastAsia="Arial" w:hAnsi="Arial"/>
          <w:sz w:val="21"/>
          <w:szCs w:val="21"/>
          <w:u w:val="single" w:color="auto"/>
          <w:color w:val="auto"/>
        </w:rPr>
        <w:t>Restricted Stock Units</w:t>
      </w:r>
      <w:r>
        <w:rPr>
          <w:rFonts w:ascii="Arial" w:cs="Arial" w:eastAsia="Arial" w:hAnsi="Arial"/>
          <w:sz w:val="21"/>
          <w:szCs w:val="21"/>
          <w:color w:val="auto"/>
        </w:rPr>
        <w:t>”).</w:t>
      </w:r>
    </w:p>
    <w:p>
      <w:pPr>
        <w:spacing w:after="0" w:line="106"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14" w:lineRule="exact"/>
        <w:rPr>
          <w:sz w:val="20"/>
          <w:szCs w:val="20"/>
          <w:color w:val="auto"/>
        </w:rPr>
      </w:pPr>
    </w:p>
    <w:p>
      <w:pPr>
        <w:jc w:val="both"/>
        <w:ind w:left="380" w:hanging="372"/>
        <w:spacing w:after="0" w:line="246" w:lineRule="auto"/>
        <w:tabs>
          <w:tab w:leader="none" w:pos="380" w:val="left"/>
        </w:tabs>
        <w:numPr>
          <w:ilvl w:val="0"/>
          <w:numId w:val="37"/>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Grant of Award</w:t>
      </w:r>
      <w:r>
        <w:rPr>
          <w:rFonts w:ascii="Arial" w:cs="Arial" w:eastAsia="Arial" w:hAnsi="Arial"/>
          <w:sz w:val="21"/>
          <w:szCs w:val="21"/>
          <w:color w:val="auto"/>
        </w:rPr>
        <w:t>. The Company hereby grants to the Participant, effective as of the Date of Grant, Restricted Stock Units for 125,000 shares of Common Stock at “target” performance (as described on Schedule I) (“</w:t>
      </w:r>
      <w:r>
        <w:rPr>
          <w:rFonts w:ascii="Arial" w:cs="Arial" w:eastAsia="Arial" w:hAnsi="Arial"/>
          <w:sz w:val="21"/>
          <w:szCs w:val="21"/>
          <w:u w:val="single" w:color="auto"/>
          <w:color w:val="auto"/>
        </w:rPr>
        <w:t>Target Shares</w:t>
      </w:r>
      <w:r>
        <w:rPr>
          <w:rFonts w:ascii="Arial" w:cs="Arial" w:eastAsia="Arial" w:hAnsi="Arial"/>
          <w:sz w:val="21"/>
          <w:szCs w:val="21"/>
          <w:color w:val="auto"/>
        </w:rPr>
        <w:t>”), and up to 375,000 shares of Common Stock at “exceptional performance” (as described on Schedule I) (the "</w:t>
      </w:r>
      <w:r>
        <w:rPr>
          <w:rFonts w:ascii="Arial" w:cs="Arial" w:eastAsia="Arial" w:hAnsi="Arial"/>
          <w:sz w:val="21"/>
          <w:szCs w:val="21"/>
          <w:u w:val="single" w:color="auto"/>
          <w:color w:val="auto"/>
        </w:rPr>
        <w:t>Maximum Shares</w:t>
      </w:r>
      <w:r>
        <w:rPr>
          <w:rFonts w:ascii="Arial" w:cs="Arial" w:eastAsia="Arial" w:hAnsi="Arial"/>
          <w:sz w:val="21"/>
          <w:szCs w:val="21"/>
          <w:color w:val="auto"/>
        </w:rPr>
        <w:t>") all of which are subject to performance-based vesting on the terms and conditions set forth in the Plan and this Agreement. The number of shares of Common Stock Participant will receive pursuant to this Agreement, if any, may increase or decrease from the Target Shares based on the Company’s actual performance, but shall not exceed the Maximum Shares. Prior to issuance of any shares of Common Stock, such Restricted Stock Units will represent an unsecured obligation of the Company, payable only from the general assets of the Company.</w:t>
      </w:r>
    </w:p>
    <w:p>
      <w:pPr>
        <w:spacing w:after="0" w:line="200" w:lineRule="exact"/>
        <w:rPr>
          <w:rFonts w:ascii="Arial" w:cs="Arial" w:eastAsia="Arial" w:hAnsi="Arial"/>
          <w:sz w:val="21"/>
          <w:szCs w:val="21"/>
          <w:u w:val="single" w:color="auto"/>
          <w:color w:val="auto"/>
        </w:rPr>
      </w:pPr>
    </w:p>
    <w:p>
      <w:pPr>
        <w:spacing w:after="0" w:line="398" w:lineRule="exact"/>
        <w:rPr>
          <w:rFonts w:ascii="Arial" w:cs="Arial" w:eastAsia="Arial" w:hAnsi="Arial"/>
          <w:sz w:val="21"/>
          <w:szCs w:val="21"/>
          <w:u w:val="single" w:color="auto"/>
          <w:color w:val="auto"/>
        </w:rPr>
      </w:pPr>
    </w:p>
    <w:p>
      <w:pPr>
        <w:ind w:left="760" w:hanging="752"/>
        <w:spacing w:after="0" w:line="250" w:lineRule="auto"/>
        <w:tabs>
          <w:tab w:leader="none" w:pos="760"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Subject to the terms and conditions set forth in the Plan and this Agreement, the Restricted Stock Units shall vest as follows: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500" w:hanging="690"/>
        <w:spacing w:after="0" w:line="257" w:lineRule="auto"/>
        <w:tabs>
          <w:tab w:leader="none" w:pos="1250" w:val="left"/>
        </w:tabs>
        <w:numPr>
          <w:ilvl w:val="0"/>
          <w:numId w:val="38"/>
        </w:numPr>
        <w:rPr>
          <w:rFonts w:ascii="Arial" w:cs="Arial" w:eastAsia="Arial" w:hAnsi="Arial"/>
          <w:sz w:val="21"/>
          <w:szCs w:val="21"/>
          <w:color w:val="auto"/>
        </w:rPr>
      </w:pPr>
      <w:r>
        <w:rPr>
          <w:rFonts w:ascii="Arial" w:cs="Arial" w:eastAsia="Arial" w:hAnsi="Arial"/>
          <w:sz w:val="21"/>
          <w:szCs w:val="21"/>
          <w:u w:val="single" w:color="auto"/>
          <w:color w:val="auto"/>
        </w:rPr>
        <w:t>General</w:t>
      </w:r>
      <w:r>
        <w:rPr>
          <w:rFonts w:ascii="Arial" w:cs="Arial" w:eastAsia="Arial" w:hAnsi="Arial"/>
          <w:sz w:val="21"/>
          <w:szCs w:val="21"/>
          <w:color w:val="auto"/>
        </w:rPr>
        <w:t>. The Restricted Stock Units shall vest as of the date of the Committee’s determination under Schedule I (the "</w:t>
      </w:r>
      <w:r>
        <w:rPr>
          <w:rFonts w:ascii="Arial" w:cs="Arial" w:eastAsia="Arial" w:hAnsi="Arial"/>
          <w:sz w:val="21"/>
          <w:szCs w:val="21"/>
          <w:u w:val="single" w:color="auto"/>
          <w:color w:val="auto"/>
        </w:rPr>
        <w:t>Vesting Date</w:t>
      </w:r>
      <w:r>
        <w:rPr>
          <w:rFonts w:ascii="Arial" w:cs="Arial" w:eastAsia="Arial" w:hAnsi="Arial"/>
          <w:sz w:val="21"/>
          <w:szCs w:val="21"/>
          <w:color w:val="auto"/>
        </w:rPr>
        <w:t>") based on achievement of the performance targets set forth on Schedule I, subject to the Participant’s continued Service through the Vesting Date, other than as set forth below.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66" w:name="page67"/>
    <w:bookmarkEnd w:id="66"/>
    <w:p>
      <w:pPr>
        <w:ind w:left="1500" w:hanging="690"/>
        <w:spacing w:after="0" w:line="248" w:lineRule="auto"/>
        <w:tabs>
          <w:tab w:leader="none" w:pos="1291" w:val="left"/>
        </w:tabs>
        <w:numPr>
          <w:ilvl w:val="2"/>
          <w:numId w:val="39"/>
        </w:numPr>
        <w:rPr>
          <w:rFonts w:ascii="Arial" w:cs="Arial" w:eastAsia="Arial" w:hAnsi="Arial"/>
          <w:sz w:val="21"/>
          <w:szCs w:val="21"/>
          <w:color w:val="auto"/>
        </w:rPr>
      </w:pPr>
      <w:r>
        <w:rPr>
          <w:rFonts w:ascii="Arial" w:cs="Arial" w:eastAsia="Arial" w:hAnsi="Arial"/>
          <w:sz w:val="21"/>
          <w:szCs w:val="21"/>
          <w:u w:val="single" w:color="auto"/>
          <w:color w:val="auto"/>
        </w:rPr>
        <w:t>Termination of Service; Breach</w:t>
      </w:r>
      <w:r>
        <w:rPr>
          <w:rFonts w:ascii="Arial" w:cs="Arial" w:eastAsia="Arial" w:hAnsi="Arial"/>
          <w:sz w:val="21"/>
          <w:szCs w:val="21"/>
          <w:color w:val="auto"/>
        </w:rPr>
        <w:t>. Except as set forth in Section 11 of the Employment Agreement between Definitive Healthcare, LLC and the Participant, dated May 4, 2022 (the “</w:t>
      </w:r>
      <w:r>
        <w:rPr>
          <w:rFonts w:ascii="Arial" w:cs="Arial" w:eastAsia="Arial" w:hAnsi="Arial"/>
          <w:sz w:val="21"/>
          <w:szCs w:val="21"/>
          <w:u w:val="single" w:color="auto"/>
          <w:color w:val="auto"/>
        </w:rPr>
        <w:t>Employment Agreement</w:t>
      </w:r>
      <w:r>
        <w:rPr>
          <w:rFonts w:ascii="Arial" w:cs="Arial" w:eastAsia="Arial" w:hAnsi="Arial"/>
          <w:sz w:val="21"/>
          <w:szCs w:val="21"/>
          <w:color w:val="auto"/>
        </w:rPr>
        <w:t>”) and notwithstanding Section 11.3 of the Plan, which shall not apply to this Agreement, upon termination of the Participant’s Service for any other reason or no reason, any then unvested Restricted Stock Units will be forfeited immediately, automatically and without consideration. If the Participant breaches and if such breach is capable of being cured in all material respects, fails to cure in all material respects, Section 5, 6 or 7 of the Employment Agreement, any vested or unvested Restricted Stock Units will be forfeited immediately, automatically and without consideration.</w:t>
      </w:r>
    </w:p>
    <w:p>
      <w:pPr>
        <w:spacing w:after="0" w:line="200" w:lineRule="exact"/>
        <w:rPr>
          <w:rFonts w:ascii="Arial" w:cs="Arial" w:eastAsia="Arial" w:hAnsi="Arial"/>
          <w:sz w:val="21"/>
          <w:szCs w:val="21"/>
          <w:color w:val="auto"/>
        </w:rPr>
      </w:pPr>
    </w:p>
    <w:p>
      <w:pPr>
        <w:spacing w:after="0" w:line="395" w:lineRule="exact"/>
        <w:rPr>
          <w:rFonts w:ascii="Arial" w:cs="Arial" w:eastAsia="Arial" w:hAnsi="Arial"/>
          <w:sz w:val="21"/>
          <w:szCs w:val="21"/>
          <w:color w:val="auto"/>
        </w:rPr>
      </w:pPr>
    </w:p>
    <w:p>
      <w:pPr>
        <w:ind w:left="760" w:hanging="752"/>
        <w:spacing w:after="0"/>
        <w:tabs>
          <w:tab w:leader="none" w:pos="760" w:val="left"/>
        </w:tabs>
        <w:numPr>
          <w:ilvl w:val="0"/>
          <w:numId w:val="40"/>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Payment</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46" w:lineRule="auto"/>
        <w:tabs>
          <w:tab w:leader="none" w:pos="1500"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Settlement</w:t>
      </w:r>
      <w:r>
        <w:rPr>
          <w:rFonts w:ascii="Arial" w:cs="Arial" w:eastAsia="Arial" w:hAnsi="Arial"/>
          <w:sz w:val="21"/>
          <w:szCs w:val="21"/>
          <w:color w:val="auto"/>
        </w:rPr>
        <w:t>. The Company shall deliver to the Participant within as soon as administratively practicable following the Vesting Date or the time that Participant becomes entitled to receive shares of Common Stock under Section 11 of the Employment Agreement, as applicable, a number of shares of Common Stock equal to the number of Restricted Stock Units that vested or otherwise became issuable on such date. No fractional shares of Common Stock shall be delivered, but shall be delayed until a full share has vested. The Company may deliver such shares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200" w:lineRule="exact"/>
        <w:rPr>
          <w:rFonts w:ascii="Arial" w:cs="Arial" w:eastAsia="Arial" w:hAnsi="Arial"/>
          <w:sz w:val="21"/>
          <w:szCs w:val="21"/>
          <w:color w:val="auto"/>
        </w:rPr>
      </w:pPr>
    </w:p>
    <w:p>
      <w:pPr>
        <w:spacing w:after="0" w:line="398" w:lineRule="exact"/>
        <w:rPr>
          <w:rFonts w:ascii="Arial" w:cs="Arial" w:eastAsia="Arial" w:hAnsi="Arial"/>
          <w:sz w:val="21"/>
          <w:szCs w:val="21"/>
          <w:color w:val="auto"/>
        </w:rPr>
      </w:pPr>
    </w:p>
    <w:p>
      <w:pPr>
        <w:jc w:val="both"/>
        <w:ind w:left="1500" w:hanging="743"/>
        <w:spacing w:after="0" w:line="274" w:lineRule="auto"/>
        <w:tabs>
          <w:tab w:leader="none" w:pos="150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Unless the Company and the Participant otherwise agree, the Company shall deduct or withhold from any shares of Common Stock deliverable under this Agreement amounts necessary to satisfy all federal, state and local taxes required to be withheld in connection with the settlement of the Restricted Stock Units. In addition, to the extent permitted by the Committee in its sole discretion,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and the Participant may also agree to satisfy some or all of any applicable tax withholding obligations by any means allowable under Section 14 of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67" w:name="page68"/>
    <w:bookmarkEnd w:id="67"/>
    <w:p>
      <w:pPr>
        <w:ind w:left="760" w:hanging="752"/>
        <w:spacing w:after="0"/>
        <w:tabs>
          <w:tab w:leader="none" w:pos="760" w:val="left"/>
        </w:tabs>
        <w:numPr>
          <w:ilvl w:val="0"/>
          <w:numId w:val="4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Non-Disclosure and Non-Use of the Company’s Trade Secrets or Confidential Information</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69" w:lineRule="auto"/>
        <w:tabs>
          <w:tab w:leader="none" w:pos="15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At all times during and following Participant’s Service, Participant agrees that he or she will not, either directly or indirectly, and Participant will not permit any Covered Entity which is Controlled by Participant to, either directly or indirectly, (i) divulge, use, disclose (in any way or in any manner, including by posting on the Internet), reproduce, distribute, or reverse engineer or otherwise provide the Company’s Trade Secrets or Confidential Information to any person, firm, corporation, reporter, author, producer or similar person or entity; (ii) take any action that would make available Trade Secrets or Confidential Information to the general public in any form; (iii) take any action that uses Trade Secrets or Confidential Information to solicit any client or prospective client of the Company; or (iv) take any action that uses Trade Secrets or Confidential Information for solicitation or marketing for any service or product or on Participant’s behalf or on behalf of any entity other than the Company with which Participant may become associated, except (i) as required in connection with the performance of such Participant’s duties to the Company, (ii) as required to be included in any report, statement or testimony requested by any municipal, state or national regulatory body having jurisdiction over Participant or any Covered Entity which is Controlled by Participant, (iii) as required in response to any summons or subpoena or in connection with any litigation, (iv) to the extent necessary in order to comply with any law, order, regulation, ruling or governmental request applicable to Participant or any Covered Entity which is Controlled by Participant, (v) as required in connection with an audit by any taxing authority, or (vi) as permitted by the express written consent of the Board. In the event that Participant or any such Covered Entity which is Controlled by Participant is required to disclose Trade Secrets or Confidential Information pursuant to the foregoing exceptions, Participant shall promptly notify the Company of such pending disclosure and assist the Company (at the Company’s expense) in seeking a protective order or in objecting to such request, summons or subpoena with regard to the Trade Secrets or Confidential Information. If the Company does not obtain such relief after a period that is reasonable under the circumstances, Participant (or such Covered Entity) may disclose that portion of the Trade Secrets or Confidential Information which counsel to such party advises such party that they are legally compelled to disclose. In such cases, Participant shall promptly provide the Company with a copy of the Trade Secrets or Confidential Information so disclosed. This provision applies without limitation to unauthorized use of Trade Secrets or Confidential Information in any medium, writings of any kind containing such information or materials, including books, and articles, blogs, websites, or writings of any other kind, or film, videotape, or audiotape. If, and only if, the controlling state law applicable to Participant requires a time limit to be placed on restrictions concerning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2" w:right="339" w:bottom="1440" w:gutter="0" w:footer="0" w:header="0"/>
        </w:sectPr>
      </w:pPr>
    </w:p>
    <w:bookmarkStart w:id="68" w:name="page69"/>
    <w:bookmarkEnd w:id="68"/>
    <w:p>
      <w:pPr>
        <w:jc w:val="both"/>
        <w:ind w:left="743"/>
        <w:spacing w:after="0" w:line="236" w:lineRule="auto"/>
        <w:rPr>
          <w:sz w:val="20"/>
          <w:szCs w:val="20"/>
          <w:color w:val="auto"/>
        </w:rPr>
      </w:pPr>
      <w:r>
        <w:rPr>
          <w:rFonts w:ascii="Arial" w:cs="Arial" w:eastAsia="Arial" w:hAnsi="Arial"/>
          <w:sz w:val="22"/>
          <w:szCs w:val="22"/>
          <w:color w:val="auto"/>
        </w:rPr>
        <w:t>post-employment use of Confidential Information for the restriction to be enforceable, then this restriction on Participant’s use of Confidential Information that is not a Trade Secret will expire two (2) years after Participant’s employment or other association with the Company ends. This time limit will not apply to Confidential Information that qualifies as a Trade Secret. The Company’s trade secrets will remain protected for as long as they qualify as trade secrets under applicable law.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743" w:hanging="743"/>
        <w:spacing w:after="0" w:line="274" w:lineRule="auto"/>
        <w:tabs>
          <w:tab w:leader="none" w:pos="743"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Notwithstanding Participant’s confidentiality obligations set forth in this </w:t>
      </w:r>
      <w:r>
        <w:rPr>
          <w:rFonts w:ascii="Arial" w:cs="Arial" w:eastAsia="Arial" w:hAnsi="Arial"/>
          <w:sz w:val="19"/>
          <w:szCs w:val="19"/>
          <w:u w:val="single" w:color="auto"/>
          <w:color w:val="auto"/>
        </w:rPr>
        <w:t>Section 4</w:t>
      </w:r>
      <w:r>
        <w:rPr>
          <w:rFonts w:ascii="Arial" w:cs="Arial" w:eastAsia="Arial" w:hAnsi="Arial"/>
          <w:sz w:val="19"/>
          <w:szCs w:val="19"/>
          <w:color w:val="auto"/>
        </w:rPr>
        <w:t>, Participant understands that, pursuant to the Defend Trade Secrets Act of 2016, Participant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Participant understands that in the event it is determined that disclosure of the Trade Secrets of the Company or any of its Subsidiaries or Affiliates was not done in good faith pursuant to the above, Participant shall be subject to substantial damages under federal criminal and civil law, including punitive damages and attorneys’ fees.</w:t>
      </w:r>
    </w:p>
    <w:p>
      <w:pPr>
        <w:spacing w:after="0" w:line="200" w:lineRule="exact"/>
        <w:rPr>
          <w:rFonts w:ascii="Arial" w:cs="Arial" w:eastAsia="Arial" w:hAnsi="Arial"/>
          <w:sz w:val="19"/>
          <w:szCs w:val="19"/>
          <w:color w:val="auto"/>
        </w:rPr>
      </w:pPr>
    </w:p>
    <w:p>
      <w:pPr>
        <w:spacing w:after="0" w:line="376" w:lineRule="exact"/>
        <w:rPr>
          <w:rFonts w:ascii="Arial" w:cs="Arial" w:eastAsia="Arial" w:hAnsi="Arial"/>
          <w:sz w:val="19"/>
          <w:szCs w:val="19"/>
          <w:color w:val="auto"/>
        </w:rPr>
      </w:pPr>
    </w:p>
    <w:p>
      <w:pPr>
        <w:jc w:val="both"/>
        <w:ind w:left="743" w:hanging="743"/>
        <w:spacing w:after="0" w:line="245" w:lineRule="auto"/>
        <w:tabs>
          <w:tab w:leader="none" w:pos="743" w:val="left"/>
        </w:tabs>
        <w:numPr>
          <w:ilvl w:val="0"/>
          <w:numId w:val="42"/>
        </w:numPr>
        <w:rPr>
          <w:rFonts w:ascii="Arial" w:cs="Arial" w:eastAsia="Arial" w:hAnsi="Arial"/>
          <w:sz w:val="21"/>
          <w:szCs w:val="21"/>
          <w:color w:val="auto"/>
        </w:rPr>
      </w:pPr>
      <w:r>
        <w:rPr>
          <w:rFonts w:ascii="Arial" w:cs="Arial" w:eastAsia="Arial" w:hAnsi="Arial"/>
          <w:sz w:val="21"/>
          <w:szCs w:val="21"/>
          <w:color w:val="auto"/>
        </w:rPr>
        <w:t>Notwithstanding anything to the contrary contained herein, nothing in this Agreement shall limit or interfere with Participant’s right, without notice to or authorization of the Company, to communicate and cooperate in good faith with a Government Agency for the purpose of (i) reporting a possible violation of any U.S. federal, state, or local law or regulation, (ii) participating in any investigation or proceeding that may be conducted or managed by any Government Agency, including by providing documents or other information, or (iii) filing a charge or complaint with a Government Agency. For purposes of this Agreement, “</w:t>
      </w:r>
      <w:r>
        <w:rPr>
          <w:rFonts w:ascii="Arial" w:cs="Arial" w:eastAsia="Arial" w:hAnsi="Arial"/>
          <w:sz w:val="21"/>
          <w:szCs w:val="21"/>
          <w:u w:val="single" w:color="auto"/>
          <w:color w:val="auto"/>
        </w:rPr>
        <w:t>Government Agency</w:t>
      </w:r>
      <w:r>
        <w:rPr>
          <w:rFonts w:ascii="Arial" w:cs="Arial" w:eastAsia="Arial" w:hAnsi="Arial"/>
          <w:sz w:val="21"/>
          <w:szCs w:val="21"/>
          <w:color w:val="auto"/>
        </w:rPr>
        <w:t>” means the Equal Employment Opportunity Commission, the National Labor Relations Board, the Occupational Safety and Health Administration, the U.S. Securities and Exchange Commission, the Financial Industry Regulatory Authority, or any other self-regulatory organization or any other federal, state or local governmental agency or commission.</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743" w:hanging="743"/>
        <w:spacing w:after="0"/>
        <w:tabs>
          <w:tab w:leader="none" w:pos="743" w:val="left"/>
        </w:tabs>
        <w:numPr>
          <w:ilvl w:val="0"/>
          <w:numId w:val="42"/>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4, the terms of Section 5 of the Employment Agreement shall apply for purposes of the Participant’s obligations regarding the use or disclosure of the Company’s confidential information and trade secrets.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69" w:name="page70"/>
    <w:bookmarkEnd w:id="69"/>
    <w:p>
      <w:pPr>
        <w:ind w:left="380" w:right="20" w:hanging="372"/>
        <w:spacing w:after="0" w:line="250" w:lineRule="auto"/>
        <w:tabs>
          <w:tab w:leader="none" w:pos="380" w:val="left"/>
        </w:tabs>
        <w:numPr>
          <w:ilvl w:val="0"/>
          <w:numId w:val="43"/>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During the term of Participant’s Service and for 12 months following the termination of Participant’s Service (the “Restricted Period”):</w:t>
      </w:r>
    </w:p>
    <w:p>
      <w:pPr>
        <w:spacing w:after="0" w:line="200" w:lineRule="exact"/>
        <w:rPr>
          <w:rFonts w:ascii="Arial" w:cs="Arial" w:eastAsia="Arial" w:hAnsi="Arial"/>
          <w:sz w:val="22"/>
          <w:szCs w:val="22"/>
          <w:u w:val="single" w:color="auto"/>
          <w:color w:val="auto"/>
        </w:rPr>
      </w:pPr>
    </w:p>
    <w:p>
      <w:pPr>
        <w:spacing w:after="0" w:line="393" w:lineRule="exact"/>
        <w:rPr>
          <w:rFonts w:ascii="Arial" w:cs="Arial" w:eastAsia="Arial" w:hAnsi="Arial"/>
          <w:sz w:val="22"/>
          <w:szCs w:val="22"/>
          <w:u w:val="single" w:color="auto"/>
          <w:color w:val="auto"/>
        </w:rPr>
      </w:pPr>
    </w:p>
    <w:p>
      <w:pPr>
        <w:jc w:val="both"/>
        <w:ind w:left="1500" w:hanging="743"/>
        <w:spacing w:after="0" w:line="273" w:lineRule="auto"/>
        <w:tabs>
          <w:tab w:leader="none" w:pos="15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Participant will not, directly or indirectly, individually or as a consultant to, or an Participant, officer, director, manager, stockholder, partner, member or other owner or participant in any business entity (including, without limitation, any competitor of the Company), other than the Company, engage in or assist any other person or entity to engage in any business which competes with any business in which the Company is engaging or the actual or demonstrably anticipated research or development of the Company (a “Competing Business”), during the Participant’s employment, anywhere in the United States or anywhere else in the world where the Company does business or plans to do business or is considering doing business Notwithstanding the foregoing, the Participant’s (x) discretionary ownership of less than three percent (3%) and (y) non-discretionary (for example through a mutual fund or other investment vehicle not controlled by Participant) ownership of the outstanding stock of any publicly-traded corporation shall not be deemed a violation of this Section 5(a);</w:t>
      </w:r>
    </w:p>
    <w:p>
      <w:pPr>
        <w:spacing w:after="0" w:line="200" w:lineRule="exact"/>
        <w:rPr>
          <w:rFonts w:ascii="Arial" w:cs="Arial" w:eastAsia="Arial" w:hAnsi="Arial"/>
          <w:sz w:val="19"/>
          <w:szCs w:val="19"/>
          <w:color w:val="auto"/>
        </w:rPr>
      </w:pPr>
    </w:p>
    <w:p>
      <w:pPr>
        <w:spacing w:after="0" w:line="379" w:lineRule="exact"/>
        <w:rPr>
          <w:rFonts w:ascii="Arial" w:cs="Arial" w:eastAsia="Arial" w:hAnsi="Arial"/>
          <w:sz w:val="19"/>
          <w:szCs w:val="19"/>
          <w:color w:val="auto"/>
        </w:rPr>
      </w:pPr>
    </w:p>
    <w:p>
      <w:pPr>
        <w:jc w:val="both"/>
        <w:ind w:left="1500" w:hanging="743"/>
        <w:spacing w:after="0" w:line="279" w:lineRule="auto"/>
        <w:tabs>
          <w:tab w:leader="none" w:pos="15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endeavor to reduce the amount of business conducted with the Company by or otherwise interfere with the business relationship of the Company with any person or entity who is, or was within the one-year period immediately prior thereto, a customer or client of, supplier, vendor or service provider to, or other party having business relations with the Company; and</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35" w:lineRule="auto"/>
        <w:tabs>
          <w:tab w:leader="none" w:pos="15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Participant will not, directly or indirectly, individually or as a consultant to, or an Participant, officer, director, manager, stockholder, partner, member or other owner or participant in any business entity solicit or endeavor to entice away from the Company, or offer employment or any consulting arrangement to, or otherwise interfere with the business relationship of the Company with any person or entity who is, or was within the one-year period immediately prior thereto, employed by, associated with or a consultant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jc w:val="both"/>
        <w:ind w:left="1500" w:hanging="743"/>
        <w:spacing w:after="0"/>
        <w:tabs>
          <w:tab w:leader="none" w:pos="15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Notwithstanding the preceding provisions of this Section 5, the terms of Sections 6 and 7 of the Employment Agreement shall apply for purposes of the Participant’s obligations regarding non-competition and non-solicitation.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70" w:name="page71"/>
    <w:bookmarkEnd w:id="70"/>
    <w:p>
      <w:pPr>
        <w:ind w:left="380" w:right="40" w:hanging="372"/>
        <w:spacing w:after="0" w:line="270" w:lineRule="auto"/>
        <w:tabs>
          <w:tab w:leader="none" w:pos="380" w:val="left"/>
        </w:tabs>
        <w:numPr>
          <w:ilvl w:val="0"/>
          <w:numId w:val="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Enforcement; Remedies</w:t>
      </w:r>
      <w:r>
        <w:rPr>
          <w:rFonts w:ascii="Arial" w:cs="Arial" w:eastAsia="Arial" w:hAnsi="Arial"/>
          <w:sz w:val="19"/>
          <w:szCs w:val="19"/>
          <w:color w:val="auto"/>
        </w:rPr>
        <w:t>. Participant acknowledges that Participant’s expertise in the business of the Company is of a special and unique character which gives this expertise a particular value, and that a breach of Sections 4 or 5 by Participant will cause serious and potentially irreparable harm to the Company. Participant therefore acknowledges that a breach of Sections 4 or 5 by Participant cannot be adequately compensated in an action for damages at law, and equitable relief would be necessary to protect the Company from a violation of this Agreement and from the harm which this Agreement is intended to prevent. By reason thereof, Participant acknowledges that the Company is entitled, in addition to any other remedies it may have under this Agreement or otherwise, to preliminary and permanent injunctive and other equitable relief to prevent or curtail any breach of this Agreement. Participant acknowledges, however, that no specification in this Agreement of a specific legal or equitable remedy may be construed as a waiver of or prohibition against the Company pursuing other legal or equitable remedies in the event of a breach of this Agreement by Participant. For purposes of Sections 4 and 5, “Company” shall specifically include the Company and its direct and indirect parent entities, subsidiaries, successors and assigns. If Participant fails to comply with a restriction in this Agreement that applies for a limited period of time after employment, the time period for that restriction will be extended by the greater of either: one day for each day Participant is found to have violated the restriction, or the length of the legal proceeding necessary to secure enforcement of the restriction; provided, however, that this extension of time shall be capped so that the extension of time does not exceed two years from the date their employment ended, and if this extension would make the restriction unenforceable under applicable law it will not be applied (“Fairness Extension”). If Participant resides or works in Massachusetts, the Fairness Extension will only apply to the restrictions in Section 5(b) and (c) and will only apply to the non-competition restriction in Section 5(a) if Participant breaches their fiduciary duty and/or has unlawfully taken, physically or electronically, any Company records. Notwithstanding the foregoing, the terms of Section 8 of the Employment Agreement shall apply.</w:t>
      </w:r>
    </w:p>
    <w:p>
      <w:pPr>
        <w:spacing w:after="0" w:line="362" w:lineRule="exact"/>
        <w:rPr>
          <w:rFonts w:ascii="Arial" w:cs="Arial" w:eastAsia="Arial" w:hAnsi="Arial"/>
          <w:sz w:val="19"/>
          <w:szCs w:val="19"/>
          <w:u w:val="single" w:color="auto"/>
          <w:color w:val="auto"/>
        </w:rPr>
      </w:pPr>
    </w:p>
    <w:p>
      <w:pPr>
        <w:ind w:left="380" w:right="300" w:hanging="372"/>
        <w:spacing w:after="0" w:line="328" w:lineRule="auto"/>
        <w:tabs>
          <w:tab w:leader="none" w:pos="380" w:val="left"/>
        </w:tabs>
        <w:numPr>
          <w:ilvl w:val="0"/>
          <w:numId w:val="44"/>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To the extent used expressly in this Agreement, the following definitions shall apply. To the extent the same term is defined in the Employment Agreement, the term as defined in the Employment Agreement shall apply.</w:t>
      </w:r>
    </w:p>
    <w:p>
      <w:pPr>
        <w:spacing w:after="0" w:line="200" w:lineRule="exact"/>
        <w:rPr>
          <w:rFonts w:ascii="Arial" w:cs="Arial" w:eastAsia="Arial" w:hAnsi="Arial"/>
          <w:sz w:val="19"/>
          <w:szCs w:val="19"/>
          <w:u w:val="single" w:color="auto"/>
          <w:color w:val="auto"/>
        </w:rPr>
      </w:pPr>
    </w:p>
    <w:p>
      <w:pPr>
        <w:spacing w:after="0" w:line="323" w:lineRule="exact"/>
        <w:rPr>
          <w:rFonts w:ascii="Arial" w:cs="Arial" w:eastAsia="Arial" w:hAnsi="Arial"/>
          <w:sz w:val="19"/>
          <w:szCs w:val="19"/>
          <w:u w:val="single" w:color="auto"/>
          <w:color w:val="auto"/>
        </w:rPr>
      </w:pPr>
    </w:p>
    <w:p>
      <w:pPr>
        <w:jc w:val="both"/>
        <w:ind w:left="1500" w:hanging="650"/>
        <w:spacing w:after="0" w:line="275" w:lineRule="auto"/>
        <w:tabs>
          <w:tab w:leader="none" w:pos="1500" w:val="left"/>
        </w:tabs>
        <w:numPr>
          <w:ilvl w:val="1"/>
          <w:numId w:val="4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any data or information, without regard to form, other than Trade Secrets, that is valuable to the Company and is not generally known by the public. To the extent consistent with the foregoing, Trade Secrets or Confidential Information includes, but is not limited to: (i) the names, addresses, phone numbers, accounts, financial information, and other information concerning patients, referral sources, payors (employers, managed care organizations, workers compensation insurers, and other types of payors) and other clients of the Company; (ii) non-public information and materials describing or relating to the Company’s business or financial affairs, including but not limited to financial and/or investment performance information, personnel matters, products, operating procedures,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6" w:right="339" w:bottom="1440" w:gutter="0" w:footer="0" w:header="0"/>
        </w:sectPr>
      </w:pPr>
    </w:p>
    <w:bookmarkStart w:id="71" w:name="page72"/>
    <w:bookmarkEnd w:id="71"/>
    <w:p>
      <w:pPr>
        <w:jc w:val="both"/>
        <w:ind w:left="650"/>
        <w:spacing w:after="0" w:line="270" w:lineRule="auto"/>
        <w:rPr>
          <w:sz w:val="20"/>
          <w:szCs w:val="20"/>
          <w:color w:val="auto"/>
        </w:rPr>
      </w:pPr>
      <w:r>
        <w:rPr>
          <w:rFonts w:ascii="Arial" w:cs="Arial" w:eastAsia="Arial" w:hAnsi="Arial"/>
          <w:sz w:val="19"/>
          <w:szCs w:val="19"/>
          <w:color w:val="auto"/>
        </w:rPr>
        <w:t>organizational responsibilities, marketing matters, or policies or procedures of the Company; or (iii) information and materials describing the Company’s existing or new products and services, including analytical data and techniques, and product, service or marketing concepts under development at or for the Company, and the status of such development. Trade Secrets or Confidential Information does not include information that, other than as a result of a breach by Participant of this Agreement, (x) is or becomes generally known within the relevant industry, or (y) is or becomes known to Participant other than through Participant’s work for the Company, or</w:t>
      </w:r>
    </w:p>
    <w:p>
      <w:pPr>
        <w:spacing w:after="0" w:line="1" w:lineRule="exact"/>
        <w:rPr>
          <w:sz w:val="20"/>
          <w:szCs w:val="20"/>
          <w:color w:val="auto"/>
        </w:rPr>
      </w:pPr>
    </w:p>
    <w:p>
      <w:pPr>
        <w:ind w:left="650"/>
        <w:spacing w:after="0"/>
        <w:rPr>
          <w:sz w:val="20"/>
          <w:szCs w:val="20"/>
          <w:color w:val="auto"/>
        </w:rPr>
      </w:pPr>
      <w:r>
        <w:rPr>
          <w:rFonts w:ascii="Arial" w:cs="Arial" w:eastAsia="Arial" w:hAnsi="Arial"/>
          <w:sz w:val="22"/>
          <w:szCs w:val="22"/>
          <w:color w:val="auto"/>
        </w:rPr>
        <w:t>(z) is or becomes generally available to the public.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650" w:hanging="650"/>
        <w:spacing w:after="0" w:line="236" w:lineRule="auto"/>
        <w:tabs>
          <w:tab w:leader="none" w:pos="650" w:val="left"/>
        </w:tabs>
        <w:numPr>
          <w:ilvl w:val="0"/>
          <w:numId w:val="4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(i) in the case of a corporate entity, direct or indirect ownership of at least fifty percent (50%) of the stock or securities entitled to vote for the election of directors; and (ii) in the case of a non-corporate entity (such as a limited liability company, partnership or limited partnership), either (x) direct or indirect ownership of at least fifty percent (50%) of the equity interests in such entity, or (y) the power to direct the management and policies of such entity.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left="650" w:hanging="650"/>
        <w:spacing w:after="0" w:line="245" w:lineRule="auto"/>
        <w:tabs>
          <w:tab w:leader="none" w:pos="650" w:val="left"/>
        </w:tabs>
        <w:numPr>
          <w:ilvl w:val="0"/>
          <w:numId w:val="4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Entity</w:t>
      </w:r>
      <w:r>
        <w:rPr>
          <w:rFonts w:ascii="Arial" w:cs="Arial" w:eastAsia="Arial" w:hAnsi="Arial"/>
          <w:sz w:val="21"/>
          <w:szCs w:val="21"/>
          <w:color w:val="auto"/>
        </w:rPr>
        <w:t>” means every Affiliate of Participant, and every business, association, trust, corporation, partnership, limited liability company, proprietorship or other entity in which Participant has an investment (whether through debt or equity securities), or maintains any capital contribution or made any outstanding advances to, or in which any Affiliate of Participant has an ownership interest or profit sharing percentage, or a firm from which Participant or any Affiliate of Participant receives or is entitled to receive income, compensation or consulting fees in which Participant or any Affiliate of Participant has an interest as a lender (other than solely as a trade creditor for the sale of goods or provision of services that do not otherwise violate the provisions of this Agreement). The agreements of Participant contained herein specifically apply to each entity which is presently a Covered Entity (so long as it remains a Covered Entity) or which becomes a Covered Entity subsequent to the date of this Agreement.</w:t>
      </w:r>
    </w:p>
    <w:p>
      <w:pPr>
        <w:spacing w:after="0" w:line="200" w:lineRule="exact"/>
        <w:rPr>
          <w:rFonts w:ascii="Arial" w:cs="Arial" w:eastAsia="Arial" w:hAnsi="Arial"/>
          <w:sz w:val="21"/>
          <w:szCs w:val="21"/>
          <w:color w:val="auto"/>
        </w:rPr>
      </w:pPr>
    </w:p>
    <w:p>
      <w:pPr>
        <w:spacing w:after="0" w:line="399" w:lineRule="exact"/>
        <w:rPr>
          <w:rFonts w:ascii="Arial" w:cs="Arial" w:eastAsia="Arial" w:hAnsi="Arial"/>
          <w:sz w:val="21"/>
          <w:szCs w:val="21"/>
          <w:color w:val="auto"/>
        </w:rPr>
      </w:pPr>
    </w:p>
    <w:p>
      <w:pPr>
        <w:jc w:val="both"/>
        <w:ind w:left="650" w:hanging="650"/>
        <w:spacing w:after="0" w:line="277" w:lineRule="auto"/>
        <w:tabs>
          <w:tab w:leader="none" w:pos="650" w:val="left"/>
        </w:tabs>
        <w:numPr>
          <w:ilvl w:val="0"/>
          <w:numId w:val="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Secrets</w:t>
      </w:r>
      <w:r>
        <w:rPr>
          <w:rFonts w:ascii="Arial" w:cs="Arial" w:eastAsia="Arial" w:hAnsi="Arial"/>
          <w:sz w:val="19"/>
          <w:szCs w:val="19"/>
          <w:color w:val="auto"/>
        </w:rPr>
        <w:t>” means information, without regard to form, including, but not limited to, technical or nontechnical data, a formula, a pattern, a compilation, a program, a device, a method, a technique, a drawing, a process, a prototype, financial data, financial plans, product plans, or a list of actual or potential customers or suppliers which is not commonly known by or available to the public and which information: (i) derives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w:t>
      </w:r>
    </w:p>
    <w:p>
      <w:pPr>
        <w:spacing w:after="0" w:line="152" w:lineRule="exact"/>
        <w:rPr>
          <w:sz w:val="20"/>
          <w:szCs w:val="20"/>
          <w:color w:val="auto"/>
        </w:rPr>
      </w:pPr>
    </w:p>
    <w:p>
      <w:pPr>
        <w:ind w:left="473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448945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70" w:top="523" w:right="339" w:bottom="1440" w:gutter="0" w:footer="0" w:header="0"/>
        </w:sectPr>
      </w:pPr>
    </w:p>
    <w:bookmarkStart w:id="72" w:name="page73"/>
    <w:bookmarkEnd w:id="72"/>
    <w:p>
      <w:pPr>
        <w:jc w:val="both"/>
        <w:ind w:left="1500"/>
        <w:spacing w:after="0"/>
        <w:rPr>
          <w:sz w:val="20"/>
          <w:szCs w:val="20"/>
          <w:color w:val="auto"/>
        </w:rPr>
      </w:pPr>
      <w:r>
        <w:rPr>
          <w:rFonts w:ascii="Arial" w:cs="Arial" w:eastAsia="Arial" w:hAnsi="Arial"/>
          <w:sz w:val="22"/>
          <w:szCs w:val="22"/>
          <w:color w:val="auto"/>
        </w:rPr>
        <w:t>secrecy. Trade Secrets also include any information or data described above that the Company obtains from another party and that the Company treats as proprietary or designates as a Trade Secrets, whether or not owned or developed by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Miscellaneous Provisions</w:t>
      </w:r>
    </w:p>
    <w:p>
      <w:pPr>
        <w:spacing w:after="0" w:line="200" w:lineRule="exact"/>
        <w:rPr>
          <w:rFonts w:ascii="Arial" w:cs="Arial" w:eastAsia="Arial" w:hAnsi="Arial"/>
          <w:sz w:val="22"/>
          <w:szCs w:val="22"/>
          <w:u w:val="single" w:color="auto"/>
          <w:color w:val="auto"/>
        </w:rPr>
      </w:pPr>
    </w:p>
    <w:p>
      <w:pPr>
        <w:spacing w:after="0" w:line="200" w:lineRule="exact"/>
        <w:rPr>
          <w:rFonts w:ascii="Arial" w:cs="Arial" w:eastAsia="Arial" w:hAnsi="Arial"/>
          <w:sz w:val="22"/>
          <w:szCs w:val="22"/>
          <w:u w:val="single" w:color="auto"/>
          <w:color w:val="auto"/>
        </w:rPr>
      </w:pPr>
    </w:p>
    <w:p>
      <w:pPr>
        <w:spacing w:after="0" w:line="224" w:lineRule="exact"/>
        <w:rPr>
          <w:rFonts w:ascii="Arial" w:cs="Arial" w:eastAsia="Arial" w:hAnsi="Arial"/>
          <w:sz w:val="22"/>
          <w:szCs w:val="22"/>
          <w:u w:val="single" w:color="auto"/>
          <w:color w:val="auto"/>
        </w:rPr>
      </w:pPr>
    </w:p>
    <w:p>
      <w:pPr>
        <w:jc w:val="both"/>
        <w:ind w:left="1500" w:hanging="743"/>
        <w:spacing w:after="0" w:line="234" w:lineRule="auto"/>
        <w:tabs>
          <w:tab w:leader="none" w:pos="1500" w:val="left"/>
        </w:tabs>
        <w:numPr>
          <w:ilvl w:val="1"/>
          <w:numId w:val="46"/>
        </w:numPr>
        <w:rPr>
          <w:rFonts w:ascii="Arial" w:cs="Arial" w:eastAsia="Arial" w:hAnsi="Arial"/>
          <w:sz w:val="22"/>
          <w:szCs w:val="22"/>
          <w:color w:val="auto"/>
        </w:rPr>
      </w:pPr>
      <w:r>
        <w:rPr>
          <w:rFonts w:ascii="Arial" w:cs="Arial" w:eastAsia="Arial" w:hAnsi="Arial"/>
          <w:sz w:val="22"/>
          <w:szCs w:val="22"/>
          <w:u w:val="single" w:color="auto"/>
          <w:color w:val="auto"/>
        </w:rPr>
        <w:t>Rights of a Shareholder; Dividend Equivalents</w:t>
      </w:r>
      <w:r>
        <w:rPr>
          <w:rFonts w:ascii="Arial" w:cs="Arial" w:eastAsia="Arial" w:hAnsi="Arial"/>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the time of settlement of the Restricted Stock Units.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1500" w:hanging="743"/>
        <w:spacing w:after="0" w:line="279" w:lineRule="auto"/>
        <w:tabs>
          <w:tab w:leader="none" w:pos="150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200" w:lineRule="exact"/>
        <w:rPr>
          <w:rFonts w:ascii="Arial" w:cs="Arial" w:eastAsia="Arial" w:hAnsi="Arial"/>
          <w:sz w:val="19"/>
          <w:szCs w:val="19"/>
          <w:color w:val="auto"/>
        </w:rPr>
      </w:pPr>
    </w:p>
    <w:p>
      <w:pPr>
        <w:spacing w:after="0" w:line="368" w:lineRule="exact"/>
        <w:rPr>
          <w:rFonts w:ascii="Arial" w:cs="Arial" w:eastAsia="Arial" w:hAnsi="Arial"/>
          <w:sz w:val="19"/>
          <w:szCs w:val="19"/>
          <w:color w:val="auto"/>
        </w:rPr>
      </w:pPr>
    </w:p>
    <w:p>
      <w:pPr>
        <w:jc w:val="both"/>
        <w:ind w:left="1500" w:hanging="743"/>
        <w:spacing w:after="0" w:line="285" w:lineRule="auto"/>
        <w:tabs>
          <w:tab w:leader="none" w:pos="150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448945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73" w:name="page74"/>
    <w:bookmarkEnd w:id="73"/>
    <w:p>
      <w:pPr>
        <w:jc w:val="both"/>
        <w:ind w:left="743" w:hanging="743"/>
        <w:spacing w:after="0"/>
        <w:tabs>
          <w:tab w:leader="none" w:pos="743"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In the event of any change with respect to the outstanding shares of Common Stock contemplated by Section 4.5 of the Plan, the Restricted Stock Units shall be adjusted in accordance with Section 4.5 of the Plan.</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743" w:hanging="743"/>
        <w:spacing w:after="0" w:line="249" w:lineRule="auto"/>
        <w:tabs>
          <w:tab w:leader="none" w:pos="74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No Right to Continued Service</w:t>
      </w:r>
      <w:r>
        <w:rPr>
          <w:rFonts w:ascii="Arial" w:cs="Arial" w:eastAsia="Arial" w:hAnsi="Arial"/>
          <w:sz w:val="21"/>
          <w:szCs w:val="21"/>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 subject to compliance with the terms of the Employment Agreement.</w:t>
      </w: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jc w:val="both"/>
        <w:ind w:left="743" w:hanging="743"/>
        <w:spacing w:after="0" w:line="249" w:lineRule="auto"/>
        <w:tabs>
          <w:tab w:leader="none" w:pos="74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78" w:lineRule="exact"/>
        <w:rPr>
          <w:rFonts w:ascii="Arial" w:cs="Arial" w:eastAsia="Arial" w:hAnsi="Arial"/>
          <w:sz w:val="21"/>
          <w:szCs w:val="21"/>
          <w:color w:val="auto"/>
        </w:rPr>
      </w:pPr>
    </w:p>
    <w:p>
      <w:pPr>
        <w:jc w:val="both"/>
        <w:ind w:left="743" w:hanging="743"/>
        <w:spacing w:after="0"/>
        <w:tabs>
          <w:tab w:leader="none" w:pos="743"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86" w:lineRule="exact"/>
        <w:rPr>
          <w:rFonts w:ascii="Arial" w:cs="Arial" w:eastAsia="Arial" w:hAnsi="Arial"/>
          <w:sz w:val="22"/>
          <w:szCs w:val="22"/>
          <w:color w:val="auto"/>
        </w:rPr>
      </w:pPr>
    </w:p>
    <w:p>
      <w:pPr>
        <w:ind w:left="743" w:right="20" w:hanging="743"/>
        <w:spacing w:after="0" w:line="250" w:lineRule="auto"/>
        <w:tabs>
          <w:tab w:leader="none" w:pos="743"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74" w:lineRule="exact"/>
        <w:rPr>
          <w:rFonts w:ascii="Arial" w:cs="Arial" w:eastAsia="Arial" w:hAnsi="Arial"/>
          <w:sz w:val="22"/>
          <w:szCs w:val="22"/>
          <w:color w:val="auto"/>
        </w:rPr>
      </w:pPr>
    </w:p>
    <w:p>
      <w:pPr>
        <w:jc w:val="both"/>
        <w:ind w:left="743" w:hanging="743"/>
        <w:spacing w:after="0" w:line="249" w:lineRule="auto"/>
        <w:tabs>
          <w:tab w:leader="none" w:pos="74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Choice of Law; Jurisdiction</w:t>
      </w:r>
      <w:r>
        <w:rPr>
          <w:rFonts w:ascii="Arial" w:cs="Arial" w:eastAsia="Arial" w:hAnsi="Arial"/>
          <w:sz w:val="21"/>
          <w:szCs w:val="21"/>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 This Section 8(i) shall not apply to employees residing in Massachusetts.</w:t>
      </w:r>
    </w:p>
    <w:p>
      <w:pPr>
        <w:spacing w:after="0" w:line="178" w:lineRule="exact"/>
        <w:rPr>
          <w:rFonts w:ascii="Arial" w:cs="Arial" w:eastAsia="Arial" w:hAnsi="Arial"/>
          <w:sz w:val="21"/>
          <w:szCs w:val="21"/>
          <w:color w:val="auto"/>
        </w:rPr>
      </w:pPr>
    </w:p>
    <w:p>
      <w:pPr>
        <w:jc w:val="both"/>
        <w:ind w:left="743" w:hanging="743"/>
        <w:spacing w:after="0" w:line="252" w:lineRule="auto"/>
        <w:tabs>
          <w:tab w:leader="none" w:pos="743"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Other Restrictive Covenants</w:t>
      </w:r>
      <w:r>
        <w:rPr>
          <w:rFonts w:ascii="Arial" w:cs="Arial" w:eastAsia="Arial" w:hAnsi="Arial"/>
          <w:sz w:val="21"/>
          <w:szCs w:val="21"/>
          <w:color w:val="auto"/>
        </w:rPr>
        <w:t>. Notwithstanding any other language in this Agreement, this Agreement does not supersede, and shall not preclude the enforceability of (in addition to enforcement of this Agreement), any restrictive covenant provision contained in any prior or subsequent agreement entered into by the Participant, nor shall any subsequent agreement entered into by the Participant</w:t>
      </w:r>
    </w:p>
    <w:p>
      <w:pPr>
        <w:spacing w:after="0" w:line="174"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74" w:name="page75"/>
    <w:bookmarkEnd w:id="74"/>
    <w:p>
      <w:pPr>
        <w:jc w:val="both"/>
        <w:ind w:left="743"/>
        <w:spacing w:after="0" w:line="238" w:lineRule="auto"/>
        <w:rPr>
          <w:sz w:val="20"/>
          <w:szCs w:val="20"/>
          <w:color w:val="auto"/>
        </w:rPr>
      </w:pPr>
      <w:r>
        <w:rPr>
          <w:rFonts w:ascii="Arial" w:cs="Arial" w:eastAsia="Arial" w:hAnsi="Arial"/>
          <w:sz w:val="22"/>
          <w:szCs w:val="22"/>
          <w:color w:val="auto"/>
        </w:rPr>
        <w:t>be construed or interpreted as amending, superseding, overriding, or otherwise precluding the enforceability of the restrictive covenants contained herein (including in Sections 4 and 5) unless such subsequent agreement specifically references the applicable covenant in this Agreement and expressly states that such covenant shall be superseded.</w:t>
      </w:r>
    </w:p>
    <w:p>
      <w:pPr>
        <w:spacing w:after="0" w:line="185" w:lineRule="exact"/>
        <w:rPr>
          <w:sz w:val="20"/>
          <w:szCs w:val="20"/>
          <w:color w:val="auto"/>
        </w:rPr>
      </w:pPr>
    </w:p>
    <w:p>
      <w:pPr>
        <w:ind w:left="743" w:hanging="743"/>
        <w:spacing w:after="0" w:line="328" w:lineRule="auto"/>
        <w:tabs>
          <w:tab w:leader="none" w:pos="74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04" w:lineRule="exact"/>
        <w:rPr>
          <w:rFonts w:ascii="Arial" w:cs="Arial" w:eastAsia="Arial" w:hAnsi="Arial"/>
          <w:sz w:val="19"/>
          <w:szCs w:val="19"/>
          <w:color w:val="auto"/>
        </w:rPr>
      </w:pPr>
    </w:p>
    <w:p>
      <w:pPr>
        <w:jc w:val="both"/>
        <w:ind w:left="743" w:hanging="743"/>
        <w:spacing w:after="0" w:line="249" w:lineRule="auto"/>
        <w:tabs>
          <w:tab w:leader="none" w:pos="743"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78" w:lineRule="exact"/>
        <w:rPr>
          <w:rFonts w:ascii="Arial" w:cs="Arial" w:eastAsia="Arial" w:hAnsi="Arial"/>
          <w:sz w:val="21"/>
          <w:szCs w:val="21"/>
          <w:color w:val="auto"/>
        </w:rPr>
      </w:pPr>
    </w:p>
    <w:p>
      <w:pPr>
        <w:jc w:val="both"/>
        <w:ind w:left="743" w:hanging="743"/>
        <w:spacing w:after="0" w:line="234" w:lineRule="auto"/>
        <w:tabs>
          <w:tab w:leader="none" w:pos="743"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91" w:lineRule="exact"/>
        <w:rPr>
          <w:sz w:val="20"/>
          <w:szCs w:val="20"/>
          <w:color w:val="auto"/>
        </w:rPr>
      </w:pPr>
    </w:p>
    <w:p>
      <w:pPr>
        <w:ind w:left="3763"/>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448945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75" w:name="page76"/>
    <w:bookmarkEnd w:id="75"/>
    <w:p>
      <w:pPr>
        <w:ind w:firstLine="432"/>
        <w:spacing w:after="0" w:line="250" w:lineRule="auto"/>
        <w:rPr>
          <w:sz w:val="20"/>
          <w:szCs w:val="20"/>
          <w:color w:val="auto"/>
        </w:rPr>
      </w:pPr>
      <w:r>
        <w:rPr>
          <w:rFonts w:ascii="Arial" w:cs="Arial" w:eastAsia="Arial" w:hAnsi="Arial"/>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387" w:lineRule="exact"/>
        <w:rPr>
          <w:sz w:val="20"/>
          <w:szCs w:val="20"/>
          <w:color w:val="auto"/>
        </w:rPr>
      </w:pPr>
    </w:p>
    <w:p>
      <w:pPr>
        <w:spacing w:after="0"/>
        <w:tabs>
          <w:tab w:leader="none" w:pos="30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DEFINITIVE HEALTHCARE CORP.</w:t>
      </w:r>
    </w:p>
    <w:p>
      <w:pPr>
        <w:sectPr>
          <w:pgSz w:w="11900" w:h="16838" w:orient="portrait"/>
          <w:cols w:equalWidth="0" w:num="1">
            <w:col w:w="11220"/>
          </w:cols>
          <w:pgMar w:left="320" w:top="3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610" w:lineRule="auto"/>
        <w:rPr>
          <w:sz w:val="20"/>
          <w:szCs w:val="20"/>
          <w:color w:val="auto"/>
        </w:rPr>
      </w:pPr>
      <w:r>
        <w:rPr>
          <w:rFonts w:ascii="Arial" w:cs="Arial" w:eastAsia="Arial" w:hAnsi="Arial"/>
          <w:sz w:val="18"/>
          <w:szCs w:val="18"/>
          <w:color w:val="auto"/>
        </w:rPr>
        <w:t>______________________________ Date:_________________________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Date: _____________________________</w:t>
      </w:r>
    </w:p>
    <w:p>
      <w:pPr>
        <w:spacing w:after="0" w:line="574" w:lineRule="exact"/>
        <w:rPr>
          <w:sz w:val="20"/>
          <w:szCs w:val="20"/>
          <w:color w:val="auto"/>
        </w:rPr>
      </w:pPr>
    </w:p>
    <w:p>
      <w:pPr>
        <w:sectPr>
          <w:pgSz w:w="11900" w:h="16838" w:orient="portrait"/>
          <w:cols w:equalWidth="0" w:num="2">
            <w:col w:w="3240" w:space="220"/>
            <w:col w:w="7760"/>
          </w:cols>
          <w:pgMar w:left="320" w:top="3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9"/>
          <w:szCs w:val="19"/>
          <w:i w:val="1"/>
          <w:iCs w:val="1"/>
          <w:color w:val="auto"/>
        </w:rPr>
        <w:t>[Signature Page –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213360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SCHEDULE I</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Targets</w:t>
      </w:r>
    </w:p>
    <w:p>
      <w:pPr>
        <w:spacing w:after="0" w:line="19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Restricted Stock Units shall vest based upon achievement of total shareholder return (“</w:t>
      </w:r>
      <w:r>
        <w:rPr>
          <w:rFonts w:ascii="Arial" w:cs="Arial" w:eastAsia="Arial" w:hAnsi="Arial"/>
          <w:sz w:val="19"/>
          <w:szCs w:val="19"/>
          <w:u w:val="single" w:color="auto"/>
          <w:color w:val="auto"/>
        </w:rPr>
        <w:t>TSR</w:t>
      </w:r>
      <w:r>
        <w:rPr>
          <w:rFonts w:ascii="Arial" w:cs="Arial" w:eastAsia="Arial" w:hAnsi="Arial"/>
          <w:sz w:val="19"/>
          <w:szCs w:val="19"/>
          <w:color w:val="auto"/>
        </w:rPr>
        <w:t>”) of the Company relative to the TSR of the Peer Group (defined below) between January 1, 2022 and December 31, 2024 (the “</w:t>
      </w:r>
      <w:r>
        <w:rPr>
          <w:rFonts w:ascii="Arial" w:cs="Arial" w:eastAsia="Arial" w:hAnsi="Arial"/>
          <w:sz w:val="19"/>
          <w:szCs w:val="19"/>
          <w:u w:val="single" w:color="auto"/>
          <w:color w:val="auto"/>
        </w:rPr>
        <w:t>Performance Period</w:t>
      </w:r>
      <w:r>
        <w:rPr>
          <w:rFonts w:ascii="Arial" w:cs="Arial" w:eastAsia="Arial" w:hAnsi="Arial"/>
          <w:sz w:val="19"/>
          <w:szCs w:val="19"/>
          <w:color w:val="auto"/>
        </w:rPr>
        <w:t>”).</w:t>
      </w:r>
    </w:p>
    <w:p>
      <w:pPr>
        <w:spacing w:after="0" w:line="85" w:lineRule="exact"/>
        <w:rPr>
          <w:sz w:val="20"/>
          <w:szCs w:val="20"/>
          <w:color w:val="auto"/>
        </w:rPr>
      </w:pPr>
    </w:p>
    <w:p>
      <w:pPr>
        <w:jc w:val="both"/>
        <w:ind w:left="760" w:hanging="378"/>
        <w:spacing w:after="0" w:line="247" w:lineRule="auto"/>
        <w:tabs>
          <w:tab w:leader="none" w:pos="760" w:val="left"/>
        </w:tabs>
        <w:numPr>
          <w:ilvl w:val="0"/>
          <w:numId w:val="49"/>
        </w:numPr>
        <w:rPr>
          <w:rFonts w:ascii="Arial" w:cs="Arial" w:eastAsia="Arial" w:hAnsi="Arial"/>
          <w:sz w:val="21"/>
          <w:szCs w:val="21"/>
          <w:color w:val="auto"/>
        </w:rPr>
      </w:pPr>
      <w:r>
        <w:rPr>
          <w:rFonts w:ascii="Arial" w:cs="Arial" w:eastAsia="Arial" w:hAnsi="Arial"/>
          <w:sz w:val="21"/>
          <w:szCs w:val="21"/>
          <w:b w:val="1"/>
          <w:bCs w:val="1"/>
          <w:color w:val="auto"/>
        </w:rPr>
        <w:t xml:space="preserve">Performance levels &amp; vesting: </w:t>
      </w:r>
      <w:r>
        <w:rPr>
          <w:rFonts w:ascii="Arial" w:cs="Arial" w:eastAsia="Arial" w:hAnsi="Arial"/>
          <w:sz w:val="21"/>
          <w:szCs w:val="21"/>
          <w:color w:val="auto"/>
        </w:rPr>
        <w:t>Performance levels and vesting will be determined by the Committee based on a</w:t>
      </w:r>
      <w:r>
        <w:rPr>
          <w:rFonts w:ascii="Arial" w:cs="Arial" w:eastAsia="Arial" w:hAnsi="Arial"/>
          <w:sz w:val="21"/>
          <w:szCs w:val="21"/>
          <w:b w:val="1"/>
          <w:bCs w:val="1"/>
          <w:color w:val="auto"/>
        </w:rPr>
        <w:t xml:space="preserve"> </w:t>
      </w:r>
      <w:r>
        <w:rPr>
          <w:rFonts w:ascii="Arial" w:cs="Arial" w:eastAsia="Arial" w:hAnsi="Arial"/>
          <w:sz w:val="21"/>
          <w:szCs w:val="21"/>
          <w:color w:val="auto"/>
        </w:rPr>
        <w:t>percentile ranking of the Company's TSR as compared to the TSR of the Peer Group. The Company’s TSR shall be compared to the TSR for each of the entities within the Peer Group for the Performance Period. The results shall be ranked from highest to lowest TSR (rounded, if necessary, to the nearest whole percentile by application of regular rounding) to determine the Company’s relative TSR percentile ranking (the “</w:t>
      </w:r>
      <w:r>
        <w:rPr>
          <w:rFonts w:ascii="Arial" w:cs="Arial" w:eastAsia="Arial" w:hAnsi="Arial"/>
          <w:sz w:val="21"/>
          <w:szCs w:val="21"/>
          <w:u w:val="single" w:color="auto"/>
          <w:color w:val="auto"/>
        </w:rPr>
        <w:t>Relative TSR Percentile</w:t>
      </w:r>
      <w:r>
        <w:rPr>
          <w:rFonts w:ascii="Arial" w:cs="Arial" w:eastAsia="Arial" w:hAnsi="Arial"/>
          <w:sz w:val="21"/>
          <w:szCs w:val="21"/>
          <w:color w:val="auto"/>
        </w:rPr>
        <w:t>”) compared to the Peer Group. Vesting of the Restricted Stock Units, if any, shall occur as of the last day of the Performance Period and shall be determined based on the Relative TSR Percentile as follows:</w:t>
      </w:r>
    </w:p>
    <w:p>
      <w:pPr>
        <w:spacing w:after="0" w:line="182" w:lineRule="exact"/>
        <w:rPr>
          <w:sz w:val="20"/>
          <w:szCs w:val="20"/>
          <w:color w:val="auto"/>
        </w:rPr>
      </w:pPr>
    </w:p>
    <w:tbl>
      <w:tblPr>
        <w:tblLayout w:type="fixed"/>
        <w:tblInd w:w="910" w:type="dxa"/>
        <w:tblCellMar>
          <w:top w:w="0" w:type="dxa"/>
          <w:left w:w="0" w:type="dxa"/>
          <w:bottom w:w="0" w:type="dxa"/>
          <w:right w:w="0" w:type="dxa"/>
        </w:tblCellMar>
      </w:tblPr>
      <w:tr>
        <w:trPr>
          <w:trHeight w:val="263"/>
        </w:trPr>
        <w:tc>
          <w:tcPr>
            <w:tcW w:w="2580" w:type="dxa"/>
            <w:vAlign w:val="bottom"/>
            <w:tcBorders>
              <w:top w:val="single" w:sz="8" w:color="auto"/>
              <w:left w:val="single" w:sz="8" w:color="auto"/>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b w:val="1"/>
                <w:bCs w:val="1"/>
                <w:color w:val="auto"/>
              </w:rPr>
              <w:t>Performance Levels</w:t>
            </w:r>
          </w:p>
        </w:tc>
        <w:tc>
          <w:tcPr>
            <w:tcW w:w="2820" w:type="dxa"/>
            <w:vAlign w:val="bottom"/>
            <w:tcBorders>
              <w:top w:val="single" w:sz="8" w:color="auto"/>
              <w:bottom w:val="single" w:sz="8" w:color="auto"/>
              <w:right w:val="single" w:sz="8" w:color="auto"/>
            </w:tcBorders>
          </w:tcPr>
          <w:p>
            <w:pPr>
              <w:ind w:left="80"/>
              <w:spacing w:after="0" w:line="243" w:lineRule="exact"/>
              <w:rPr>
                <w:sz w:val="20"/>
                <w:szCs w:val="20"/>
                <w:color w:val="auto"/>
              </w:rPr>
            </w:pPr>
            <w:r>
              <w:rPr>
                <w:rFonts w:ascii="Arial" w:cs="Arial" w:eastAsia="Arial" w:hAnsi="Arial"/>
                <w:sz w:val="22"/>
                <w:szCs w:val="22"/>
                <w:b w:val="1"/>
                <w:bCs w:val="1"/>
                <w:color w:val="auto"/>
              </w:rPr>
              <w:t>Relative TSR Percentile</w:t>
            </w:r>
          </w:p>
        </w:tc>
        <w:tc>
          <w:tcPr>
            <w:tcW w:w="2700" w:type="dxa"/>
            <w:vAlign w:val="bottom"/>
            <w:tcBorders>
              <w:top w:val="single" w:sz="8" w:color="auto"/>
              <w:bottom w:val="single" w:sz="8" w:color="auto"/>
              <w:right w:val="single" w:sz="8" w:color="auto"/>
            </w:tcBorders>
          </w:tcPr>
          <w:p>
            <w:pPr>
              <w:ind w:left="100"/>
              <w:spacing w:after="0" w:line="243" w:lineRule="exact"/>
              <w:rPr>
                <w:sz w:val="20"/>
                <w:szCs w:val="20"/>
                <w:color w:val="auto"/>
              </w:rPr>
            </w:pPr>
            <w:r>
              <w:rPr>
                <w:rFonts w:ascii="Arial" w:cs="Arial" w:eastAsia="Arial" w:hAnsi="Arial"/>
                <w:sz w:val="22"/>
                <w:szCs w:val="22"/>
                <w:b w:val="1"/>
                <w:bCs w:val="1"/>
                <w:color w:val="auto"/>
              </w:rPr>
              <w:t>Vesting Percentage</w:t>
            </w:r>
          </w:p>
        </w:tc>
      </w:tr>
      <w:tr>
        <w:trPr>
          <w:trHeight w:val="220"/>
        </w:trPr>
        <w:tc>
          <w:tcPr>
            <w:tcW w:w="2580" w:type="dxa"/>
            <w:vAlign w:val="bottom"/>
            <w:tcBorders>
              <w:left w:val="single" w:sz="8" w:color="auto"/>
              <w:bottom w:val="single" w:sz="8" w:color="auto"/>
              <w:right w:val="single" w:sz="8" w:color="auto"/>
            </w:tcBorders>
          </w:tcPr>
          <w:p>
            <w:pPr>
              <w:ind w:left="100"/>
              <w:spacing w:after="0" w:line="220" w:lineRule="exact"/>
              <w:rPr>
                <w:sz w:val="20"/>
                <w:szCs w:val="20"/>
                <w:color w:val="auto"/>
              </w:rPr>
            </w:pPr>
            <w:r>
              <w:rPr>
                <w:rFonts w:ascii="Arial" w:cs="Arial" w:eastAsia="Arial" w:hAnsi="Arial"/>
                <w:sz w:val="22"/>
                <w:szCs w:val="22"/>
                <w:color w:val="auto"/>
              </w:rPr>
              <w:t>Threshold</w:t>
            </w:r>
          </w:p>
        </w:tc>
        <w:tc>
          <w:tcPr>
            <w:tcW w:w="2820" w:type="dxa"/>
            <w:vAlign w:val="bottom"/>
            <w:tcBorders>
              <w:bottom w:val="single" w:sz="8" w:color="auto"/>
              <w:right w:val="single" w:sz="8" w:color="auto"/>
            </w:tcBorders>
          </w:tcPr>
          <w:p>
            <w:pPr>
              <w:ind w:left="80"/>
              <w:spacing w:after="0" w:line="220" w:lineRule="exact"/>
              <w:rPr>
                <w:sz w:val="20"/>
                <w:szCs w:val="20"/>
                <w:color w:val="auto"/>
              </w:rPr>
            </w:pPr>
            <w:r>
              <w:rPr>
                <w:rFonts w:ascii="Arial" w:cs="Arial" w:eastAsia="Arial" w:hAnsi="Arial"/>
                <w:sz w:val="22"/>
                <w:szCs w:val="22"/>
                <w:color w:val="auto"/>
              </w:rPr>
              <w:t>50th percentile</w:t>
            </w:r>
          </w:p>
        </w:tc>
        <w:tc>
          <w:tcPr>
            <w:tcW w:w="2700" w:type="dxa"/>
            <w:vAlign w:val="bottom"/>
            <w:tcBorders>
              <w:bottom w:val="single" w:sz="8" w:color="auto"/>
              <w:right w:val="single" w:sz="8" w:color="auto"/>
            </w:tcBorders>
          </w:tcPr>
          <w:p>
            <w:pPr>
              <w:ind w:left="100"/>
              <w:spacing w:after="0" w:line="220" w:lineRule="exact"/>
              <w:rPr>
                <w:sz w:val="20"/>
                <w:szCs w:val="20"/>
                <w:color w:val="auto"/>
              </w:rPr>
            </w:pPr>
            <w:r>
              <w:rPr>
                <w:rFonts w:ascii="Arial" w:cs="Arial" w:eastAsia="Arial" w:hAnsi="Arial"/>
                <w:sz w:val="22"/>
                <w:szCs w:val="22"/>
                <w:color w:val="auto"/>
              </w:rPr>
              <w:t>50%</w:t>
            </w:r>
          </w:p>
        </w:tc>
      </w:tr>
      <w:tr>
        <w:trPr>
          <w:trHeight w:val="237"/>
        </w:trPr>
        <w:tc>
          <w:tcPr>
            <w:tcW w:w="25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Target</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60th percentile</w:t>
            </w:r>
          </w:p>
        </w:tc>
        <w:tc>
          <w:tcPr>
            <w:tcW w:w="27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100%</w:t>
            </w:r>
          </w:p>
        </w:tc>
      </w:tr>
      <w:tr>
        <w:trPr>
          <w:trHeight w:val="237"/>
        </w:trPr>
        <w:tc>
          <w:tcPr>
            <w:tcW w:w="25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Exceptional</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75th percentile</w:t>
            </w:r>
          </w:p>
        </w:tc>
        <w:tc>
          <w:tcPr>
            <w:tcW w:w="27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200%</w:t>
            </w:r>
          </w:p>
        </w:tc>
      </w:tr>
      <w:tr>
        <w:trPr>
          <w:trHeight w:val="236"/>
        </w:trPr>
        <w:tc>
          <w:tcPr>
            <w:tcW w:w="2580" w:type="dxa"/>
            <w:vAlign w:val="bottom"/>
            <w:tcBorders>
              <w:left w:val="single" w:sz="8" w:color="auto"/>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Superior</w:t>
            </w:r>
          </w:p>
        </w:tc>
        <w:tc>
          <w:tcPr>
            <w:tcW w:w="2820" w:type="dxa"/>
            <w:vAlign w:val="bottom"/>
            <w:tcBorders>
              <w:bottom w:val="single" w:sz="8" w:color="auto"/>
              <w:right w:val="single" w:sz="8" w:color="auto"/>
            </w:tcBorders>
          </w:tcPr>
          <w:p>
            <w:pPr>
              <w:ind w:left="80"/>
              <w:spacing w:after="0" w:line="237" w:lineRule="exact"/>
              <w:rPr>
                <w:sz w:val="20"/>
                <w:szCs w:val="20"/>
                <w:color w:val="auto"/>
              </w:rPr>
            </w:pPr>
            <w:r>
              <w:rPr>
                <w:rFonts w:ascii="Arial" w:cs="Arial" w:eastAsia="Arial" w:hAnsi="Arial"/>
                <w:sz w:val="22"/>
                <w:szCs w:val="22"/>
                <w:color w:val="auto"/>
              </w:rPr>
              <w:t>90th percentile</w:t>
            </w:r>
          </w:p>
        </w:tc>
        <w:tc>
          <w:tcPr>
            <w:tcW w:w="2700" w:type="dxa"/>
            <w:vAlign w:val="bottom"/>
            <w:tcBorders>
              <w:bottom w:val="single" w:sz="8" w:color="auto"/>
              <w:right w:val="single" w:sz="8" w:color="auto"/>
            </w:tcBorders>
          </w:tcPr>
          <w:p>
            <w:pPr>
              <w:ind w:left="100"/>
              <w:spacing w:after="0" w:line="237" w:lineRule="exact"/>
              <w:rPr>
                <w:sz w:val="20"/>
                <w:szCs w:val="20"/>
                <w:color w:val="auto"/>
              </w:rPr>
            </w:pPr>
            <w:r>
              <w:rPr>
                <w:rFonts w:ascii="Arial" w:cs="Arial" w:eastAsia="Arial" w:hAnsi="Arial"/>
                <w:sz w:val="22"/>
                <w:szCs w:val="22"/>
                <w:color w:val="auto"/>
              </w:rPr>
              <w:t>300%</w:t>
            </w:r>
          </w:p>
        </w:tc>
      </w:tr>
    </w:tbl>
    <w:p>
      <w:pPr>
        <w:spacing w:after="0" w:line="222" w:lineRule="exact"/>
        <w:rPr>
          <w:sz w:val="20"/>
          <w:szCs w:val="20"/>
          <w:color w:val="auto"/>
        </w:rPr>
      </w:pPr>
    </w:p>
    <w:p>
      <w:pPr>
        <w:jc w:val="both"/>
        <w:ind w:left="380"/>
        <w:spacing w:after="0"/>
        <w:rPr>
          <w:sz w:val="20"/>
          <w:szCs w:val="20"/>
          <w:color w:val="auto"/>
        </w:rPr>
      </w:pPr>
      <w:r>
        <w:rPr>
          <w:rFonts w:ascii="Arial" w:cs="Arial" w:eastAsia="Arial" w:hAnsi="Arial"/>
          <w:sz w:val="22"/>
          <w:szCs w:val="22"/>
          <w:color w:val="auto"/>
        </w:rPr>
        <w:t>The Vesting Percentage for Relative TSR Percentiles between two adjacent performance levels shall be determined by straight line interpolation. The Committee will make the determination of vesting after the Performance Period and prior settlement of the Restricted Stock Units.</w:t>
      </w:r>
    </w:p>
    <w:p>
      <w:pPr>
        <w:spacing w:after="0" w:line="173" w:lineRule="exact"/>
        <w:rPr>
          <w:sz w:val="20"/>
          <w:szCs w:val="20"/>
          <w:color w:val="auto"/>
        </w:rPr>
      </w:pPr>
    </w:p>
    <w:p>
      <w:pPr>
        <w:jc w:val="both"/>
        <w:ind w:left="380"/>
        <w:spacing w:after="0" w:line="238" w:lineRule="auto"/>
        <w:rPr>
          <w:sz w:val="20"/>
          <w:szCs w:val="20"/>
          <w:color w:val="auto"/>
        </w:rPr>
      </w:pPr>
      <w:r>
        <w:rPr>
          <w:rFonts w:ascii="Arial" w:cs="Arial" w:eastAsia="Arial" w:hAnsi="Arial"/>
          <w:sz w:val="22"/>
          <w:szCs w:val="22"/>
          <w:color w:val="auto"/>
        </w:rPr>
        <w:t>Notwithstanding the foregoing, if the Company’s absolute total shareholder return is negative at the end of the Performance Period (irrespective of relative performance outcomes), vesting shall be capped at the Target level (100%). Except as set forth in Section 11 of the Employment Agreement, any Restricted Stock Units that do not vest as of the Vesting Date shall be forfeited automatically and without consideration.</w:t>
      </w:r>
    </w:p>
    <w:p>
      <w:pPr>
        <w:spacing w:after="0" w:line="179" w:lineRule="exact"/>
        <w:rPr>
          <w:sz w:val="20"/>
          <w:szCs w:val="20"/>
          <w:color w:val="auto"/>
        </w:rPr>
      </w:pPr>
    </w:p>
    <w:p>
      <w:pPr>
        <w:ind w:left="760" w:hanging="378"/>
        <w:spacing w:after="0"/>
        <w:tabs>
          <w:tab w:leader="none" w:pos="760" w:val="left"/>
        </w:tabs>
        <w:numPr>
          <w:ilvl w:val="0"/>
          <w:numId w:val="50"/>
        </w:numPr>
        <w:rPr>
          <w:rFonts w:ascii="Arial" w:cs="Arial" w:eastAsia="Arial" w:hAnsi="Arial"/>
          <w:sz w:val="22"/>
          <w:szCs w:val="22"/>
          <w:color w:val="auto"/>
        </w:rPr>
      </w:pPr>
      <w:r>
        <w:rPr>
          <w:rFonts w:ascii="Arial" w:cs="Arial" w:eastAsia="Arial" w:hAnsi="Arial"/>
          <w:sz w:val="22"/>
          <w:szCs w:val="22"/>
          <w:b w:val="1"/>
          <w:bCs w:val="1"/>
          <w:color w:val="auto"/>
        </w:rPr>
        <w:t>Calculating TSR</w:t>
      </w:r>
      <w:r>
        <w:rPr>
          <w:rFonts w:ascii="Arial" w:cs="Arial" w:eastAsia="Arial" w:hAnsi="Arial"/>
          <w:sz w:val="22"/>
          <w:szCs w:val="22"/>
          <w:color w:val="auto"/>
        </w:rPr>
        <w: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TSR = (Ending Stock Price – Beginning Stock Price + Cumulative Cash Dividend Payments)</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22"/>
          <w:szCs w:val="22"/>
          <w:color w:val="auto"/>
        </w:rPr>
        <w:t>_____________________________________</w:t>
      </w:r>
    </w:p>
    <w:p>
      <w:pPr>
        <w:spacing w:after="0" w:line="8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(Beginning Stock Price)</w:t>
      </w:r>
    </w:p>
    <w:p>
      <w:pPr>
        <w:spacing w:after="0" w:line="193" w:lineRule="exact"/>
        <w:rPr>
          <w:sz w:val="20"/>
          <w:szCs w:val="20"/>
          <w:color w:val="auto"/>
        </w:rPr>
      </w:pPr>
    </w:p>
    <w:p>
      <w:pPr>
        <w:ind w:left="1500" w:hanging="369"/>
        <w:spacing w:after="0" w:line="239" w:lineRule="auto"/>
        <w:tabs>
          <w:tab w:leader="none" w:pos="15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Ending Stock Price</w:t>
      </w:r>
      <w:r>
        <w:rPr>
          <w:rFonts w:ascii="Arial" w:cs="Arial" w:eastAsia="Arial" w:hAnsi="Arial"/>
          <w:sz w:val="22"/>
          <w:szCs w:val="22"/>
          <w:color w:val="auto"/>
        </w:rPr>
        <w:t>” shall mean the average of the closing prices of the applicable stock for the 20 trading days up to and including the last day of the Performance Period.</w:t>
      </w: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77" w:name="page78"/>
    <w:bookmarkEnd w:id="77"/>
    <w:p>
      <w:pPr>
        <w:ind w:left="1500" w:hanging="369"/>
        <w:spacing w:after="0" w:line="239" w:lineRule="auto"/>
        <w:tabs>
          <w:tab w:leader="none" w:pos="15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of the closing prices of the applicable stock for the 20 trading days starting on and including the first day of the Performance Period.</w:t>
      </w:r>
    </w:p>
    <w:p>
      <w:pPr>
        <w:ind w:left="1500" w:right="20" w:hanging="369"/>
        <w:spacing w:after="0" w:line="230" w:lineRule="auto"/>
        <w:tabs>
          <w:tab w:leader="none" w:pos="15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Cumulative Cash Dividend Payments</w:t>
      </w:r>
      <w:r>
        <w:rPr>
          <w:rFonts w:ascii="Arial" w:cs="Arial" w:eastAsia="Arial" w:hAnsi="Arial"/>
          <w:sz w:val="22"/>
          <w:szCs w:val="22"/>
          <w:color w:val="auto"/>
        </w:rPr>
        <w:t>” shall mean the sum of all cash dividends declared during the Performance Period, at the closing price on the ex-dividend date.</w:t>
      </w:r>
    </w:p>
    <w:p>
      <w:pPr>
        <w:spacing w:after="0" w:line="1" w:lineRule="exact"/>
        <w:rPr>
          <w:rFonts w:ascii="Arial" w:cs="Arial" w:eastAsia="Arial" w:hAnsi="Arial"/>
          <w:sz w:val="22"/>
          <w:szCs w:val="22"/>
          <w:color w:val="auto"/>
        </w:rPr>
      </w:pPr>
    </w:p>
    <w:p>
      <w:pPr>
        <w:ind w:left="1500" w:hanging="369"/>
        <w:spacing w:after="0" w:line="236" w:lineRule="auto"/>
        <w:tabs>
          <w:tab w:leader="none" w:pos="15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value of any Peer Company shares traded on a foreign exchange will be converted to U.S. dollars using the then applicable spot rate.</w:t>
      </w:r>
    </w:p>
    <w:p>
      <w:pPr>
        <w:spacing w:after="0" w:line="180" w:lineRule="exact"/>
        <w:rPr>
          <w:rFonts w:ascii="Arial" w:cs="Arial" w:eastAsia="Arial" w:hAnsi="Arial"/>
          <w:sz w:val="22"/>
          <w:szCs w:val="22"/>
          <w:color w:val="auto"/>
        </w:rPr>
      </w:pPr>
    </w:p>
    <w:p>
      <w:pPr>
        <w:jc w:val="both"/>
        <w:ind w:left="760" w:hanging="378"/>
        <w:spacing w:after="0" w:line="260" w:lineRule="auto"/>
        <w:tabs>
          <w:tab w:leader="none" w:pos="760" w:val="left"/>
        </w:tabs>
        <w:numPr>
          <w:ilvl w:val="0"/>
          <w:numId w:val="5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Peer Group</w:t>
      </w:r>
      <w:r>
        <w:rPr>
          <w:rFonts w:ascii="Arial" w:cs="Arial" w:eastAsia="Arial" w:hAnsi="Arial"/>
          <w:sz w:val="21"/>
          <w:szCs w:val="21"/>
          <w:color w:val="auto"/>
        </w:rPr>
        <w:t>” means a subset of the NASDAQ Software &amp; Services Index isolated to the Application Software and Healthcare Technology GICS Industry codes as of the end of the Performance Period (with each company in the Peer Group referred to as a “</w:t>
      </w:r>
      <w:r>
        <w:rPr>
          <w:rFonts w:ascii="Arial" w:cs="Arial" w:eastAsia="Arial" w:hAnsi="Arial"/>
          <w:sz w:val="21"/>
          <w:szCs w:val="21"/>
          <w:b w:val="1"/>
          <w:bCs w:val="1"/>
          <w:u w:val="single" w:color="auto"/>
          <w:color w:val="auto"/>
        </w:rPr>
        <w:t>Peer Company</w:t>
      </w:r>
      <w:r>
        <w:rPr>
          <w:rFonts w:ascii="Arial" w:cs="Arial" w:eastAsia="Arial" w:hAnsi="Arial"/>
          <w:sz w:val="21"/>
          <w:szCs w:val="21"/>
          <w:color w:val="auto"/>
        </w:rPr>
        <w:t>”). The Committee may modify the Peer Group as follows:</w:t>
      </w:r>
    </w:p>
    <w:p>
      <w:pPr>
        <w:spacing w:after="0" w:line="166" w:lineRule="exact"/>
        <w:rPr>
          <w:sz w:val="20"/>
          <w:szCs w:val="20"/>
          <w:color w:val="auto"/>
        </w:rPr>
      </w:pPr>
    </w:p>
    <w:p>
      <w:pPr>
        <w:jc w:val="both"/>
        <w:ind w:left="1880" w:hanging="749"/>
        <w:spacing w:after="0" w:line="236" w:lineRule="auto"/>
        <w:tabs>
          <w:tab w:leader="none" w:pos="1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Committee may, in its sole discretion, add Application Software and Healthcare Technology (as defined by their GICS Industry code) companies that become publicly traded and have been included in the NASDAQ Software &amp; Services Index during the Performance Period;</w:t>
      </w:r>
    </w:p>
    <w:p>
      <w:pPr>
        <w:jc w:val="both"/>
        <w:ind w:left="1880" w:hanging="749"/>
        <w:spacing w:after="0" w:line="230" w:lineRule="auto"/>
        <w:tabs>
          <w:tab w:leader="none" w:pos="1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merger, acquisition or business combination transaction of a Peer Company with or by another Peer Company, the surviving entity shall remain a Peer Company if they continue to be included in the NASDAQ Software &amp; Services Index.</w:t>
      </w:r>
    </w:p>
    <w:p>
      <w:pPr>
        <w:spacing w:after="0" w:line="1" w:lineRule="exact"/>
        <w:rPr>
          <w:rFonts w:ascii="Arial" w:cs="Arial" w:eastAsia="Arial" w:hAnsi="Arial"/>
          <w:sz w:val="22"/>
          <w:szCs w:val="22"/>
          <w:color w:val="auto"/>
        </w:rPr>
      </w:pPr>
    </w:p>
    <w:p>
      <w:pPr>
        <w:jc w:val="both"/>
        <w:ind w:left="1880" w:hanging="749"/>
        <w:spacing w:after="0" w:line="230" w:lineRule="auto"/>
        <w:tabs>
          <w:tab w:leader="none" w:pos="1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merger of a Peer Company with an entity that is not a Peer Company, or the acquisition or business combination transaction by or with a Peer Company, or with an entity that is not a Peer Company, in each case where the Peer Company is the surviving entity and remains publicly traded, the surviving entity shall remain a Peer Company if they continue to be included in the NASDAQ Software &amp; Services Index.</w:t>
      </w:r>
    </w:p>
    <w:p>
      <w:pPr>
        <w:spacing w:after="0" w:line="2" w:lineRule="exact"/>
        <w:rPr>
          <w:rFonts w:ascii="Arial" w:cs="Arial" w:eastAsia="Arial" w:hAnsi="Arial"/>
          <w:sz w:val="22"/>
          <w:szCs w:val="22"/>
          <w:color w:val="auto"/>
        </w:rPr>
      </w:pPr>
    </w:p>
    <w:p>
      <w:pPr>
        <w:jc w:val="both"/>
        <w:ind w:left="1880" w:hanging="749"/>
        <w:spacing w:after="0" w:line="241" w:lineRule="auto"/>
        <w:tabs>
          <w:tab w:leader="none" w:pos="18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 the event of a merger or acquisition or business combination transaction of a Peer Company by or with an entity that is not a Peer Company, a “going private” transaction involving a Peer Company or the liquidation of a Peer Company, where the Peer Company is not the surviving entity or is otherwise no longer publicly traded, the company shall no longer be a Peer Company.</w:t>
      </w:r>
    </w:p>
    <w:p>
      <w:pPr>
        <w:spacing w:after="0" w:line="2" w:lineRule="exact"/>
        <w:rPr>
          <w:rFonts w:ascii="Arial" w:cs="Arial" w:eastAsia="Arial" w:hAnsi="Arial"/>
          <w:sz w:val="21"/>
          <w:szCs w:val="21"/>
          <w:color w:val="auto"/>
        </w:rPr>
      </w:pPr>
    </w:p>
    <w:p>
      <w:pPr>
        <w:ind w:left="1880" w:hanging="749"/>
        <w:spacing w:after="0" w:line="230" w:lineRule="auto"/>
        <w:tabs>
          <w:tab w:leader="none" w:pos="1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of a bankruptcy of a Peer Company, such company shall remain a Peer Company if they continue to be included in the NASDAQ Software &amp; Services Index.</w:t>
      </w:r>
    </w:p>
    <w:p>
      <w:pPr>
        <w:spacing w:after="0" w:line="1" w:lineRule="exact"/>
        <w:rPr>
          <w:rFonts w:ascii="Arial" w:cs="Arial" w:eastAsia="Arial" w:hAnsi="Arial"/>
          <w:sz w:val="22"/>
          <w:szCs w:val="22"/>
          <w:color w:val="auto"/>
        </w:rPr>
      </w:pPr>
    </w:p>
    <w:p>
      <w:pPr>
        <w:jc w:val="both"/>
        <w:ind w:left="1880" w:right="20" w:hanging="749"/>
        <w:spacing w:after="0" w:line="230" w:lineRule="auto"/>
        <w:tabs>
          <w:tab w:leader="none" w:pos="18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the event a Peer Company’s GICS Industry code changes from Application Software or Healthcare Technology and/or the Peer Company is no longer included in the NASDAQ Software &amp; Services Index, such company shall no longer be a Peer Company.</w:t>
      </w:r>
    </w:p>
    <w:p>
      <w:pPr>
        <w:spacing w:after="0" w:line="1" w:lineRule="exact"/>
        <w:rPr>
          <w:rFonts w:ascii="Arial" w:cs="Arial" w:eastAsia="Arial" w:hAnsi="Arial"/>
          <w:sz w:val="22"/>
          <w:szCs w:val="22"/>
          <w:color w:val="auto"/>
        </w:rPr>
      </w:pPr>
    </w:p>
    <w:p>
      <w:pPr>
        <w:jc w:val="both"/>
        <w:ind w:left="1880" w:hanging="749"/>
        <w:spacing w:after="0" w:line="241" w:lineRule="auto"/>
        <w:tabs>
          <w:tab w:leader="none" w:pos="18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In the event of a stock distribution from a Peer Company consisting of the shares of a new publicly-traded company (a “spin-off”), the Peer Company shall remain a Peer Company if they continue to be included in the NASDAQ Software &amp; Services Index and the stock distribution shall be treated as a dividend from the Peer Company (as described above). The performance of the shares of the spun-off company shall not thereafter be tracked for purposes of calculating TSR.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78" w:name="page79"/>
    <w:bookmarkEnd w:id="78"/>
    <w:p>
      <w:pPr>
        <w:jc w:val="both"/>
        <w:ind w:left="1880" w:hanging="749"/>
        <w:spacing w:after="0"/>
        <w:tabs>
          <w:tab w:leader="none" w:pos="1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In the event that a company is included as a Peer Company for a portion, but not all, of the Performance Period, the weighting for such company shall be prorated for the portion of the Performance Period for which such company was a Peer Company.</w:t>
      </w:r>
    </w:p>
    <w:p>
      <w:pPr>
        <w:spacing w:after="0" w:line="173"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The Committee shall make all determinations under this Schedule I using a reasonable business judgment standard and such determinations shall be final and binding on all parties.</w:t>
      </w: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Musslewhite, certify that:</w:t>
      </w:r>
    </w:p>
    <w:p>
      <w:pPr>
        <w:spacing w:after="0" w:line="212" w:lineRule="exact"/>
        <w:rPr>
          <w:sz w:val="20"/>
          <w:szCs w:val="20"/>
          <w:color w:val="auto"/>
        </w:rPr>
      </w:pPr>
    </w:p>
    <w:p>
      <w:pPr>
        <w:ind w:left="520" w:hanging="512"/>
        <w:spacing w:after="0"/>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40" w:val="left"/>
          <w:tab w:leader="none" w:pos="6640" w:val="left"/>
        </w:tabs>
        <w:rPr>
          <w:sz w:val="20"/>
          <w:szCs w:val="20"/>
          <w:color w:val="auto"/>
        </w:rPr>
      </w:pPr>
      <w:r>
        <w:rPr>
          <w:rFonts w:ascii="Arial" w:cs="Arial" w:eastAsia="Arial" w:hAnsi="Arial"/>
          <w:sz w:val="18"/>
          <w:szCs w:val="18"/>
          <w:color w:val="auto"/>
        </w:rPr>
        <w:t>Date:</w:t>
        <w:tab/>
        <w:t>August 4, 2022</w:t>
      </w:r>
      <w:r>
        <w:rPr>
          <w:sz w:val="20"/>
          <w:szCs w:val="20"/>
          <w:color w:val="auto"/>
        </w:rPr>
        <w:tab/>
      </w:r>
      <w:r>
        <w:rPr>
          <w:rFonts w:ascii="Arial" w:cs="Arial" w:eastAsia="Arial" w:hAnsi="Arial"/>
          <w:sz w:val="16"/>
          <w:szCs w:val="16"/>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6350</wp:posOffset>
            </wp:positionV>
            <wp:extent cx="30429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92290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Chief Executive Officer</w:t>
      </w:r>
    </w:p>
    <w:p>
      <w:pPr>
        <w:ind w:left="66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Management Certification Pursuant to</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Richard Booth, certify that:</w:t>
      </w:r>
    </w:p>
    <w:p>
      <w:pPr>
        <w:spacing w:after="0" w:line="212"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Definitive Healthcare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44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hanging="503"/>
        <w:spacing w:after="0"/>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1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8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4, 2022</w:t>
      </w:r>
      <w:r>
        <w:rPr>
          <w:sz w:val="20"/>
          <w:szCs w:val="20"/>
          <w:color w:val="auto"/>
        </w:rPr>
        <w:tab/>
      </w:r>
      <w:r>
        <w:rPr>
          <w:rFonts w:ascii="Arial" w:cs="Arial" w:eastAsia="Arial" w:hAnsi="Arial"/>
          <w:sz w:val="16"/>
          <w:szCs w:val="16"/>
          <w:color w:val="auto"/>
        </w:rPr>
        <w:t>/s/Richard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31203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-130175</wp:posOffset>
            </wp:positionV>
            <wp:extent cx="2922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ind w:left="6660"/>
        <w:spacing w:after="0"/>
        <w:rPr>
          <w:sz w:val="20"/>
          <w:szCs w:val="20"/>
          <w:color w:val="auto"/>
        </w:rPr>
      </w:pPr>
      <w:r>
        <w:rPr>
          <w:rFonts w:ascii="Arial" w:cs="Arial" w:eastAsia="Arial" w:hAnsi="Arial"/>
          <w:sz w:val="18"/>
          <w:szCs w:val="18"/>
          <w:color w:val="auto"/>
        </w:rPr>
        <w:t>Chief Financial Officer</w:t>
      </w:r>
    </w:p>
    <w:p>
      <w:pPr>
        <w:ind w:left="666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18 U.S.C. Section 1350,</w:t>
      </w:r>
    </w:p>
    <w:p>
      <w:pPr>
        <w:ind w:left="4700"/>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connection with the Quarterly Report on Form 10-Q of Definitive Healthcare Corp. (the “Company”) for the quarterly period ended June 30, 2022 as filed with the Securities and Exchange Commission on the date hereof (the “Report”), Robert Musslewhite, as Chief Executive Officer of the Company, and Richard Booth, as Chief Financial Officer of the Company, each hereby certifies, pursuant to 18 U.S.C. § 1350, as adopted pursuant to § 906 of the Sarbanes-Oxley Act of 2002, that, to the best of his knowledge:</w:t>
      </w:r>
    </w:p>
    <w:p>
      <w:pPr>
        <w:spacing w:after="0" w:line="188" w:lineRule="exact"/>
        <w:rPr>
          <w:sz w:val="20"/>
          <w:szCs w:val="20"/>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3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Musslewhite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Musslewhite</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ind w:left="67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6350</wp:posOffset>
            </wp:positionV>
            <wp:extent cx="28289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4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Richard Booth</w:t>
      </w:r>
    </w:p>
    <w:p>
      <w:pPr>
        <w:spacing w:after="0" w:line="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i w:val="1"/>
          <w:iCs w:val="1"/>
          <w:color w:val="auto"/>
        </w:rPr>
        <w:t>(Principal Financial Officer)</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lvl w:ilvl="1">
      <w:lvlJc w:val="left"/>
      <w:lvlText w:val="•"/>
      <w:numFmt w:val="bullet"/>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lowerRoman"/>
      <w:start w:val="2"/>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1)"/>
      <w:numFmt w:val="lowerLetter"/>
      <w:start w:val="1"/>
    </w:lvl>
  </w:abstractNum>
  <w:abstractNum w:abstractNumId="9">
    <w:nsid w:val="3006C83E"/>
    <w:multiLevelType w:val="hybridMultilevel"/>
    <w:lvl w:ilvl="0">
      <w:lvlJc w:val="left"/>
      <w:lvlText w:val="(%1)"/>
      <w:numFmt w:val="lowerLetter"/>
      <w:start w:val="3"/>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lowerRoman"/>
      <w:start w:val="2"/>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decimal"/>
      <w:start w:val="1"/>
    </w:lvl>
    <w:lvl w:ilvl="1">
      <w:lvlJc w:val="left"/>
      <w:lvlText w:val="(%2)"/>
      <w:numFmt w:val="lowerLetter"/>
      <w:start w:val="1"/>
    </w:lvl>
  </w:abstractNum>
  <w:abstractNum w:abstractNumId="15">
    <w:nsid w:val="3804823E"/>
    <w:multiLevelType w:val="hybridMultilevel"/>
    <w:lvl w:ilvl="0">
      <w:lvlJc w:val="left"/>
      <w:lvlText w:val="%1."/>
      <w:numFmt w:val="decimal"/>
      <w:start w:val="3"/>
    </w:lvl>
    <w:lvl w:ilvl="1">
      <w:lvlJc w:val="left"/>
      <w:lvlText w:val="(%2)"/>
      <w:numFmt w:val="lowerLetter"/>
      <w:start w:val="1"/>
    </w:lvl>
  </w:abstractNum>
  <w:abstractNum w:abstractNumId="16">
    <w:nsid w:val="77465F01"/>
    <w:multiLevelType w:val="hybridMultilevel"/>
    <w:lvl w:ilvl="0">
      <w:lvlJc w:val="left"/>
      <w:lvlText w:val="%1"/>
      <w:numFmt w:val="decimal"/>
      <w:start w:val="1"/>
    </w:lvl>
    <w:lvl w:ilvl="1">
      <w:lvlJc w:val="left"/>
      <w:lvlText w:val="(%2)"/>
      <w:numFmt w:val="lowerLetter"/>
      <w:start w:val="2"/>
    </w:lvl>
  </w:abstractNum>
  <w:abstractNum w:abstractNumId="17">
    <w:nsid w:val="7724C67E"/>
    <w:multiLevelType w:val="hybridMultilevel"/>
    <w:lvl w:ilvl="0">
      <w:lvlJc w:val="left"/>
      <w:lvlText w:val="%1."/>
      <w:numFmt w:val="decimal"/>
      <w:start w:val="5"/>
    </w:lvl>
    <w:lvl w:ilvl="1">
      <w:lvlJc w:val="left"/>
      <w:lvlText w:val="(%2)"/>
      <w:numFmt w:val="lowerLetter"/>
      <w:start w:val="1"/>
    </w:lvl>
  </w:abstractNum>
  <w:abstractNum w:abstractNumId="18">
    <w:nsid w:val="5C482A97"/>
    <w:multiLevelType w:val="hybridMultilevel"/>
    <w:lvl w:ilvl="0">
      <w:lvlJc w:val="left"/>
      <w:lvlText w:val="(%1)"/>
      <w:numFmt w:val="lowerLetter"/>
      <w:start w:val="2"/>
    </w:lvl>
  </w:abstractNum>
  <w:abstractNum w:abstractNumId="19">
    <w:nsid w:val="2463B9EA"/>
    <w:multiLevelType w:val="hybridMultilevel"/>
    <w:lvl w:ilvl="0">
      <w:lvlJc w:val="left"/>
      <w:lvlText w:val="%1."/>
      <w:numFmt w:val="decimal"/>
      <w:start w:val="6"/>
    </w:lvl>
  </w:abstractNum>
  <w:abstractNum w:abstractNumId="20">
    <w:nsid w:val="5E884ADC"/>
    <w:multiLevelType w:val="hybridMultilevel"/>
    <w:lvl w:ilvl="0">
      <w:lvlJc w:val="left"/>
      <w:lvlText w:val="%1."/>
      <w:numFmt w:val="decimal"/>
      <w:start w:val="7"/>
    </w:lvl>
    <w:lvl w:ilvl="1">
      <w:lvlJc w:val="left"/>
      <w:lvlText w:val="(%2)"/>
      <w:numFmt w:val="lowerLetter"/>
      <w:start w:val="1"/>
    </w:lvl>
  </w:abstractNum>
  <w:abstractNum w:abstractNumId="21">
    <w:nsid w:val="51EAD36B"/>
    <w:multiLevelType w:val="hybridMultilevel"/>
    <w:lvl w:ilvl="0">
      <w:lvlJc w:val="left"/>
      <w:lvlText w:val="(%1)"/>
      <w:numFmt w:val="lowerLetter"/>
      <w:start w:val="2"/>
    </w:lvl>
  </w:abstractNum>
  <w:abstractNum w:abstractNumId="22">
    <w:nsid w:val="2D517796"/>
    <w:multiLevelType w:val="hybridMultilevel"/>
    <w:lvl w:ilvl="0">
      <w:lvlJc w:val="left"/>
      <w:lvlText w:val="%1."/>
      <w:numFmt w:val="decimal"/>
      <w:start w:val="8"/>
    </w:lvl>
    <w:lvl w:ilvl="1">
      <w:lvlJc w:val="left"/>
      <w:lvlText w:val="(%2)"/>
      <w:numFmt w:val="lowerLetter"/>
      <w:start w:val="1"/>
    </w:lvl>
  </w:abstractNum>
  <w:abstractNum w:abstractNumId="23">
    <w:nsid w:val="580BD78F"/>
    <w:multiLevelType w:val="hybridMultilevel"/>
    <w:lvl w:ilvl="0">
      <w:lvlJc w:val="left"/>
      <w:lvlText w:val="(%1)"/>
      <w:numFmt w:val="lowerLetter"/>
      <w:start w:val="5"/>
    </w:lvl>
  </w:abstractNum>
  <w:abstractNum w:abstractNumId="24">
    <w:nsid w:val="153EA438"/>
    <w:multiLevelType w:val="hybridMultilevel"/>
    <w:lvl w:ilvl="0">
      <w:lvlJc w:val="left"/>
      <w:lvlText w:val="(%1)"/>
      <w:numFmt w:val="lowerLetter"/>
      <w:start w:val="11"/>
    </w:lvl>
  </w:abstractNum>
  <w:abstractNum w:abstractNumId="25">
    <w:nsid w:val="3855585C"/>
    <w:multiLevelType w:val="hybridMultilevel"/>
    <w:lvl w:ilvl="0">
      <w:lvlJc w:val="left"/>
      <w:lvlText w:val="%1."/>
      <w:numFmt w:val="decimal"/>
      <w:start w:val="1"/>
    </w:lvl>
    <w:lvl w:ilvl="1">
      <w:lvlJc w:val="left"/>
      <w:lvlText w:val="(%2)"/>
      <w:numFmt w:val="lowerLetter"/>
      <w:start w:val="1"/>
    </w:lvl>
  </w:abstractNum>
  <w:abstractNum w:abstractNumId="26">
    <w:nsid w:val="70A64E2A"/>
    <w:multiLevelType w:val="hybridMultilevel"/>
    <w:lvl w:ilvl="0">
      <w:lvlJc w:val="left"/>
      <w:lvlText w:val="%1."/>
      <w:numFmt w:val="decimal"/>
      <w:start w:val="3"/>
    </w:lvl>
    <w:lvl w:ilvl="1">
      <w:lvlJc w:val="left"/>
      <w:lvlText w:val="(%2)"/>
      <w:numFmt w:val="lowerLetter"/>
      <w:start w:val="1"/>
    </w:lvl>
  </w:abstractNum>
  <w:abstractNum w:abstractNumId="27">
    <w:nsid w:val="6A2342EC"/>
    <w:multiLevelType w:val="hybridMultilevel"/>
    <w:lvl w:ilvl="0">
      <w:lvlJc w:val="left"/>
      <w:lvlText w:val="%1"/>
      <w:numFmt w:val="decimal"/>
      <w:start w:val="1"/>
    </w:lvl>
    <w:lvl w:ilvl="1">
      <w:lvlJc w:val="left"/>
      <w:lvlText w:val="(%2)"/>
      <w:numFmt w:val="lowerLetter"/>
      <w:start w:val="2"/>
    </w:lvl>
  </w:abstractNum>
  <w:abstractNum w:abstractNumId="28">
    <w:nsid w:val="2A487CB0"/>
    <w:multiLevelType w:val="hybridMultilevel"/>
    <w:lvl w:ilvl="0">
      <w:lvlJc w:val="left"/>
      <w:lvlText w:val="%1."/>
      <w:numFmt w:val="decimal"/>
      <w:start w:val="5"/>
    </w:lvl>
    <w:lvl w:ilvl="1">
      <w:lvlJc w:val="left"/>
      <w:lvlText w:val="(%2)"/>
      <w:numFmt w:val="lowerLetter"/>
      <w:start w:val="1"/>
    </w:lvl>
  </w:abstractNum>
  <w:abstractNum w:abstractNumId="29">
    <w:nsid w:val="1D4ED43B"/>
    <w:multiLevelType w:val="hybridMultilevel"/>
    <w:lvl w:ilvl="0">
      <w:lvlJc w:val="left"/>
      <w:lvlText w:val="(%1)"/>
      <w:numFmt w:val="lowerLetter"/>
      <w:start w:val="2"/>
    </w:lvl>
  </w:abstractNum>
  <w:abstractNum w:abstractNumId="30">
    <w:nsid w:val="725A06FB"/>
    <w:multiLevelType w:val="hybridMultilevel"/>
    <w:lvl w:ilvl="0">
      <w:lvlJc w:val="left"/>
      <w:lvlText w:val="%1."/>
      <w:numFmt w:val="decimal"/>
      <w:start w:val="6"/>
    </w:lvl>
  </w:abstractNum>
  <w:abstractNum w:abstractNumId="31">
    <w:nsid w:val="2CD89A32"/>
    <w:multiLevelType w:val="hybridMultilevel"/>
    <w:lvl w:ilvl="0">
      <w:lvlJc w:val="left"/>
      <w:lvlText w:val="%1."/>
      <w:numFmt w:val="decimal"/>
      <w:start w:val="7"/>
    </w:lvl>
    <w:lvl w:ilvl="1">
      <w:lvlJc w:val="left"/>
      <w:lvlText w:val="(%2)"/>
      <w:numFmt w:val="lowerLetter"/>
      <w:start w:val="1"/>
    </w:lvl>
  </w:abstractNum>
  <w:abstractNum w:abstractNumId="32">
    <w:nsid w:val="57E4CCAF"/>
    <w:multiLevelType w:val="hybridMultilevel"/>
    <w:lvl w:ilvl="0">
      <w:lvlJc w:val="left"/>
      <w:lvlText w:val="(%1)"/>
      <w:numFmt w:val="lowerLetter"/>
      <w:start w:val="2"/>
    </w:lvl>
  </w:abstractNum>
  <w:abstractNum w:abstractNumId="33">
    <w:nsid w:val="7A6D8D3C"/>
    <w:multiLevelType w:val="hybridMultilevel"/>
    <w:lvl w:ilvl="0">
      <w:lvlJc w:val="left"/>
      <w:lvlText w:val="%1."/>
      <w:numFmt w:val="decimal"/>
      <w:start w:val="8"/>
    </w:lvl>
    <w:lvl w:ilvl="1">
      <w:lvlJc w:val="left"/>
      <w:lvlText w:val="(%2)"/>
      <w:numFmt w:val="lowerLetter"/>
      <w:start w:val="1"/>
    </w:lvl>
  </w:abstractNum>
  <w:abstractNum w:abstractNumId="34">
    <w:nsid w:val="4B588F54"/>
    <w:multiLevelType w:val="hybridMultilevel"/>
    <w:lvl w:ilvl="0">
      <w:lvlJc w:val="left"/>
      <w:lvlText w:val="(%1)"/>
      <w:numFmt w:val="lowerLetter"/>
      <w:start w:val="5"/>
    </w:lvl>
  </w:abstractNum>
  <w:abstractNum w:abstractNumId="35">
    <w:nsid w:val="542289EC"/>
    <w:multiLevelType w:val="hybridMultilevel"/>
    <w:lvl w:ilvl="0">
      <w:lvlJc w:val="left"/>
      <w:lvlText w:val="(%1)"/>
      <w:numFmt w:val="lowerLetter"/>
      <w:start w:val="1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9">
    <w:nsid w:val="32FFF90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0">
    <w:nsid w:val="684A481A"/>
    <w:multiLevelType w:val="hybridMultilevel"/>
    <w:lvl w:ilvl="0">
      <w:lvlJc w:val="left"/>
      <w:lvlText w:val="%1."/>
      <w:numFmt w:val="decimal"/>
      <w:start w:val="4"/>
    </w:lvl>
    <w:lvl w:ilvl="1">
      <w:lvlJc w:val="left"/>
      <w:lvlText w:val="(%2)"/>
      <w:numFmt w:val="lowerLetter"/>
      <w:start w:val="1"/>
    </w:lvl>
  </w:abstractNum>
  <w:abstractNum w:abstractNumId="41">
    <w:nsid w:val="579478FE"/>
    <w:multiLevelType w:val="hybridMultilevel"/>
    <w:lvl w:ilvl="0">
      <w:lvlJc w:val="left"/>
      <w:lvlText w:val="(%1)"/>
      <w:numFmt w:val="lowerLetter"/>
      <w:start w:val="2"/>
    </w:lvl>
  </w:abstractNum>
  <w:abstractNum w:abstractNumId="42">
    <w:nsid w:val="749ABB43"/>
    <w:multiLevelType w:val="hybridMultilevel"/>
    <w:lvl w:ilvl="0">
      <w:lvlJc w:val="left"/>
      <w:lvlText w:val="%1."/>
      <w:numFmt w:val="decimal"/>
      <w:start w:val="5"/>
    </w:lvl>
    <w:lvl w:ilvl="1">
      <w:lvlJc w:val="left"/>
      <w:lvlText w:val="(%2)"/>
      <w:numFmt w:val="lowerLetter"/>
      <w:start w:val="1"/>
    </w:lvl>
  </w:abstractNum>
  <w:abstractNum w:abstractNumId="43">
    <w:nsid w:val="3DC240FB"/>
    <w:multiLevelType w:val="hybridMultilevel"/>
    <w:lvl w:ilvl="0">
      <w:lvlJc w:val="left"/>
      <w:lvlText w:val="%1."/>
      <w:numFmt w:val="decimal"/>
      <w:start w:val="6"/>
    </w:lvl>
    <w:lvl w:ilvl="1">
      <w:lvlJc w:val="left"/>
      <w:lvlText w:val="(%2)"/>
      <w:numFmt w:val="lowerLetter"/>
      <w:start w:val="1"/>
    </w:lvl>
  </w:abstractNum>
  <w:abstractNum w:abstractNumId="44">
    <w:nsid w:val="1BA026FA"/>
    <w:multiLevelType w:val="hybridMultilevel"/>
    <w:lvl w:ilvl="0">
      <w:lvlJc w:val="left"/>
      <w:lvlText w:val="(%1)"/>
      <w:numFmt w:val="lowerLetter"/>
      <w:start w:val="2"/>
    </w:lvl>
  </w:abstractNum>
  <w:abstractNum w:abstractNumId="45">
    <w:nsid w:val="79A1DEAA"/>
    <w:multiLevelType w:val="hybridMultilevel"/>
    <w:lvl w:ilvl="0">
      <w:lvlJc w:val="left"/>
      <w:lvlText w:val="%1."/>
      <w:numFmt w:val="decimal"/>
      <w:start w:val="8"/>
    </w:lvl>
    <w:lvl w:ilvl="1">
      <w:lvlJc w:val="left"/>
      <w:lvlText w:val="(%2)"/>
      <w:numFmt w:val="lowerLetter"/>
      <w:start w:val="1"/>
    </w:lvl>
  </w:abstractNum>
  <w:abstractNum w:abstractNumId="46">
    <w:nsid w:val="75C6C33A"/>
    <w:multiLevelType w:val="hybridMultilevel"/>
    <w:lvl w:ilvl="0">
      <w:lvlJc w:val="left"/>
      <w:lvlText w:val="(%1)"/>
      <w:numFmt w:val="lowerLetter"/>
      <w:start w:val="4"/>
    </w:lvl>
  </w:abstractNum>
  <w:abstractNum w:abstractNumId="47">
    <w:nsid w:val="12E685FB"/>
    <w:multiLevelType w:val="hybridMultilevel"/>
    <w:lvl w:ilvl="0">
      <w:lvlJc w:val="left"/>
      <w:lvlText w:val="(%1)"/>
      <w:numFmt w:val="lowerLetter"/>
      <w:start w:val="1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o"/>
      <w:numFmt w:val="bullet"/>
      <w:start w:val="1"/>
    </w:lvl>
  </w:abstractNum>
  <w:abstractNum w:abstractNumId="51">
    <w:nsid w:val="4F4EF005"/>
    <w:multiLevelType w:val="hybridMultilevel"/>
    <w:lvl w:ilvl="0">
      <w:lvlJc w:val="left"/>
      <w:lvlText w:val="•"/>
      <w:numFmt w:val="bullet"/>
      <w:start w:val="1"/>
    </w:lvl>
    <w:lvl w:ilvl="1">
      <w:lvlJc w:val="left"/>
      <w:lvlText w:val="o"/>
      <w:numFmt w:val="bullet"/>
      <w:start w:val="1"/>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8"/>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13" Type="http://schemas.openxmlformats.org/officeDocument/2006/relationships/hyperlink" Target="https://www.sec.gov/Archives/edgar/data/1861795/000119312522142304/d329213dex101.htm" TargetMode="External"/><Relationship Id="rId314" Type="http://schemas.openxmlformats.org/officeDocument/2006/relationships/hyperlink" Target="https://www.sec.gov/Archives/edgar/data/1861795/000119312522142304/d32921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2022-08-04T16:42:47Z</dcterms:created>
  <dcterms:modified xsi:type="dcterms:W3CDTF">2022-08-04T16:42:47Z</dcterms:modified>
</cp:coreProperties>
</file>