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As filed with the Securities and Exchange Commission on November 15, 2021</w:t>
      </w:r>
    </w:p>
    <w:p>
      <w:pPr>
        <w:spacing w:after="0" w:line="4" w:lineRule="exact"/>
        <w:rPr>
          <w:sz w:val="24"/>
          <w:szCs w:val="24"/>
          <w:color w:val="auto"/>
        </w:rPr>
      </w:pPr>
    </w:p>
    <w:p>
      <w:pPr>
        <w:ind w:left="916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53975</wp:posOffset>
            </wp:positionV>
            <wp:extent cx="6562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20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93980</wp:posOffset>
            </wp:positionV>
            <wp:extent cx="6562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pacing w:after="0" w:line="200" w:lineRule="exact"/>
        <w:rPr>
          <w:sz w:val="24"/>
          <w:szCs w:val="24"/>
          <w:color w:val="auto"/>
        </w:rPr>
      </w:pPr>
    </w:p>
    <w:p>
      <w:pPr>
        <w:jc w:val="center"/>
        <w:ind w:right="-439"/>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43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123825</wp:posOffset>
            </wp:positionV>
            <wp:extent cx="1383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35" w:lineRule="exact"/>
        <w:rPr>
          <w:sz w:val="24"/>
          <w:szCs w:val="24"/>
          <w:color w:val="auto"/>
        </w:rPr>
      </w:pPr>
    </w:p>
    <w:p>
      <w:pPr>
        <w:jc w:val="center"/>
        <w:ind w:right="-439"/>
        <w:spacing w:after="0"/>
        <w:rPr>
          <w:sz w:val="20"/>
          <w:szCs w:val="20"/>
          <w:color w:val="auto"/>
        </w:rPr>
      </w:pPr>
      <w:r>
        <w:rPr>
          <w:rFonts w:ascii="Arial" w:cs="Arial" w:eastAsia="Arial" w:hAnsi="Arial"/>
          <w:sz w:val="17"/>
          <w:szCs w:val="17"/>
          <w:b w:val="1"/>
          <w:bCs w:val="1"/>
          <w:color w:val="auto"/>
        </w:rPr>
        <w:t>FORM S-1</w:t>
      </w:r>
    </w:p>
    <w:p>
      <w:pPr>
        <w:spacing w:after="0" w:line="23" w:lineRule="exact"/>
        <w:rPr>
          <w:sz w:val="24"/>
          <w:szCs w:val="24"/>
          <w:color w:val="auto"/>
        </w:rPr>
      </w:pPr>
    </w:p>
    <w:p>
      <w:pPr>
        <w:jc w:val="center"/>
        <w:ind w:right="-439"/>
        <w:spacing w:after="0"/>
        <w:rPr>
          <w:sz w:val="20"/>
          <w:szCs w:val="20"/>
          <w:color w:val="auto"/>
        </w:rPr>
      </w:pPr>
      <w:r>
        <w:rPr>
          <w:rFonts w:ascii="Arial" w:cs="Arial" w:eastAsia="Arial" w:hAnsi="Arial"/>
          <w:sz w:val="17"/>
          <w:szCs w:val="17"/>
          <w:b w:val="1"/>
          <w:bCs w:val="1"/>
          <w:color w:val="auto"/>
        </w:rPr>
        <w:t>REGISTRATION STATEMENT</w:t>
      </w:r>
    </w:p>
    <w:p>
      <w:pPr>
        <w:spacing w:after="0" w:line="7"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i w:val="1"/>
          <w:iCs w:val="1"/>
          <w:color w:val="auto"/>
        </w:rPr>
        <w:t>UNDER</w:t>
      </w:r>
    </w:p>
    <w:p>
      <w:pPr>
        <w:spacing w:after="0" w:line="11"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127635</wp:posOffset>
            </wp:positionV>
            <wp:extent cx="1383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49" w:lineRule="exact"/>
        <w:rPr>
          <w:sz w:val="24"/>
          <w:szCs w:val="24"/>
          <w:color w:val="auto"/>
        </w:rPr>
      </w:pPr>
    </w:p>
    <w:p>
      <w:pPr>
        <w:jc w:val="center"/>
        <w:ind w:right="-439"/>
        <w:spacing w:after="0"/>
        <w:rPr>
          <w:sz w:val="20"/>
          <w:szCs w:val="20"/>
          <w:color w:val="auto"/>
        </w:rPr>
      </w:pPr>
      <w:r>
        <w:rPr>
          <w:rFonts w:ascii="Arial" w:cs="Arial" w:eastAsia="Arial" w:hAnsi="Arial"/>
          <w:sz w:val="24"/>
          <w:szCs w:val="24"/>
          <w:b w:val="1"/>
          <w:bCs w:val="1"/>
          <w:color w:val="auto"/>
        </w:rPr>
        <w:t>Definitive Healthcare Corp.</w:t>
      </w:r>
    </w:p>
    <w:p>
      <w:pPr>
        <w:spacing w:after="0" w:line="18" w:lineRule="exact"/>
        <w:rPr>
          <w:sz w:val="24"/>
          <w:szCs w:val="24"/>
          <w:color w:val="auto"/>
        </w:rPr>
      </w:pPr>
    </w:p>
    <w:p>
      <w:pPr>
        <w:ind w:left="414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109855</wp:posOffset>
            </wp:positionV>
            <wp:extent cx="1383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50" w:lineRule="exact"/>
        <w:rPr>
          <w:sz w:val="24"/>
          <w:szCs w:val="24"/>
          <w:color w:val="auto"/>
        </w:rPr>
      </w:pPr>
    </w:p>
    <w:tbl>
      <w:tblPr>
        <w:tblLayout w:type="fixed"/>
        <w:tblInd w:w="1300" w:type="dxa"/>
        <w:tblCellMar>
          <w:top w:w="0" w:type="dxa"/>
          <w:left w:w="0" w:type="dxa"/>
          <w:bottom w:w="0" w:type="dxa"/>
          <w:right w:w="0" w:type="dxa"/>
        </w:tblCellMar>
      </w:tblPr>
      <w:tr>
        <w:trPr>
          <w:trHeight w:val="149"/>
        </w:trPr>
        <w:tc>
          <w:tcPr>
            <w:tcW w:w="2700" w:type="dxa"/>
            <w:vAlign w:val="bottom"/>
          </w:tcPr>
          <w:p>
            <w:pPr>
              <w:jc w:val="center"/>
              <w:ind w:right="813"/>
              <w:spacing w:after="0"/>
              <w:rPr>
                <w:sz w:val="20"/>
                <w:szCs w:val="20"/>
                <w:color w:val="auto"/>
              </w:rPr>
            </w:pPr>
            <w:r>
              <w:rPr>
                <w:rFonts w:ascii="Arial" w:cs="Arial" w:eastAsia="Arial" w:hAnsi="Arial"/>
                <w:sz w:val="13"/>
                <w:szCs w:val="13"/>
                <w:b w:val="1"/>
                <w:bCs w:val="1"/>
                <w:color w:val="auto"/>
                <w:w w:val="94"/>
              </w:rPr>
              <w:t>Delaware</w:t>
            </w:r>
          </w:p>
        </w:tc>
        <w:tc>
          <w:tcPr>
            <w:tcW w:w="3520" w:type="dxa"/>
            <w:vAlign w:val="bottom"/>
          </w:tcPr>
          <w:p>
            <w:pPr>
              <w:jc w:val="center"/>
              <w:spacing w:after="0"/>
              <w:rPr>
                <w:sz w:val="20"/>
                <w:szCs w:val="20"/>
                <w:color w:val="auto"/>
              </w:rPr>
            </w:pPr>
            <w:r>
              <w:rPr>
                <w:rFonts w:ascii="Arial" w:cs="Arial" w:eastAsia="Arial" w:hAnsi="Arial"/>
                <w:sz w:val="13"/>
                <w:szCs w:val="13"/>
                <w:b w:val="1"/>
                <w:bCs w:val="1"/>
                <w:color w:val="auto"/>
                <w:w w:val="89"/>
              </w:rPr>
              <w:t>7372</w:t>
            </w:r>
          </w:p>
        </w:tc>
        <w:tc>
          <w:tcPr>
            <w:tcW w:w="2280" w:type="dxa"/>
            <w:vAlign w:val="bottom"/>
          </w:tcPr>
          <w:p>
            <w:pPr>
              <w:jc w:val="center"/>
              <w:ind w:left="893"/>
              <w:spacing w:after="0"/>
              <w:rPr>
                <w:sz w:val="20"/>
                <w:szCs w:val="20"/>
                <w:color w:val="auto"/>
              </w:rPr>
            </w:pPr>
            <w:r>
              <w:rPr>
                <w:rFonts w:ascii="Arial" w:cs="Arial" w:eastAsia="Arial" w:hAnsi="Arial"/>
                <w:sz w:val="13"/>
                <w:szCs w:val="13"/>
                <w:b w:val="1"/>
                <w:bCs w:val="1"/>
                <w:color w:val="auto"/>
                <w:w w:val="92"/>
              </w:rPr>
              <w:t>86-3988281</w:t>
            </w:r>
          </w:p>
        </w:tc>
      </w:tr>
      <w:tr>
        <w:trPr>
          <w:trHeight w:val="139"/>
        </w:trPr>
        <w:tc>
          <w:tcPr>
            <w:tcW w:w="2700" w:type="dxa"/>
            <w:vAlign w:val="bottom"/>
          </w:tcPr>
          <w:p>
            <w:pPr>
              <w:jc w:val="center"/>
              <w:ind w:right="813"/>
              <w:spacing w:after="0" w:line="139" w:lineRule="exact"/>
              <w:rPr>
                <w:sz w:val="20"/>
                <w:szCs w:val="20"/>
                <w:color w:val="auto"/>
              </w:rPr>
            </w:pPr>
            <w:r>
              <w:rPr>
                <w:rFonts w:ascii="Arial" w:cs="Arial" w:eastAsia="Arial" w:hAnsi="Arial"/>
                <w:sz w:val="13"/>
                <w:szCs w:val="13"/>
                <w:b w:val="1"/>
                <w:bCs w:val="1"/>
                <w:color w:val="auto"/>
                <w:w w:val="94"/>
              </w:rPr>
              <w:t>(State or Other Jurisdiction of</w:t>
            </w:r>
          </w:p>
        </w:tc>
        <w:tc>
          <w:tcPr>
            <w:tcW w:w="35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8"/>
              </w:rPr>
              <w:t>(Primary Standard Industrial</w:t>
            </w:r>
          </w:p>
        </w:tc>
        <w:tc>
          <w:tcPr>
            <w:tcW w:w="2280" w:type="dxa"/>
            <w:vAlign w:val="bottom"/>
          </w:tcPr>
          <w:p>
            <w:pPr>
              <w:jc w:val="center"/>
              <w:ind w:left="893"/>
              <w:spacing w:after="0" w:line="139" w:lineRule="exact"/>
              <w:rPr>
                <w:sz w:val="20"/>
                <w:szCs w:val="20"/>
                <w:color w:val="auto"/>
              </w:rPr>
            </w:pPr>
            <w:r>
              <w:rPr>
                <w:rFonts w:ascii="Arial" w:cs="Arial" w:eastAsia="Arial" w:hAnsi="Arial"/>
                <w:sz w:val="13"/>
                <w:szCs w:val="13"/>
                <w:b w:val="1"/>
                <w:bCs w:val="1"/>
                <w:color w:val="auto"/>
                <w:w w:val="96"/>
              </w:rPr>
              <w:t>(I.R.S. Employer</w:t>
            </w:r>
          </w:p>
        </w:tc>
      </w:tr>
      <w:tr>
        <w:trPr>
          <w:trHeight w:val="174"/>
        </w:trPr>
        <w:tc>
          <w:tcPr>
            <w:tcW w:w="2700" w:type="dxa"/>
            <w:vAlign w:val="bottom"/>
          </w:tcPr>
          <w:p>
            <w:pPr>
              <w:jc w:val="center"/>
              <w:ind w:right="813"/>
              <w:spacing w:after="0"/>
              <w:rPr>
                <w:sz w:val="20"/>
                <w:szCs w:val="20"/>
                <w:color w:val="auto"/>
              </w:rPr>
            </w:pPr>
            <w:r>
              <w:rPr>
                <w:rFonts w:ascii="Arial" w:cs="Arial" w:eastAsia="Arial" w:hAnsi="Arial"/>
                <w:sz w:val="13"/>
                <w:szCs w:val="13"/>
                <w:b w:val="1"/>
                <w:bCs w:val="1"/>
                <w:color w:val="auto"/>
                <w:w w:val="96"/>
              </w:rPr>
              <w:t>Incorporation or Organization)</w:t>
            </w:r>
          </w:p>
        </w:tc>
        <w:tc>
          <w:tcPr>
            <w:tcW w:w="3520" w:type="dxa"/>
            <w:vAlign w:val="bottom"/>
          </w:tcPr>
          <w:p>
            <w:pPr>
              <w:jc w:val="center"/>
              <w:spacing w:after="0"/>
              <w:rPr>
                <w:sz w:val="20"/>
                <w:szCs w:val="20"/>
                <w:color w:val="auto"/>
              </w:rPr>
            </w:pPr>
            <w:r>
              <w:rPr>
                <w:rFonts w:ascii="Arial" w:cs="Arial" w:eastAsia="Arial" w:hAnsi="Arial"/>
                <w:sz w:val="13"/>
                <w:szCs w:val="13"/>
                <w:b w:val="1"/>
                <w:bCs w:val="1"/>
                <w:color w:val="auto"/>
                <w:w w:val="93"/>
              </w:rPr>
              <w:t>Classification Code Number)</w:t>
            </w:r>
          </w:p>
        </w:tc>
        <w:tc>
          <w:tcPr>
            <w:tcW w:w="2280" w:type="dxa"/>
            <w:vAlign w:val="bottom"/>
          </w:tcPr>
          <w:p>
            <w:pPr>
              <w:jc w:val="center"/>
              <w:ind w:left="873"/>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41" w:lineRule="exact"/>
        <w:rPr>
          <w:sz w:val="24"/>
          <w:szCs w:val="24"/>
          <w:color w:val="auto"/>
        </w:rPr>
      </w:pPr>
    </w:p>
    <w:p>
      <w:pPr>
        <w:jc w:val="center"/>
        <w:ind w:right="-439"/>
        <w:spacing w:after="0"/>
        <w:rPr>
          <w:sz w:val="20"/>
          <w:szCs w:val="20"/>
          <w:color w:val="auto"/>
        </w:rPr>
      </w:pPr>
      <w:r>
        <w:rPr>
          <w:rFonts w:ascii="Arial" w:cs="Arial" w:eastAsia="Arial" w:hAnsi="Arial"/>
          <w:sz w:val="13"/>
          <w:szCs w:val="13"/>
          <w:b w:val="1"/>
          <w:bCs w:val="1"/>
          <w:color w:val="auto"/>
        </w:rPr>
        <w:t>550 Cochituate Road</w:t>
      </w:r>
    </w:p>
    <w:p>
      <w:pPr>
        <w:jc w:val="center"/>
        <w:ind w:right="-439"/>
        <w:spacing w:after="0" w:line="229" w:lineRule="auto"/>
        <w:rPr>
          <w:sz w:val="20"/>
          <w:szCs w:val="20"/>
          <w:color w:val="auto"/>
        </w:rPr>
      </w:pPr>
      <w:r>
        <w:rPr>
          <w:rFonts w:ascii="Arial" w:cs="Arial" w:eastAsia="Arial" w:hAnsi="Arial"/>
          <w:sz w:val="13"/>
          <w:szCs w:val="13"/>
          <w:b w:val="1"/>
          <w:bCs w:val="1"/>
          <w:color w:val="auto"/>
        </w:rPr>
        <w:t>Framingham, MA 01701</w:t>
      </w:r>
    </w:p>
    <w:p>
      <w:pPr>
        <w:jc w:val="center"/>
        <w:ind w:right="-439"/>
        <w:spacing w:after="0" w:line="224" w:lineRule="auto"/>
        <w:rPr>
          <w:sz w:val="20"/>
          <w:szCs w:val="20"/>
          <w:color w:val="auto"/>
        </w:rPr>
      </w:pPr>
      <w:r>
        <w:rPr>
          <w:rFonts w:ascii="Arial" w:cs="Arial" w:eastAsia="Arial" w:hAnsi="Arial"/>
          <w:sz w:val="13"/>
          <w:szCs w:val="13"/>
          <w:b w:val="1"/>
          <w:bCs w:val="1"/>
          <w:color w:val="auto"/>
        </w:rPr>
        <w:t>(508) 720-4224</w:t>
      </w:r>
    </w:p>
    <w:p>
      <w:pPr>
        <w:jc w:val="center"/>
        <w:ind w:right="-43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109855</wp:posOffset>
            </wp:positionV>
            <wp:extent cx="1383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22" w:lineRule="exact"/>
        <w:rPr>
          <w:sz w:val="24"/>
          <w:szCs w:val="24"/>
          <w:color w:val="auto"/>
        </w:rPr>
      </w:pPr>
    </w:p>
    <w:p>
      <w:pPr>
        <w:jc w:val="center"/>
        <w:ind w:right="-439"/>
        <w:spacing w:after="0"/>
        <w:rPr>
          <w:sz w:val="20"/>
          <w:szCs w:val="20"/>
          <w:color w:val="auto"/>
        </w:rPr>
      </w:pPr>
      <w:r>
        <w:rPr>
          <w:rFonts w:ascii="Arial" w:cs="Arial" w:eastAsia="Arial" w:hAnsi="Arial"/>
          <w:sz w:val="13"/>
          <w:szCs w:val="13"/>
          <w:b w:val="1"/>
          <w:bCs w:val="1"/>
          <w:color w:val="auto"/>
        </w:rPr>
        <w:t>550 Cochituate Road</w:t>
      </w:r>
    </w:p>
    <w:p>
      <w:pPr>
        <w:jc w:val="center"/>
        <w:ind w:right="-439"/>
        <w:spacing w:after="0" w:line="229" w:lineRule="auto"/>
        <w:rPr>
          <w:sz w:val="20"/>
          <w:szCs w:val="20"/>
          <w:color w:val="auto"/>
        </w:rPr>
      </w:pPr>
      <w:r>
        <w:rPr>
          <w:rFonts w:ascii="Arial" w:cs="Arial" w:eastAsia="Arial" w:hAnsi="Arial"/>
          <w:sz w:val="13"/>
          <w:szCs w:val="13"/>
          <w:b w:val="1"/>
          <w:bCs w:val="1"/>
          <w:color w:val="auto"/>
        </w:rPr>
        <w:t>Framingham, MA 01701</w:t>
      </w:r>
    </w:p>
    <w:p>
      <w:pPr>
        <w:jc w:val="center"/>
        <w:ind w:right="-439"/>
        <w:spacing w:after="0" w:line="224" w:lineRule="auto"/>
        <w:rPr>
          <w:sz w:val="20"/>
          <w:szCs w:val="20"/>
          <w:color w:val="auto"/>
        </w:rPr>
      </w:pPr>
      <w:r>
        <w:rPr>
          <w:rFonts w:ascii="Arial" w:cs="Arial" w:eastAsia="Arial" w:hAnsi="Arial"/>
          <w:sz w:val="13"/>
          <w:szCs w:val="13"/>
          <w:b w:val="1"/>
          <w:bCs w:val="1"/>
          <w:color w:val="auto"/>
        </w:rPr>
        <w:t>(508) 720-4224</w:t>
      </w:r>
    </w:p>
    <w:p>
      <w:pPr>
        <w:jc w:val="center"/>
        <w:ind w:right="-4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109855</wp:posOffset>
            </wp:positionV>
            <wp:extent cx="1383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11" w:lineRule="exact"/>
        <w:rPr>
          <w:sz w:val="24"/>
          <w:szCs w:val="24"/>
          <w:color w:val="auto"/>
        </w:rPr>
      </w:pPr>
    </w:p>
    <w:tbl>
      <w:tblPr>
        <w:tblLayout w:type="fixed"/>
        <w:tblInd w:w="1360" w:type="dxa"/>
        <w:tblCellMar>
          <w:top w:w="0" w:type="dxa"/>
          <w:left w:w="0" w:type="dxa"/>
          <w:bottom w:w="0" w:type="dxa"/>
          <w:right w:w="0" w:type="dxa"/>
        </w:tblCellMar>
      </w:tblPr>
      <w:tr>
        <w:trPr>
          <w:trHeight w:val="172"/>
        </w:trPr>
        <w:tc>
          <w:tcPr>
            <w:tcW w:w="2680" w:type="dxa"/>
            <w:vAlign w:val="bottom"/>
          </w:tcPr>
          <w:p>
            <w:pPr>
              <w:spacing w:after="0"/>
              <w:rPr>
                <w:sz w:val="14"/>
                <w:szCs w:val="14"/>
                <w:color w:val="auto"/>
              </w:rPr>
            </w:pPr>
          </w:p>
        </w:tc>
        <w:tc>
          <w:tcPr>
            <w:tcW w:w="3200" w:type="dxa"/>
            <w:vAlign w:val="bottom"/>
          </w:tcPr>
          <w:p>
            <w:pPr>
              <w:ind w:left="1300"/>
              <w:spacing w:after="0"/>
              <w:rPr>
                <w:sz w:val="20"/>
                <w:szCs w:val="20"/>
                <w:color w:val="auto"/>
              </w:rPr>
            </w:pPr>
            <w:r>
              <w:rPr>
                <w:rFonts w:ascii="Arial" w:cs="Arial" w:eastAsia="Arial" w:hAnsi="Arial"/>
                <w:sz w:val="13"/>
                <w:szCs w:val="13"/>
                <w:b w:val="1"/>
                <w:bCs w:val="1"/>
                <w:i w:val="1"/>
                <w:iCs w:val="1"/>
                <w:color w:val="auto"/>
              </w:rPr>
              <w:t>Copies to:</w:t>
            </w:r>
          </w:p>
        </w:tc>
        <w:tc>
          <w:tcPr>
            <w:tcW w:w="3000" w:type="dxa"/>
            <w:vAlign w:val="bottom"/>
          </w:tcPr>
          <w:p>
            <w:pPr>
              <w:spacing w:after="0"/>
              <w:rPr>
                <w:sz w:val="14"/>
                <w:szCs w:val="14"/>
                <w:color w:val="auto"/>
              </w:rPr>
            </w:pPr>
          </w:p>
        </w:tc>
      </w:tr>
      <w:tr>
        <w:trPr>
          <w:trHeight w:val="180"/>
        </w:trPr>
        <w:tc>
          <w:tcPr>
            <w:tcW w:w="2680" w:type="dxa"/>
            <w:vAlign w:val="bottom"/>
          </w:tcPr>
          <w:p>
            <w:pPr>
              <w:jc w:val="center"/>
              <w:ind w:right="893"/>
              <w:spacing w:after="0"/>
              <w:rPr>
                <w:sz w:val="20"/>
                <w:szCs w:val="20"/>
                <w:color w:val="auto"/>
              </w:rPr>
            </w:pPr>
            <w:r>
              <w:rPr>
                <w:rFonts w:ascii="Arial" w:cs="Arial" w:eastAsia="Arial" w:hAnsi="Arial"/>
                <w:sz w:val="13"/>
                <w:szCs w:val="13"/>
                <w:b w:val="1"/>
                <w:bCs w:val="1"/>
                <w:color w:val="auto"/>
                <w:w w:val="95"/>
              </w:rPr>
              <w:t>Alexander D. Lynch</w:t>
            </w:r>
          </w:p>
        </w:tc>
        <w:tc>
          <w:tcPr>
            <w:tcW w:w="3200" w:type="dxa"/>
            <w:vAlign w:val="bottom"/>
          </w:tcPr>
          <w:p>
            <w:pPr>
              <w:jc w:val="center"/>
              <w:ind w:left="113"/>
              <w:spacing w:after="0"/>
              <w:rPr>
                <w:sz w:val="20"/>
                <w:szCs w:val="20"/>
                <w:color w:val="auto"/>
              </w:rPr>
            </w:pPr>
            <w:r>
              <w:rPr>
                <w:rFonts w:ascii="Arial" w:cs="Arial" w:eastAsia="Arial" w:hAnsi="Arial"/>
                <w:sz w:val="13"/>
                <w:szCs w:val="13"/>
                <w:b w:val="1"/>
                <w:bCs w:val="1"/>
                <w:color w:val="auto"/>
                <w:w w:val="95"/>
              </w:rPr>
              <w:t>David M. Samuels</w:t>
            </w:r>
          </w:p>
        </w:tc>
        <w:tc>
          <w:tcPr>
            <w:tcW w:w="3000" w:type="dxa"/>
            <w:vAlign w:val="bottom"/>
          </w:tcPr>
          <w:p>
            <w:pPr>
              <w:jc w:val="center"/>
              <w:ind w:left="733"/>
              <w:spacing w:after="0"/>
              <w:rPr>
                <w:sz w:val="20"/>
                <w:szCs w:val="20"/>
                <w:color w:val="auto"/>
              </w:rPr>
            </w:pPr>
            <w:r>
              <w:rPr>
                <w:rFonts w:ascii="Arial" w:cs="Arial" w:eastAsia="Arial" w:hAnsi="Arial"/>
                <w:sz w:val="13"/>
                <w:szCs w:val="13"/>
                <w:b w:val="1"/>
                <w:bCs w:val="1"/>
                <w:color w:val="auto"/>
                <w:w w:val="96"/>
              </w:rPr>
              <w:t>Cathy A. Birkeland</w:t>
            </w:r>
          </w:p>
        </w:tc>
      </w:tr>
      <w:tr>
        <w:trPr>
          <w:trHeight w:val="139"/>
        </w:trPr>
        <w:tc>
          <w:tcPr>
            <w:tcW w:w="2680" w:type="dxa"/>
            <w:vAlign w:val="bottom"/>
          </w:tcPr>
          <w:p>
            <w:pPr>
              <w:jc w:val="center"/>
              <w:ind w:right="913"/>
              <w:spacing w:after="0" w:line="139" w:lineRule="exact"/>
              <w:rPr>
                <w:sz w:val="20"/>
                <w:szCs w:val="20"/>
                <w:color w:val="auto"/>
              </w:rPr>
            </w:pPr>
            <w:r>
              <w:rPr>
                <w:rFonts w:ascii="Arial" w:cs="Arial" w:eastAsia="Arial" w:hAnsi="Arial"/>
                <w:sz w:val="13"/>
                <w:szCs w:val="13"/>
                <w:b w:val="1"/>
                <w:bCs w:val="1"/>
                <w:color w:val="auto"/>
                <w:w w:val="96"/>
              </w:rPr>
              <w:t>Barbra J. Broudy</w:t>
            </w:r>
          </w:p>
        </w:tc>
        <w:tc>
          <w:tcPr>
            <w:tcW w:w="3200" w:type="dxa"/>
            <w:vAlign w:val="bottom"/>
          </w:tcPr>
          <w:p>
            <w:pPr>
              <w:jc w:val="center"/>
              <w:ind w:left="133"/>
              <w:spacing w:after="0" w:line="139" w:lineRule="exact"/>
              <w:rPr>
                <w:sz w:val="20"/>
                <w:szCs w:val="20"/>
                <w:color w:val="auto"/>
              </w:rPr>
            </w:pPr>
            <w:r>
              <w:rPr>
                <w:rFonts w:ascii="Arial" w:cs="Arial" w:eastAsia="Arial" w:hAnsi="Arial"/>
                <w:sz w:val="13"/>
                <w:szCs w:val="13"/>
                <w:b w:val="1"/>
                <w:bCs w:val="1"/>
                <w:color w:val="auto"/>
                <w:w w:val="96"/>
              </w:rPr>
              <w:t>Chief Legal Officer</w:t>
            </w:r>
          </w:p>
        </w:tc>
        <w:tc>
          <w:tcPr>
            <w:tcW w:w="3000" w:type="dxa"/>
            <w:vAlign w:val="bottom"/>
          </w:tcPr>
          <w:p>
            <w:pPr>
              <w:jc w:val="center"/>
              <w:ind w:left="713"/>
              <w:spacing w:after="0" w:line="139" w:lineRule="exact"/>
              <w:rPr>
                <w:sz w:val="20"/>
                <w:szCs w:val="20"/>
                <w:color w:val="auto"/>
              </w:rPr>
            </w:pPr>
            <w:r>
              <w:rPr>
                <w:rFonts w:ascii="Arial" w:cs="Arial" w:eastAsia="Arial" w:hAnsi="Arial"/>
                <w:sz w:val="13"/>
                <w:szCs w:val="13"/>
                <w:b w:val="1"/>
                <w:bCs w:val="1"/>
                <w:color w:val="auto"/>
                <w:w w:val="90"/>
              </w:rPr>
              <w:t>Senet Bischoff</w:t>
            </w:r>
          </w:p>
        </w:tc>
      </w:tr>
      <w:tr>
        <w:trPr>
          <w:trHeight w:val="139"/>
        </w:trPr>
        <w:tc>
          <w:tcPr>
            <w:tcW w:w="2680" w:type="dxa"/>
            <w:vAlign w:val="bottom"/>
          </w:tcPr>
          <w:p>
            <w:pPr>
              <w:jc w:val="center"/>
              <w:ind w:right="913"/>
              <w:spacing w:after="0" w:line="139" w:lineRule="exact"/>
              <w:rPr>
                <w:sz w:val="20"/>
                <w:szCs w:val="20"/>
                <w:color w:val="auto"/>
              </w:rPr>
            </w:pPr>
            <w:r>
              <w:rPr>
                <w:rFonts w:ascii="Arial" w:cs="Arial" w:eastAsia="Arial" w:hAnsi="Arial"/>
                <w:sz w:val="13"/>
                <w:szCs w:val="13"/>
                <w:b w:val="1"/>
                <w:bCs w:val="1"/>
                <w:color w:val="auto"/>
                <w:w w:val="96"/>
              </w:rPr>
              <w:t>Weil, Gotshal &amp; Manges LLP</w:t>
            </w:r>
          </w:p>
        </w:tc>
        <w:tc>
          <w:tcPr>
            <w:tcW w:w="3200" w:type="dxa"/>
            <w:vAlign w:val="bottom"/>
          </w:tcPr>
          <w:p>
            <w:pPr>
              <w:jc w:val="center"/>
              <w:ind w:left="113"/>
              <w:spacing w:after="0" w:line="139" w:lineRule="exact"/>
              <w:rPr>
                <w:sz w:val="20"/>
                <w:szCs w:val="20"/>
                <w:color w:val="auto"/>
              </w:rPr>
            </w:pPr>
            <w:r>
              <w:rPr>
                <w:rFonts w:ascii="Arial" w:cs="Arial" w:eastAsia="Arial" w:hAnsi="Arial"/>
                <w:sz w:val="13"/>
                <w:szCs w:val="13"/>
                <w:b w:val="1"/>
                <w:bCs w:val="1"/>
                <w:color w:val="auto"/>
                <w:w w:val="93"/>
              </w:rPr>
              <w:t>550 Cochituate Rd</w:t>
            </w:r>
          </w:p>
        </w:tc>
        <w:tc>
          <w:tcPr>
            <w:tcW w:w="3000" w:type="dxa"/>
            <w:vAlign w:val="bottom"/>
          </w:tcPr>
          <w:p>
            <w:pPr>
              <w:jc w:val="center"/>
              <w:ind w:left="733"/>
              <w:spacing w:after="0" w:line="139" w:lineRule="exact"/>
              <w:rPr>
                <w:sz w:val="20"/>
                <w:szCs w:val="20"/>
                <w:color w:val="auto"/>
              </w:rPr>
            </w:pPr>
            <w:r>
              <w:rPr>
                <w:rFonts w:ascii="Arial" w:cs="Arial" w:eastAsia="Arial" w:hAnsi="Arial"/>
                <w:sz w:val="13"/>
                <w:szCs w:val="13"/>
                <w:b w:val="1"/>
                <w:bCs w:val="1"/>
                <w:color w:val="auto"/>
                <w:w w:val="95"/>
              </w:rPr>
              <w:t>Alexa Berlin</w:t>
            </w:r>
          </w:p>
        </w:tc>
      </w:tr>
      <w:tr>
        <w:trPr>
          <w:trHeight w:val="139"/>
        </w:trPr>
        <w:tc>
          <w:tcPr>
            <w:tcW w:w="2680" w:type="dxa"/>
            <w:vAlign w:val="bottom"/>
          </w:tcPr>
          <w:p>
            <w:pPr>
              <w:jc w:val="center"/>
              <w:ind w:right="913"/>
              <w:spacing w:after="0" w:line="139" w:lineRule="exact"/>
              <w:rPr>
                <w:sz w:val="20"/>
                <w:szCs w:val="20"/>
                <w:color w:val="auto"/>
              </w:rPr>
            </w:pPr>
            <w:r>
              <w:rPr>
                <w:rFonts w:ascii="Arial" w:cs="Arial" w:eastAsia="Arial" w:hAnsi="Arial"/>
                <w:sz w:val="13"/>
                <w:szCs w:val="13"/>
                <w:b w:val="1"/>
                <w:bCs w:val="1"/>
                <w:color w:val="auto"/>
                <w:w w:val="94"/>
              </w:rPr>
              <w:t>767 Fifth Avenue</w:t>
            </w:r>
          </w:p>
        </w:tc>
        <w:tc>
          <w:tcPr>
            <w:tcW w:w="3200" w:type="dxa"/>
            <w:vAlign w:val="bottom"/>
          </w:tcPr>
          <w:p>
            <w:pPr>
              <w:jc w:val="center"/>
              <w:ind w:left="113"/>
              <w:spacing w:after="0" w:line="139" w:lineRule="exact"/>
              <w:rPr>
                <w:sz w:val="20"/>
                <w:szCs w:val="20"/>
                <w:color w:val="auto"/>
              </w:rPr>
            </w:pPr>
            <w:r>
              <w:rPr>
                <w:rFonts w:ascii="Arial" w:cs="Arial" w:eastAsia="Arial" w:hAnsi="Arial"/>
                <w:sz w:val="13"/>
                <w:szCs w:val="13"/>
                <w:b w:val="1"/>
                <w:bCs w:val="1"/>
                <w:color w:val="auto"/>
                <w:w w:val="97"/>
              </w:rPr>
              <w:t>Framingham, MA 01701</w:t>
            </w:r>
          </w:p>
        </w:tc>
        <w:tc>
          <w:tcPr>
            <w:tcW w:w="3000" w:type="dxa"/>
            <w:vAlign w:val="bottom"/>
          </w:tcPr>
          <w:p>
            <w:pPr>
              <w:jc w:val="center"/>
              <w:ind w:left="733"/>
              <w:spacing w:after="0" w:line="139" w:lineRule="exact"/>
              <w:rPr>
                <w:sz w:val="20"/>
                <w:szCs w:val="20"/>
                <w:color w:val="auto"/>
              </w:rPr>
            </w:pPr>
            <w:r>
              <w:rPr>
                <w:rFonts w:ascii="Arial" w:cs="Arial" w:eastAsia="Arial" w:hAnsi="Arial"/>
                <w:sz w:val="13"/>
                <w:szCs w:val="13"/>
                <w:b w:val="1"/>
                <w:bCs w:val="1"/>
                <w:color w:val="auto"/>
                <w:w w:val="99"/>
              </w:rPr>
              <w:t>Latham &amp; Watkins LLP</w:t>
            </w:r>
          </w:p>
        </w:tc>
      </w:tr>
      <w:tr>
        <w:trPr>
          <w:trHeight w:val="139"/>
        </w:trPr>
        <w:tc>
          <w:tcPr>
            <w:tcW w:w="2680" w:type="dxa"/>
            <w:vAlign w:val="bottom"/>
          </w:tcPr>
          <w:p>
            <w:pPr>
              <w:jc w:val="center"/>
              <w:ind w:right="913"/>
              <w:spacing w:after="0" w:line="139" w:lineRule="exact"/>
              <w:rPr>
                <w:sz w:val="20"/>
                <w:szCs w:val="20"/>
                <w:color w:val="auto"/>
              </w:rPr>
            </w:pPr>
            <w:r>
              <w:rPr>
                <w:rFonts w:ascii="Arial" w:cs="Arial" w:eastAsia="Arial" w:hAnsi="Arial"/>
                <w:sz w:val="13"/>
                <w:szCs w:val="13"/>
                <w:b w:val="1"/>
                <w:bCs w:val="1"/>
                <w:color w:val="auto"/>
                <w:w w:val="98"/>
              </w:rPr>
              <w:t>New York, NY 10153</w:t>
            </w:r>
          </w:p>
        </w:tc>
        <w:tc>
          <w:tcPr>
            <w:tcW w:w="3200" w:type="dxa"/>
            <w:vAlign w:val="bottom"/>
          </w:tcPr>
          <w:p>
            <w:pPr>
              <w:jc w:val="center"/>
              <w:ind w:left="133"/>
              <w:spacing w:after="0" w:line="139" w:lineRule="exact"/>
              <w:rPr>
                <w:sz w:val="20"/>
                <w:szCs w:val="20"/>
                <w:color w:val="auto"/>
              </w:rPr>
            </w:pPr>
            <w:r>
              <w:rPr>
                <w:rFonts w:ascii="Arial" w:cs="Arial" w:eastAsia="Arial" w:hAnsi="Arial"/>
                <w:sz w:val="13"/>
                <w:szCs w:val="13"/>
                <w:b w:val="1"/>
                <w:bCs w:val="1"/>
                <w:color w:val="auto"/>
                <w:w w:val="94"/>
              </w:rPr>
              <w:t>(508) 720-4224</w:t>
            </w:r>
          </w:p>
        </w:tc>
        <w:tc>
          <w:tcPr>
            <w:tcW w:w="3000" w:type="dxa"/>
            <w:vAlign w:val="bottom"/>
          </w:tcPr>
          <w:p>
            <w:pPr>
              <w:jc w:val="center"/>
              <w:ind w:left="733"/>
              <w:spacing w:after="0" w:line="139" w:lineRule="exact"/>
              <w:rPr>
                <w:sz w:val="20"/>
                <w:szCs w:val="20"/>
                <w:color w:val="auto"/>
              </w:rPr>
            </w:pPr>
            <w:r>
              <w:rPr>
                <w:rFonts w:ascii="Arial" w:cs="Arial" w:eastAsia="Arial" w:hAnsi="Arial"/>
                <w:sz w:val="13"/>
                <w:szCs w:val="13"/>
                <w:b w:val="1"/>
                <w:bCs w:val="1"/>
                <w:color w:val="auto"/>
                <w:w w:val="93"/>
              </w:rPr>
              <w:t>330 North Wabash Avenue, Suite 2800</w:t>
            </w:r>
          </w:p>
        </w:tc>
      </w:tr>
      <w:tr>
        <w:trPr>
          <w:trHeight w:val="139"/>
        </w:trPr>
        <w:tc>
          <w:tcPr>
            <w:tcW w:w="2680" w:type="dxa"/>
            <w:vAlign w:val="bottom"/>
          </w:tcPr>
          <w:p>
            <w:pPr>
              <w:jc w:val="center"/>
              <w:ind w:right="913"/>
              <w:spacing w:after="0" w:line="139" w:lineRule="exact"/>
              <w:rPr>
                <w:sz w:val="20"/>
                <w:szCs w:val="20"/>
                <w:color w:val="auto"/>
              </w:rPr>
            </w:pPr>
            <w:r>
              <w:rPr>
                <w:rFonts w:ascii="Arial" w:cs="Arial" w:eastAsia="Arial" w:hAnsi="Arial"/>
                <w:sz w:val="13"/>
                <w:szCs w:val="13"/>
                <w:b w:val="1"/>
                <w:bCs w:val="1"/>
                <w:color w:val="auto"/>
                <w:w w:val="95"/>
              </w:rPr>
              <w:t>(212) 310-8000 (Phone)</w:t>
            </w:r>
          </w:p>
        </w:tc>
        <w:tc>
          <w:tcPr>
            <w:tcW w:w="3200" w:type="dxa"/>
            <w:vAlign w:val="bottom"/>
          </w:tcPr>
          <w:p>
            <w:pPr>
              <w:spacing w:after="0"/>
              <w:rPr>
                <w:sz w:val="12"/>
                <w:szCs w:val="12"/>
                <w:color w:val="auto"/>
              </w:rPr>
            </w:pPr>
          </w:p>
        </w:tc>
        <w:tc>
          <w:tcPr>
            <w:tcW w:w="3000" w:type="dxa"/>
            <w:vAlign w:val="bottom"/>
          </w:tcPr>
          <w:p>
            <w:pPr>
              <w:jc w:val="center"/>
              <w:ind w:left="733"/>
              <w:spacing w:after="0" w:line="139" w:lineRule="exact"/>
              <w:rPr>
                <w:sz w:val="20"/>
                <w:szCs w:val="20"/>
                <w:color w:val="auto"/>
              </w:rPr>
            </w:pPr>
            <w:r>
              <w:rPr>
                <w:rFonts w:ascii="Arial" w:cs="Arial" w:eastAsia="Arial" w:hAnsi="Arial"/>
                <w:sz w:val="13"/>
                <w:szCs w:val="13"/>
                <w:b w:val="1"/>
                <w:bCs w:val="1"/>
                <w:color w:val="auto"/>
                <w:w w:val="94"/>
              </w:rPr>
              <w:t>Chicago, IL 60611</w:t>
            </w:r>
          </w:p>
        </w:tc>
      </w:tr>
      <w:tr>
        <w:trPr>
          <w:trHeight w:val="139"/>
        </w:trPr>
        <w:tc>
          <w:tcPr>
            <w:tcW w:w="2680" w:type="dxa"/>
            <w:vAlign w:val="bottom"/>
          </w:tcPr>
          <w:p>
            <w:pPr>
              <w:jc w:val="center"/>
              <w:ind w:right="913"/>
              <w:spacing w:after="0" w:line="139" w:lineRule="exact"/>
              <w:rPr>
                <w:sz w:val="20"/>
                <w:szCs w:val="20"/>
                <w:color w:val="auto"/>
              </w:rPr>
            </w:pPr>
            <w:r>
              <w:rPr>
                <w:rFonts w:ascii="Arial" w:cs="Arial" w:eastAsia="Arial" w:hAnsi="Arial"/>
                <w:sz w:val="13"/>
                <w:szCs w:val="13"/>
                <w:b w:val="1"/>
                <w:bCs w:val="1"/>
                <w:color w:val="auto"/>
                <w:w w:val="95"/>
              </w:rPr>
              <w:t>(212) 310-8007 (Fax)</w:t>
            </w:r>
          </w:p>
        </w:tc>
        <w:tc>
          <w:tcPr>
            <w:tcW w:w="3200" w:type="dxa"/>
            <w:vAlign w:val="bottom"/>
          </w:tcPr>
          <w:p>
            <w:pPr>
              <w:spacing w:after="0"/>
              <w:rPr>
                <w:sz w:val="12"/>
                <w:szCs w:val="12"/>
                <w:color w:val="auto"/>
              </w:rPr>
            </w:pPr>
          </w:p>
        </w:tc>
        <w:tc>
          <w:tcPr>
            <w:tcW w:w="3000" w:type="dxa"/>
            <w:vAlign w:val="bottom"/>
          </w:tcPr>
          <w:p>
            <w:pPr>
              <w:jc w:val="center"/>
              <w:ind w:left="733"/>
              <w:spacing w:after="0" w:line="139" w:lineRule="exact"/>
              <w:rPr>
                <w:sz w:val="20"/>
                <w:szCs w:val="20"/>
                <w:color w:val="auto"/>
              </w:rPr>
            </w:pPr>
            <w:r>
              <w:rPr>
                <w:rFonts w:ascii="Arial" w:cs="Arial" w:eastAsia="Arial" w:hAnsi="Arial"/>
                <w:sz w:val="13"/>
                <w:szCs w:val="13"/>
                <w:b w:val="1"/>
                <w:bCs w:val="1"/>
                <w:color w:val="auto"/>
                <w:w w:val="93"/>
              </w:rPr>
              <w:t>(312) 876-7700 (Phone)</w:t>
            </w:r>
          </w:p>
        </w:tc>
      </w:tr>
      <w:tr>
        <w:trPr>
          <w:trHeight w:val="174"/>
        </w:trPr>
        <w:tc>
          <w:tcPr>
            <w:tcW w:w="26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000" w:type="dxa"/>
            <w:vAlign w:val="bottom"/>
          </w:tcPr>
          <w:p>
            <w:pPr>
              <w:jc w:val="center"/>
              <w:ind w:left="733"/>
              <w:spacing w:after="0"/>
              <w:rPr>
                <w:sz w:val="20"/>
                <w:szCs w:val="20"/>
                <w:color w:val="auto"/>
              </w:rPr>
            </w:pPr>
            <w:r>
              <w:rPr>
                <w:rFonts w:ascii="Arial" w:cs="Arial" w:eastAsia="Arial" w:hAnsi="Arial"/>
                <w:sz w:val="13"/>
                <w:szCs w:val="13"/>
                <w:b w:val="1"/>
                <w:bCs w:val="1"/>
                <w:color w:val="auto"/>
                <w:w w:val="97"/>
              </w:rPr>
              <w:t>(312) 993-9767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119380</wp:posOffset>
            </wp:positionV>
            <wp:extent cx="1383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24" w:lineRule="exact"/>
        <w:rPr>
          <w:sz w:val="24"/>
          <w:szCs w:val="24"/>
          <w:color w:val="auto"/>
        </w:rPr>
      </w:pPr>
    </w:p>
    <w:p>
      <w:pPr>
        <w:jc w:val="center"/>
        <w:ind w:right="-43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41" w:lineRule="exact"/>
        <w:rPr>
          <w:sz w:val="24"/>
          <w:szCs w:val="24"/>
          <w:color w:val="auto"/>
        </w:rPr>
      </w:pPr>
    </w:p>
    <w:p>
      <w:pPr>
        <w:ind w:left="460" w:right="300" w:firstLine="413"/>
        <w:spacing w:after="0" w:line="169"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2" w:lineRule="exact"/>
        <w:rPr>
          <w:sz w:val="24"/>
          <w:szCs w:val="24"/>
          <w:color w:val="auto"/>
        </w:rPr>
      </w:pPr>
    </w:p>
    <w:p>
      <w:pPr>
        <w:ind w:left="460" w:right="540" w:firstLine="413"/>
        <w:spacing w:after="0" w:line="169"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left="460" w:right="120" w:firstLine="413"/>
        <w:spacing w:after="0" w:line="169"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left="460" w:right="100" w:firstLine="413"/>
        <w:spacing w:after="0" w:line="169"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2" w:lineRule="exact"/>
        <w:rPr>
          <w:sz w:val="24"/>
          <w:szCs w:val="24"/>
          <w:color w:val="auto"/>
        </w:rPr>
      </w:pPr>
    </w:p>
    <w:p>
      <w:pPr>
        <w:ind w:left="460" w:right="380" w:firstLine="413"/>
        <w:spacing w:after="0" w:line="26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460" w:type="dxa"/>
        <w:tblCellMar>
          <w:top w:w="0" w:type="dxa"/>
          <w:left w:w="0" w:type="dxa"/>
          <w:bottom w:w="0" w:type="dxa"/>
          <w:right w:w="0" w:type="dxa"/>
        </w:tblCellMar>
      </w:tblPr>
      <w:tr>
        <w:trPr>
          <w:trHeight w:val="190"/>
        </w:trPr>
        <w:tc>
          <w:tcPr>
            <w:tcW w:w="13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ind w:left="3300"/>
              <w:spacing w:after="0"/>
              <w:rPr>
                <w:sz w:val="20"/>
                <w:szCs w:val="20"/>
                <w:color w:val="auto"/>
              </w:rPr>
            </w:pPr>
            <w:r>
              <w:rPr>
                <w:rFonts w:ascii="Arial" w:cs="Arial" w:eastAsia="Arial" w:hAnsi="Arial"/>
                <w:sz w:val="13"/>
                <w:szCs w:val="13"/>
                <w:color w:val="auto"/>
              </w:rPr>
              <w:t>Accelerated filer</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0"/>
        </w:trPr>
        <w:tc>
          <w:tcPr>
            <w:tcW w:w="1380" w:type="dxa"/>
            <w:vAlign w:val="bottom"/>
          </w:tcPr>
          <w:p>
            <w:pPr>
              <w:spacing w:after="0"/>
              <w:rPr>
                <w:sz w:val="20"/>
                <w:szCs w:val="20"/>
                <w:color w:val="auto"/>
              </w:rPr>
            </w:pPr>
            <w:r>
              <w:rPr>
                <w:rFonts w:ascii="Arial" w:cs="Arial" w:eastAsia="Arial" w:hAnsi="Arial"/>
                <w:sz w:val="13"/>
                <w:szCs w:val="13"/>
                <w:color w:val="auto"/>
              </w:rPr>
              <w:t>Non-accelerated filer</w:t>
            </w:r>
          </w:p>
        </w:tc>
        <w:tc>
          <w:tcPr>
            <w:tcW w:w="36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ind w:left="3300"/>
              <w:spacing w:after="0"/>
              <w:rPr>
                <w:sz w:val="20"/>
                <w:szCs w:val="20"/>
                <w:color w:val="auto"/>
              </w:rPr>
            </w:pPr>
            <w:r>
              <w:rPr>
                <w:rFonts w:ascii="Arial" w:cs="Arial" w:eastAsia="Arial" w:hAnsi="Arial"/>
                <w:sz w:val="13"/>
                <w:szCs w:val="13"/>
                <w:color w:val="auto"/>
              </w:rPr>
              <w:t>Smaller reporting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960" w:type="dxa"/>
            <w:vAlign w:val="bottom"/>
          </w:tcPr>
          <w:p>
            <w:pPr>
              <w:ind w:left="3300"/>
              <w:spacing w:after="0"/>
              <w:rPr>
                <w:sz w:val="20"/>
                <w:szCs w:val="20"/>
                <w:color w:val="auto"/>
              </w:rPr>
            </w:pPr>
            <w:r>
              <w:rPr>
                <w:rFonts w:ascii="Arial" w:cs="Arial" w:eastAsia="Arial" w:hAnsi="Arial"/>
                <w:sz w:val="13"/>
                <w:szCs w:val="13"/>
                <w:color w:val="auto"/>
              </w:rPr>
              <w:t>Emerging growth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9" w:lineRule="exact"/>
        <w:rPr>
          <w:sz w:val="24"/>
          <w:szCs w:val="24"/>
          <w:color w:val="auto"/>
        </w:rPr>
      </w:pPr>
    </w:p>
    <w:p>
      <w:pPr>
        <w:ind w:left="460" w:right="560" w:firstLine="413"/>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102870</wp:posOffset>
            </wp:positionV>
            <wp:extent cx="1383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10" w:lineRule="exact"/>
        <w:rPr>
          <w:sz w:val="24"/>
          <w:szCs w:val="24"/>
          <w:color w:val="auto"/>
        </w:rPr>
      </w:pPr>
    </w:p>
    <w:p>
      <w:pPr>
        <w:ind w:left="4320"/>
        <w:spacing w:after="0"/>
        <w:rPr>
          <w:sz w:val="20"/>
          <w:szCs w:val="20"/>
          <w:color w:val="auto"/>
        </w:rPr>
      </w:pPr>
      <w:r>
        <w:rPr>
          <w:rFonts w:ascii="Arial" w:cs="Arial" w:eastAsia="Arial" w:hAnsi="Arial"/>
          <w:sz w:val="13"/>
          <w:szCs w:val="13"/>
          <w:b w:val="1"/>
          <w:bCs w:val="1"/>
          <w:color w:val="auto"/>
        </w:rPr>
        <w:t>CALCULATION OF REGISTRATION FEE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4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97"/>
        </w:trPr>
        <w:tc>
          <w:tcPr>
            <w:tcW w:w="20" w:type="dxa"/>
            <w:vAlign w:val="bottom"/>
          </w:tcPr>
          <w:p>
            <w:pPr>
              <w:spacing w:after="0"/>
              <w:rPr>
                <w:sz w:val="8"/>
                <w:szCs w:val="8"/>
                <w:color w:val="auto"/>
              </w:rPr>
            </w:pPr>
          </w:p>
        </w:tc>
        <w:tc>
          <w:tcPr>
            <w:tcW w:w="39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740" w:type="dxa"/>
            <w:vAlign w:val="bottom"/>
            <w:tcBorders>
              <w:right w:val="single" w:sz="8" w:color="auto"/>
            </w:tcBorders>
          </w:tcPr>
          <w:p>
            <w:pPr>
              <w:jc w:val="center"/>
              <w:ind w:left="15"/>
              <w:spacing w:after="0" w:line="97" w:lineRule="exact"/>
              <w:rPr>
                <w:sz w:val="20"/>
                <w:szCs w:val="20"/>
                <w:color w:val="auto"/>
              </w:rPr>
            </w:pPr>
            <w:r>
              <w:rPr>
                <w:rFonts w:ascii="Arial" w:cs="Arial" w:eastAsia="Arial" w:hAnsi="Arial"/>
                <w:sz w:val="11"/>
                <w:szCs w:val="11"/>
                <w:b w:val="1"/>
                <w:bCs w:val="1"/>
                <w:color w:val="auto"/>
              </w:rPr>
              <w:t>Proposed</w:t>
            </w:r>
          </w:p>
        </w:tc>
        <w:tc>
          <w:tcPr>
            <w:tcW w:w="1540" w:type="dxa"/>
            <w:vAlign w:val="bottom"/>
          </w:tcPr>
          <w:p>
            <w:pPr>
              <w:spacing w:after="0"/>
              <w:rPr>
                <w:sz w:val="8"/>
                <w:szCs w:val="8"/>
                <w:color w:val="auto"/>
              </w:rPr>
            </w:pPr>
          </w:p>
        </w:tc>
      </w:tr>
      <w:tr>
        <w:trPr>
          <w:trHeight w:val="147"/>
        </w:trPr>
        <w:tc>
          <w:tcPr>
            <w:tcW w:w="20" w:type="dxa"/>
            <w:vAlign w:val="bottom"/>
          </w:tcPr>
          <w:p>
            <w:pPr>
              <w:spacing w:after="0"/>
              <w:rPr>
                <w:sz w:val="12"/>
                <w:szCs w:val="12"/>
                <w:color w:val="auto"/>
              </w:rPr>
            </w:pPr>
          </w:p>
        </w:tc>
        <w:tc>
          <w:tcPr>
            <w:tcW w:w="3940" w:type="dxa"/>
            <w:vAlign w:val="bottom"/>
            <w:tcBorders>
              <w:right w:val="single" w:sz="8" w:color="auto"/>
            </w:tcBorders>
          </w:tcPr>
          <w:p>
            <w:pPr>
              <w:jc w:val="right"/>
              <w:ind w:right="1313"/>
              <w:spacing w:after="0" w:line="147" w:lineRule="exact"/>
              <w:rPr>
                <w:sz w:val="20"/>
                <w:szCs w:val="20"/>
                <w:color w:val="auto"/>
              </w:rPr>
            </w:pPr>
            <w:r>
              <w:rPr>
                <w:rFonts w:ascii="Arial" w:cs="Arial" w:eastAsia="Arial" w:hAnsi="Arial"/>
                <w:sz w:val="13"/>
                <w:szCs w:val="13"/>
                <w:b w:val="1"/>
                <w:bCs w:val="1"/>
                <w:color w:val="auto"/>
              </w:rPr>
              <w:t>Title of Each Class of</w:t>
            </w:r>
          </w:p>
        </w:tc>
        <w:tc>
          <w:tcPr>
            <w:tcW w:w="1460" w:type="dxa"/>
            <w:vAlign w:val="bottom"/>
            <w:tcBorders>
              <w:right w:val="single" w:sz="8" w:color="auto"/>
            </w:tcBorders>
          </w:tcPr>
          <w:p>
            <w:pPr>
              <w:ind w:left="360"/>
              <w:spacing w:after="0" w:line="147" w:lineRule="exact"/>
              <w:rPr>
                <w:sz w:val="20"/>
                <w:szCs w:val="20"/>
                <w:color w:val="auto"/>
              </w:rPr>
            </w:pPr>
            <w:r>
              <w:rPr>
                <w:rFonts w:ascii="Arial" w:cs="Arial" w:eastAsia="Arial" w:hAnsi="Arial"/>
                <w:sz w:val="13"/>
                <w:szCs w:val="13"/>
                <w:b w:val="1"/>
                <w:bCs w:val="1"/>
                <w:color w:val="auto"/>
              </w:rPr>
              <w:t>Amount to be</w:t>
            </w:r>
          </w:p>
        </w:tc>
        <w:tc>
          <w:tcPr>
            <w:tcW w:w="16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w w:val="98"/>
              </w:rPr>
              <w:t>Maximum Offering</w:t>
            </w:r>
          </w:p>
        </w:tc>
        <w:tc>
          <w:tcPr>
            <w:tcW w:w="1740" w:type="dxa"/>
            <w:vAlign w:val="bottom"/>
            <w:tcBorders>
              <w:right w:val="single" w:sz="8" w:color="auto"/>
            </w:tcBorders>
          </w:tcPr>
          <w:p>
            <w:pPr>
              <w:jc w:val="center"/>
              <w:ind w:left="15"/>
              <w:spacing w:after="0" w:line="147" w:lineRule="exact"/>
              <w:rPr>
                <w:sz w:val="20"/>
                <w:szCs w:val="20"/>
                <w:color w:val="auto"/>
              </w:rPr>
            </w:pPr>
            <w:r>
              <w:rPr>
                <w:rFonts w:ascii="Arial" w:cs="Arial" w:eastAsia="Arial" w:hAnsi="Arial"/>
                <w:sz w:val="13"/>
                <w:szCs w:val="13"/>
                <w:b w:val="1"/>
                <w:bCs w:val="1"/>
                <w:color w:val="auto"/>
                <w:w w:val="95"/>
              </w:rPr>
              <w:t>Maximum Aggregate</w:t>
            </w:r>
          </w:p>
        </w:tc>
        <w:tc>
          <w:tcPr>
            <w:tcW w:w="1540" w:type="dxa"/>
            <w:vAlign w:val="bottom"/>
          </w:tcPr>
          <w:p>
            <w:pPr>
              <w:jc w:val="center"/>
              <w:ind w:left="13"/>
              <w:spacing w:after="0" w:line="147" w:lineRule="exact"/>
              <w:rPr>
                <w:sz w:val="20"/>
                <w:szCs w:val="20"/>
                <w:color w:val="auto"/>
              </w:rPr>
            </w:pPr>
            <w:r>
              <w:rPr>
                <w:rFonts w:ascii="Arial" w:cs="Arial" w:eastAsia="Arial" w:hAnsi="Arial"/>
                <w:sz w:val="13"/>
                <w:szCs w:val="13"/>
                <w:b w:val="1"/>
                <w:bCs w:val="1"/>
                <w:color w:val="auto"/>
                <w:w w:val="95"/>
              </w:rPr>
              <w:t>Amount of</w:t>
            </w:r>
          </w:p>
        </w:tc>
      </w:tr>
      <w:tr>
        <w:trPr>
          <w:trHeight w:val="165"/>
        </w:trPr>
        <w:tc>
          <w:tcPr>
            <w:tcW w:w="20" w:type="dxa"/>
            <w:vAlign w:val="bottom"/>
          </w:tcPr>
          <w:p>
            <w:pPr>
              <w:spacing w:after="0"/>
              <w:rPr>
                <w:sz w:val="14"/>
                <w:szCs w:val="14"/>
                <w:color w:val="auto"/>
              </w:rPr>
            </w:pPr>
          </w:p>
        </w:tc>
        <w:tc>
          <w:tcPr>
            <w:tcW w:w="3940" w:type="dxa"/>
            <w:vAlign w:val="bottom"/>
            <w:tcBorders>
              <w:bottom w:val="single" w:sz="8" w:color="auto"/>
              <w:right w:val="single" w:sz="8" w:color="auto"/>
            </w:tcBorders>
          </w:tcPr>
          <w:p>
            <w:pPr>
              <w:jc w:val="right"/>
              <w:ind w:right="1173"/>
              <w:spacing w:after="0"/>
              <w:rPr>
                <w:sz w:val="20"/>
                <w:szCs w:val="20"/>
                <w:color w:val="auto"/>
              </w:rPr>
            </w:pPr>
            <w:r>
              <w:rPr>
                <w:rFonts w:ascii="Arial" w:cs="Arial" w:eastAsia="Arial" w:hAnsi="Arial"/>
                <w:sz w:val="13"/>
                <w:szCs w:val="13"/>
                <w:b w:val="1"/>
                <w:bCs w:val="1"/>
                <w:color w:val="auto"/>
              </w:rPr>
              <w:t>Securities to be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Registered(1)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Price Per Share</w:t>
            </w:r>
          </w:p>
        </w:tc>
        <w:tc>
          <w:tcPr>
            <w:tcW w:w="17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3"/>
                <w:szCs w:val="13"/>
                <w:b w:val="1"/>
                <w:bCs w:val="1"/>
                <w:color w:val="auto"/>
                <w:w w:val="96"/>
              </w:rPr>
              <w:t>Offering Price(1)(2)</w:t>
            </w:r>
          </w:p>
        </w:tc>
        <w:tc>
          <w:tcPr>
            <w:tcW w:w="154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w w:val="92"/>
              </w:rPr>
              <w:t>Registration Fee</w:t>
            </w:r>
          </w:p>
        </w:tc>
      </w:tr>
      <w:tr>
        <w:trPr>
          <w:trHeight w:val="145"/>
        </w:trPr>
        <w:tc>
          <w:tcPr>
            <w:tcW w:w="20" w:type="dxa"/>
            <w:vAlign w:val="bottom"/>
            <w:tcBorders>
              <w:bottom w:val="single" w:sz="8" w:color="auto"/>
            </w:tcBorders>
          </w:tcPr>
          <w:p>
            <w:pPr>
              <w:spacing w:after="0"/>
              <w:rPr>
                <w:sz w:val="12"/>
                <w:szCs w:val="12"/>
                <w:color w:val="auto"/>
              </w:rPr>
            </w:pPr>
          </w:p>
        </w:tc>
        <w:tc>
          <w:tcPr>
            <w:tcW w:w="3940" w:type="dxa"/>
            <w:vAlign w:val="bottom"/>
            <w:tcBorders>
              <w:bottom w:val="single" w:sz="8" w:color="auto"/>
              <w:right w:val="single" w:sz="8" w:color="auto"/>
            </w:tcBorders>
          </w:tcPr>
          <w:p>
            <w:pPr>
              <w:jc w:val="right"/>
              <w:ind w:right="1153"/>
              <w:spacing w:after="0" w:line="145" w:lineRule="exact"/>
              <w:rPr>
                <w:sz w:val="20"/>
                <w:szCs w:val="20"/>
                <w:color w:val="auto"/>
              </w:rPr>
            </w:pPr>
            <w:r>
              <w:rPr>
                <w:rFonts w:ascii="Arial" w:cs="Arial" w:eastAsia="Arial" w:hAnsi="Arial"/>
                <w:sz w:val="13"/>
                <w:szCs w:val="13"/>
                <w:color w:val="auto"/>
                <w:w w:val="91"/>
              </w:rPr>
              <w:t>Class A common stock, $0.001 par value per share</w:t>
            </w:r>
          </w:p>
        </w:tc>
        <w:tc>
          <w:tcPr>
            <w:tcW w:w="1460" w:type="dxa"/>
            <w:vAlign w:val="bottom"/>
            <w:tcBorders>
              <w:bottom w:val="single" w:sz="8" w:color="auto"/>
              <w:right w:val="single" w:sz="8" w:color="auto"/>
            </w:tcBorders>
          </w:tcPr>
          <w:p>
            <w:pPr>
              <w:jc w:val="right"/>
              <w:ind w:right="333"/>
              <w:spacing w:after="0" w:line="145" w:lineRule="exact"/>
              <w:rPr>
                <w:sz w:val="20"/>
                <w:szCs w:val="20"/>
                <w:color w:val="auto"/>
              </w:rPr>
            </w:pPr>
            <w:r>
              <w:rPr>
                <w:rFonts w:ascii="Arial" w:cs="Arial" w:eastAsia="Arial" w:hAnsi="Arial"/>
                <w:sz w:val="13"/>
                <w:szCs w:val="13"/>
                <w:color w:val="auto"/>
              </w:rPr>
              <w:t>12,650,000</w:t>
            </w:r>
          </w:p>
        </w:tc>
        <w:tc>
          <w:tcPr>
            <w:tcW w:w="1640" w:type="dxa"/>
            <w:vAlign w:val="bottom"/>
            <w:tcBorders>
              <w:bottom w:val="single" w:sz="8" w:color="auto"/>
              <w:right w:val="single" w:sz="8" w:color="auto"/>
            </w:tcBorders>
          </w:tcPr>
          <w:p>
            <w:pPr>
              <w:jc w:val="center"/>
              <w:spacing w:after="0" w:line="145" w:lineRule="exact"/>
              <w:rPr>
                <w:sz w:val="20"/>
                <w:szCs w:val="20"/>
                <w:color w:val="auto"/>
              </w:rPr>
            </w:pPr>
            <w:r>
              <w:rPr>
                <w:rFonts w:ascii="Arial" w:cs="Arial" w:eastAsia="Arial" w:hAnsi="Arial"/>
                <w:sz w:val="13"/>
                <w:szCs w:val="13"/>
                <w:color w:val="auto"/>
                <w:w w:val="95"/>
              </w:rPr>
              <w:t>$42.45</w:t>
            </w:r>
          </w:p>
        </w:tc>
        <w:tc>
          <w:tcPr>
            <w:tcW w:w="1740" w:type="dxa"/>
            <w:vAlign w:val="bottom"/>
            <w:tcBorders>
              <w:bottom w:val="single" w:sz="8" w:color="auto"/>
              <w:right w:val="single" w:sz="8" w:color="auto"/>
            </w:tcBorders>
          </w:tcPr>
          <w:p>
            <w:pPr>
              <w:jc w:val="center"/>
              <w:ind w:left="15"/>
              <w:spacing w:after="0" w:line="145" w:lineRule="exact"/>
              <w:rPr>
                <w:sz w:val="20"/>
                <w:szCs w:val="20"/>
                <w:color w:val="auto"/>
              </w:rPr>
            </w:pPr>
            <w:r>
              <w:rPr>
                <w:rFonts w:ascii="Arial" w:cs="Arial" w:eastAsia="Arial" w:hAnsi="Arial"/>
                <w:sz w:val="13"/>
                <w:szCs w:val="13"/>
                <w:color w:val="auto"/>
                <w:w w:val="93"/>
              </w:rPr>
              <w:t>$536,992,500</w:t>
            </w:r>
          </w:p>
        </w:tc>
        <w:tc>
          <w:tcPr>
            <w:tcW w:w="1540" w:type="dxa"/>
            <w:vAlign w:val="bottom"/>
            <w:tcBorders>
              <w:bottom w:val="single" w:sz="8" w:color="auto"/>
            </w:tcBorders>
          </w:tcPr>
          <w:p>
            <w:pPr>
              <w:jc w:val="center"/>
              <w:ind w:left="13"/>
              <w:spacing w:after="0" w:line="145" w:lineRule="exact"/>
              <w:rPr>
                <w:sz w:val="20"/>
                <w:szCs w:val="20"/>
                <w:color w:val="auto"/>
              </w:rPr>
            </w:pPr>
            <w:r>
              <w:rPr>
                <w:rFonts w:ascii="Arial" w:cs="Arial" w:eastAsia="Arial" w:hAnsi="Arial"/>
                <w:sz w:val="13"/>
                <w:szCs w:val="13"/>
                <w:color w:val="auto"/>
                <w:w w:val="95"/>
              </w:rPr>
              <w:t>$49,779.20</w:t>
            </w: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ind w:left="860" w:hanging="403"/>
        <w:spacing w:after="0" w:line="233"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1,650,000 shares of Class A common stock that are subject to the underwriters’ option to purchase additional shares.</w:t>
      </w:r>
    </w:p>
    <w:p>
      <w:pPr>
        <w:ind w:left="860" w:right="80" w:hanging="403"/>
        <w:spacing w:after="0" w:line="234"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in accordance with Rule 457(c) under the Securities Act of 1933, as amended. The proposed maximum offering price per share and proposed maximum aggregate offering price are based on the average of the high and low sales prices of the registrant’s Class A common stock as reported on the Nasdaq Global Select Market on November 12, 2021.</w:t>
      </w:r>
    </w:p>
    <w:p>
      <w:pPr>
        <w:spacing w:after="0" w:line="30" w:lineRule="exact"/>
        <w:rPr>
          <w:sz w:val="24"/>
          <w:szCs w:val="24"/>
          <w:color w:val="auto"/>
        </w:rPr>
      </w:pPr>
    </w:p>
    <w:p>
      <w:pPr>
        <w:ind w:left="460" w:right="80" w:firstLine="413"/>
        <w:spacing w:after="0" w:line="24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46355</wp:posOffset>
            </wp:positionV>
            <wp:extent cx="6562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20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86360</wp:posOffset>
            </wp:positionV>
            <wp:extent cx="65620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ectPr>
          <w:pgSz w:w="11900" w:h="16838" w:orient="portrait"/>
          <w:cols w:equalWidth="0" w:num="1">
            <w:col w:w="10800"/>
          </w:cols>
          <w:pgMar w:left="320" w:top="225" w:right="77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89"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FF4338"/>
        </w:rPr>
        <w:t>Subject to Completion, Dated November 15, 2021</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78105</wp:posOffset>
            </wp:positionV>
            <wp:extent cx="2010410" cy="410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0410" cy="41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11,000,000 Shares</w:t>
      </w:r>
    </w:p>
    <w:p>
      <w:pPr>
        <w:spacing w:after="0" w:line="36" w:lineRule="exact"/>
        <w:rPr>
          <w:sz w:val="20"/>
          <w:szCs w:val="20"/>
          <w:color w:val="auto"/>
        </w:rPr>
      </w:pPr>
    </w:p>
    <w:p>
      <w:pPr>
        <w:jc w:val="center"/>
        <w:ind w:right="-479"/>
        <w:spacing w:after="0"/>
        <w:rPr>
          <w:sz w:val="20"/>
          <w:szCs w:val="20"/>
          <w:color w:val="auto"/>
        </w:rPr>
      </w:pPr>
      <w:r>
        <w:rPr>
          <w:rFonts w:ascii="Arial" w:cs="Arial" w:eastAsia="Arial" w:hAnsi="Arial"/>
          <w:sz w:val="30"/>
          <w:szCs w:val="30"/>
          <w:b w:val="1"/>
          <w:bCs w:val="1"/>
          <w:color w:val="auto"/>
        </w:rPr>
        <w:t>Definitive Healthcare Corp.</w:t>
      </w:r>
    </w:p>
    <w:p>
      <w:pPr>
        <w:spacing w:after="0" w:line="6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127635</wp:posOffset>
            </wp:positionV>
            <wp:extent cx="1383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26"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6"/>
          <w:szCs w:val="16"/>
          <w:color w:val="auto"/>
        </w:rPr>
        <w:t>We are offering 11,000,000 shares of Class A common stock of Definitive Healthcare Corp. Our Class A common stock is listed on Nasdaq Global Select Market (“Nasdaq”) under the symbol “DH.” On November 12, 2021, the last sale price of our common stock as reported on Nasdaq was $41.90 per share. In this prospectus, unless the context otherwise requires, “Definitive,” the “Company,” “we,” “us” and “our” refer to Definitive Healthcare Corp, Definitive OpCo (as defined herein) and their subsidiaries.</w:t>
      </w:r>
    </w:p>
    <w:p>
      <w:pPr>
        <w:spacing w:after="0" w:line="25"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6"/>
          <w:szCs w:val="16"/>
          <w:color w:val="auto"/>
        </w:rPr>
        <w:t>We have two classes of common stock: Class A common stock and Class B common stock. Holders of shares of our Class A common stock are entitled to one vote for each share of Class A common stock held of record on all matters on which stockholders are entitled to vote generally. Holders of shares of our Class B common stock are entitled to one vote for each share of Class B common stock held of record on all matters on which stockholders of Definitive Healthcare Corp. are entitled to vote generally. See “Description of Capital Stock.” The number of outstanding LLC Units (as defined herein) of Definitive OpCo will equal the aggregate number of outstanding shares of Class A common stock and Class B common stock. See “Prospectus Summary—Organizational Structure.”</w:t>
      </w:r>
    </w:p>
    <w:p>
      <w:pPr>
        <w:spacing w:after="0" w:line="27" w:lineRule="exact"/>
        <w:rPr>
          <w:sz w:val="20"/>
          <w:szCs w:val="20"/>
          <w:color w:val="auto"/>
        </w:rPr>
      </w:pPr>
    </w:p>
    <w:p>
      <w:pPr>
        <w:ind w:left="460" w:right="60" w:firstLine="413"/>
        <w:spacing w:after="0" w:line="261" w:lineRule="auto"/>
        <w:rPr>
          <w:sz w:val="20"/>
          <w:szCs w:val="20"/>
          <w:color w:val="auto"/>
        </w:rPr>
      </w:pPr>
      <w:r>
        <w:rPr>
          <w:rFonts w:ascii="Arial" w:cs="Arial" w:eastAsia="Arial" w:hAnsi="Arial"/>
          <w:sz w:val="16"/>
          <w:szCs w:val="16"/>
          <w:color w:val="auto"/>
        </w:rPr>
        <w:t>As a result, certain Unitholders will be able to significantly influence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20" w:lineRule="exact"/>
        <w:rPr>
          <w:sz w:val="20"/>
          <w:szCs w:val="20"/>
          <w:color w:val="auto"/>
        </w:rPr>
      </w:pPr>
    </w:p>
    <w:p>
      <w:pPr>
        <w:ind w:left="460" w:firstLine="413"/>
        <w:spacing w:after="0" w:line="252" w:lineRule="auto"/>
        <w:rPr>
          <w:sz w:val="20"/>
          <w:szCs w:val="20"/>
          <w:color w:val="auto"/>
        </w:rPr>
      </w:pPr>
      <w:r>
        <w:rPr>
          <w:rFonts w:ascii="Arial" w:cs="Arial" w:eastAsia="Arial" w:hAnsi="Arial"/>
          <w:sz w:val="16"/>
          <w:szCs w:val="16"/>
          <w:color w:val="auto"/>
        </w:rPr>
        <w:t>We intend to use the net proceeds from this offering (i) for acquisitions or investments and general corporate purposes, including purchasing 7,000,000 newly issued LLC Units from Definitive OpCo, and (ii) to repurchase an aggregate of 2,233,238 shares of Class A common stock and purchase 1,766,762 LLC Units in Definitive OpCo from existing holders, including our Sponsors, officers, directors and their affiliates, in a “synthetic secondary” transaction, at a price per share of Class A common stock and per LLC Unit in each case, equal to the public offering price of Class A common stock less the underwriting discounts. In the event the underwriters exercise their option to purchase additional shares, we will use the net proceeds to repurchase additional shares of Class A common stock and to purchase additional limited liability interests in Definitive OpCo from existing holders. See “Use of Proceeds” and “Certain Relationships and Related Party Transactions.”</w:t>
      </w:r>
    </w:p>
    <w:p>
      <w:pPr>
        <w:spacing w:after="0" w:line="28" w:lineRule="exact"/>
        <w:rPr>
          <w:sz w:val="20"/>
          <w:szCs w:val="20"/>
          <w:color w:val="auto"/>
        </w:rPr>
      </w:pPr>
    </w:p>
    <w:p>
      <w:pPr>
        <w:ind w:left="460" w:right="320" w:firstLine="413"/>
        <w:spacing w:after="0" w:line="275" w:lineRule="auto"/>
        <w:rPr>
          <w:sz w:val="20"/>
          <w:szCs w:val="20"/>
          <w:color w:val="auto"/>
        </w:rPr>
      </w:pPr>
      <w:r>
        <w:rPr>
          <w:rFonts w:ascii="Arial" w:cs="Arial" w:eastAsia="Arial" w:hAnsi="Arial"/>
          <w:sz w:val="16"/>
          <w:szCs w:val="16"/>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5" w:lineRule="exact"/>
        <w:rPr>
          <w:sz w:val="20"/>
          <w:szCs w:val="20"/>
          <w:color w:val="auto"/>
        </w:rPr>
      </w:pPr>
    </w:p>
    <w:p>
      <w:pPr>
        <w:ind w:left="460" w:right="240" w:firstLine="413"/>
        <w:spacing w:after="0" w:line="28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risk. See “</w:t>
      </w:r>
      <w:hyperlink w:anchor="page3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on page 28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86995</wp:posOffset>
            </wp:positionV>
            <wp:extent cx="1383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59" w:lineRule="exact"/>
        <w:rPr>
          <w:sz w:val="20"/>
          <w:szCs w:val="20"/>
          <w:color w:val="auto"/>
        </w:rPr>
      </w:pPr>
    </w:p>
    <w:p>
      <w:pPr>
        <w:ind w:left="460" w:right="620" w:firstLine="413"/>
        <w:spacing w:after="0" w:line="314"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6"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3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jc w:val="right"/>
              <w:ind w:right="29"/>
              <w:spacing w:after="0"/>
              <w:rPr>
                <w:sz w:val="20"/>
                <w:szCs w:val="20"/>
                <w:color w:val="auto"/>
              </w:rPr>
            </w:pPr>
            <w:r>
              <w:rPr>
                <w:rFonts w:ascii="Arial" w:cs="Arial" w:eastAsia="Arial" w:hAnsi="Arial"/>
                <w:sz w:val="13"/>
                <w:szCs w:val="13"/>
                <w:b w:val="1"/>
                <w:bCs w:val="1"/>
                <w:color w:val="auto"/>
              </w:rPr>
              <w:t>Per Share</w:t>
            </w:r>
          </w:p>
        </w:tc>
        <w:tc>
          <w:tcPr>
            <w:tcW w:w="460" w:type="dxa"/>
            <w:vAlign w:val="bottom"/>
          </w:tcPr>
          <w:p>
            <w:pPr>
              <w:spacing w:after="0"/>
              <w:rPr>
                <w:sz w:val="13"/>
                <w:szCs w:val="13"/>
                <w:color w:val="auto"/>
              </w:rPr>
            </w:pPr>
          </w:p>
        </w:tc>
        <w:tc>
          <w:tcPr>
            <w:tcW w:w="88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r>
      <w:tr>
        <w:trPr>
          <w:trHeight w:val="183"/>
        </w:trPr>
        <w:tc>
          <w:tcPr>
            <w:tcW w:w="39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Public offering price</w:t>
            </w:r>
          </w:p>
        </w:tc>
        <w:tc>
          <w:tcPr>
            <w:tcW w:w="18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2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90"/>
        </w:trPr>
        <w:tc>
          <w:tcPr>
            <w:tcW w:w="3900" w:type="dxa"/>
            <w:vAlign w:val="bottom"/>
          </w:tcPr>
          <w:p>
            <w:pPr>
              <w:spacing w:after="0" w:line="190" w:lineRule="exact"/>
              <w:rPr>
                <w:sz w:val="20"/>
                <w:szCs w:val="20"/>
                <w:color w:val="auto"/>
              </w:rPr>
            </w:pPr>
            <w:r>
              <w:rPr>
                <w:rFonts w:ascii="Arial" w:cs="Arial" w:eastAsia="Arial" w:hAnsi="Arial"/>
                <w:sz w:val="16"/>
                <w:szCs w:val="16"/>
                <w:color w:val="auto"/>
              </w:rPr>
              <w:t>Underwriting discounts</w:t>
            </w:r>
            <w:r>
              <w:rPr>
                <w:rFonts w:ascii="Arial" w:cs="Arial" w:eastAsia="Arial" w:hAnsi="Arial"/>
                <w:sz w:val="22"/>
                <w:szCs w:val="22"/>
                <w:color w:val="auto"/>
                <w:vertAlign w:val="superscript"/>
              </w:rPr>
              <w:t>(1)</w:t>
            </w:r>
          </w:p>
        </w:tc>
        <w:tc>
          <w:tcPr>
            <w:tcW w:w="2600" w:type="dxa"/>
            <w:vAlign w:val="bottom"/>
            <w:gridSpan w:val="2"/>
          </w:tcPr>
          <w:p>
            <w:pPr>
              <w:jc w:val="right"/>
              <w:ind w:right="62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6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90"/>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1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0" w:lineRule="exact"/>
        <w:rPr>
          <w:sz w:val="20"/>
          <w:szCs w:val="20"/>
          <w:color w:val="auto"/>
        </w:rPr>
      </w:pPr>
    </w:p>
    <w:p>
      <w:pPr>
        <w:ind w:left="860" w:hanging="403"/>
        <w:spacing w:after="0"/>
        <w:tabs>
          <w:tab w:leader="none" w:pos="86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refer you to “Underwriting,” beginning on page 184 of this prospectus, for additional information regarding total underwriter compensation.</w:t>
      </w:r>
    </w:p>
    <w:p>
      <w:pPr>
        <w:spacing w:after="0" w:line="68" w:lineRule="exact"/>
        <w:rPr>
          <w:sz w:val="20"/>
          <w:szCs w:val="20"/>
          <w:color w:val="auto"/>
        </w:rPr>
      </w:pPr>
    </w:p>
    <w:p>
      <w:pPr>
        <w:ind w:left="460" w:right="200" w:firstLine="413"/>
        <w:spacing w:after="0" w:line="275" w:lineRule="auto"/>
        <w:rPr>
          <w:sz w:val="20"/>
          <w:szCs w:val="20"/>
          <w:color w:val="auto"/>
        </w:rPr>
      </w:pPr>
      <w:r>
        <w:rPr>
          <w:rFonts w:ascii="Arial" w:cs="Arial" w:eastAsia="Arial" w:hAnsi="Arial"/>
          <w:sz w:val="16"/>
          <w:szCs w:val="16"/>
          <w:color w:val="auto"/>
        </w:rPr>
        <w:t>The underwriters have an option to purchase up to an additional 1,650,000 shares of Class A common stock from us at the public offering price less the underwriting discounts.</w:t>
      </w:r>
    </w:p>
    <w:p>
      <w:pPr>
        <w:spacing w:after="0" w:line="5" w:lineRule="exact"/>
        <w:rPr>
          <w:sz w:val="20"/>
          <w:szCs w:val="20"/>
          <w:color w:val="auto"/>
        </w:rPr>
      </w:pPr>
    </w:p>
    <w:tbl>
      <w:tblPr>
        <w:tblLayout w:type="fixed"/>
        <w:tblInd w:w="880" w:type="dxa"/>
        <w:tblCellMar>
          <w:top w:w="0" w:type="dxa"/>
          <w:left w:w="0" w:type="dxa"/>
          <w:bottom w:w="0" w:type="dxa"/>
          <w:right w:w="0" w:type="dxa"/>
        </w:tblCellMar>
      </w:tblPr>
      <w:tr>
        <w:trPr>
          <w:trHeight w:val="209"/>
        </w:trPr>
        <w:tc>
          <w:tcPr>
            <w:tcW w:w="6460" w:type="dxa"/>
            <w:vAlign w:val="bottom"/>
          </w:tcPr>
          <w:p>
            <w:pPr>
              <w:spacing w:after="0"/>
              <w:rPr>
                <w:sz w:val="20"/>
                <w:szCs w:val="20"/>
                <w:color w:val="auto"/>
              </w:rPr>
            </w:pPr>
            <w:r>
              <w:rPr>
                <w:rFonts w:ascii="Arial" w:cs="Arial" w:eastAsia="Arial" w:hAnsi="Arial"/>
                <w:sz w:val="16"/>
                <w:szCs w:val="16"/>
                <w:b w:val="1"/>
                <w:bCs w:val="1"/>
                <w:color w:val="auto"/>
                <w:w w:val="95"/>
              </w:rPr>
              <w:t>The underwriters expect to deliver the shares against payment in New York, New York on</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106045</wp:posOffset>
            </wp:positionV>
            <wp:extent cx="1383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2940" w:type="dxa"/>
            <w:vAlign w:val="bottom"/>
            <w:gridSpan w:val="2"/>
          </w:tcPr>
          <w:p>
            <w:pPr>
              <w:spacing w:after="0"/>
              <w:rPr>
                <w:sz w:val="20"/>
                <w:szCs w:val="20"/>
                <w:color w:val="auto"/>
              </w:rPr>
            </w:pPr>
            <w:r>
              <w:rPr>
                <w:rFonts w:ascii="Arial" w:cs="Arial" w:eastAsia="Arial" w:hAnsi="Arial"/>
                <w:sz w:val="19"/>
                <w:szCs w:val="19"/>
                <w:b w:val="1"/>
                <w:bCs w:val="1"/>
                <w:color w:val="auto"/>
              </w:rPr>
              <w:t>Goldman Sachs &amp; Co. LLC*</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9"/>
                <w:szCs w:val="19"/>
                <w:b w:val="1"/>
                <w:bCs w:val="1"/>
                <w:color w:val="auto"/>
              </w:rPr>
              <w:t>J.P. Morgan*</w:t>
            </w:r>
          </w:p>
        </w:tc>
        <w:tc>
          <w:tcPr>
            <w:tcW w:w="0" w:type="dxa"/>
            <w:vAlign w:val="bottom"/>
          </w:tcPr>
          <w:p>
            <w:pPr>
              <w:spacing w:after="0"/>
              <w:rPr>
                <w:sz w:val="1"/>
                <w:szCs w:val="1"/>
                <w:color w:val="auto"/>
              </w:rPr>
            </w:pPr>
          </w:p>
        </w:tc>
      </w:tr>
      <w:tr>
        <w:trPr>
          <w:trHeight w:val="224"/>
        </w:trPr>
        <w:tc>
          <w:tcPr>
            <w:tcW w:w="2940" w:type="dxa"/>
            <w:vAlign w:val="bottom"/>
            <w:gridSpan w:val="2"/>
          </w:tcPr>
          <w:p>
            <w:pPr>
              <w:spacing w:after="0"/>
              <w:rPr>
                <w:sz w:val="20"/>
                <w:szCs w:val="20"/>
                <w:color w:val="auto"/>
              </w:rPr>
            </w:pPr>
            <w:r>
              <w:rPr>
                <w:rFonts w:ascii="Arial" w:cs="Arial" w:eastAsia="Arial" w:hAnsi="Arial"/>
                <w:sz w:val="19"/>
                <w:szCs w:val="19"/>
                <w:b w:val="1"/>
                <w:bCs w:val="1"/>
                <w:color w:val="auto"/>
              </w:rPr>
              <w:t>Morgan Stanley</w:t>
            </w:r>
          </w:p>
        </w:tc>
        <w:tc>
          <w:tcPr>
            <w:tcW w:w="2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9"/>
                <w:szCs w:val="19"/>
                <w:b w:val="1"/>
                <w:bCs w:val="1"/>
                <w:color w:val="auto"/>
              </w:rPr>
              <w:t>Barclays</w:t>
            </w:r>
          </w:p>
        </w:tc>
        <w:tc>
          <w:tcPr>
            <w:tcW w:w="0" w:type="dxa"/>
            <w:vAlign w:val="bottom"/>
          </w:tcPr>
          <w:p>
            <w:pPr>
              <w:spacing w:after="0"/>
              <w:rPr>
                <w:sz w:val="1"/>
                <w:szCs w:val="1"/>
                <w:color w:val="auto"/>
              </w:rPr>
            </w:pPr>
          </w:p>
        </w:tc>
      </w:tr>
      <w:tr>
        <w:trPr>
          <w:trHeight w:val="190"/>
        </w:trPr>
        <w:tc>
          <w:tcPr>
            <w:tcW w:w="2940" w:type="dxa"/>
            <w:vAlign w:val="bottom"/>
            <w:gridSpan w:val="2"/>
          </w:tcPr>
          <w:p>
            <w:pPr>
              <w:spacing w:after="0"/>
              <w:rPr>
                <w:sz w:val="20"/>
                <w:szCs w:val="20"/>
                <w:color w:val="auto"/>
              </w:rPr>
            </w:pPr>
            <w:r>
              <w:rPr>
                <w:rFonts w:ascii="Arial" w:cs="Arial" w:eastAsia="Arial" w:hAnsi="Arial"/>
                <w:sz w:val="15"/>
                <w:szCs w:val="15"/>
                <w:b w:val="1"/>
                <w:bCs w:val="1"/>
                <w:color w:val="auto"/>
              </w:rPr>
              <w:t>Credit Suisse</w:t>
            </w:r>
          </w:p>
        </w:tc>
        <w:tc>
          <w:tcPr>
            <w:tcW w:w="2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5"/>
                <w:szCs w:val="15"/>
                <w:b w:val="1"/>
                <w:bCs w:val="1"/>
                <w:color w:val="auto"/>
              </w:rPr>
              <w:t>Deutsche Bank Securities</w:t>
            </w:r>
          </w:p>
        </w:tc>
        <w:tc>
          <w:tcPr>
            <w:tcW w:w="0" w:type="dxa"/>
            <w:vAlign w:val="bottom"/>
          </w:tcPr>
          <w:p>
            <w:pPr>
              <w:spacing w:after="0"/>
              <w:rPr>
                <w:sz w:val="1"/>
                <w:szCs w:val="1"/>
                <w:color w:val="auto"/>
              </w:rPr>
            </w:pPr>
          </w:p>
        </w:tc>
      </w:tr>
      <w:tr>
        <w:trPr>
          <w:trHeight w:val="195"/>
        </w:trPr>
        <w:tc>
          <w:tcPr>
            <w:tcW w:w="2940" w:type="dxa"/>
            <w:vAlign w:val="bottom"/>
            <w:gridSpan w:val="2"/>
          </w:tcPr>
          <w:p>
            <w:pPr>
              <w:spacing w:after="0"/>
              <w:rPr>
                <w:sz w:val="20"/>
                <w:szCs w:val="20"/>
                <w:color w:val="auto"/>
              </w:rPr>
            </w:pPr>
            <w:r>
              <w:rPr>
                <w:rFonts w:ascii="Arial" w:cs="Arial" w:eastAsia="Arial" w:hAnsi="Arial"/>
                <w:sz w:val="15"/>
                <w:szCs w:val="15"/>
                <w:b w:val="1"/>
                <w:bCs w:val="1"/>
                <w:color w:val="auto"/>
              </w:rPr>
              <w:t>Canaccord Genuity</w:t>
            </w:r>
          </w:p>
        </w:tc>
        <w:tc>
          <w:tcPr>
            <w:tcW w:w="2540" w:type="dxa"/>
            <w:vAlign w:val="bottom"/>
          </w:tcPr>
          <w:p>
            <w:pPr>
              <w:ind w:left="760"/>
              <w:spacing w:after="0"/>
              <w:rPr>
                <w:sz w:val="20"/>
                <w:szCs w:val="20"/>
                <w:color w:val="auto"/>
              </w:rPr>
            </w:pPr>
            <w:r>
              <w:rPr>
                <w:rFonts w:ascii="Arial" w:cs="Arial" w:eastAsia="Arial" w:hAnsi="Arial"/>
                <w:sz w:val="15"/>
                <w:szCs w:val="15"/>
                <w:b w:val="1"/>
                <w:bCs w:val="1"/>
                <w:color w:val="auto"/>
              </w:rPr>
              <w:t>Raymond James</w:t>
            </w:r>
          </w:p>
        </w:tc>
        <w:tc>
          <w:tcPr>
            <w:tcW w:w="580" w:type="dxa"/>
            <w:vAlign w:val="bottom"/>
          </w:tcPr>
          <w:p>
            <w:pPr>
              <w:spacing w:after="0"/>
              <w:rPr>
                <w:sz w:val="20"/>
                <w:szCs w:val="20"/>
                <w:color w:val="auto"/>
              </w:rPr>
            </w:pPr>
            <w:r>
              <w:rPr>
                <w:rFonts w:ascii="Arial" w:cs="Arial" w:eastAsia="Arial" w:hAnsi="Arial"/>
                <w:sz w:val="15"/>
                <w:szCs w:val="15"/>
                <w:b w:val="1"/>
                <w:bCs w:val="1"/>
                <w:color w:val="auto"/>
              </w:rPr>
              <w:t>Stifel</w:t>
            </w:r>
          </w:p>
        </w:tc>
        <w:tc>
          <w:tcPr>
            <w:tcW w:w="1920" w:type="dxa"/>
            <w:vAlign w:val="bottom"/>
          </w:tcPr>
          <w:p>
            <w:pPr>
              <w:jc w:val="right"/>
              <w:ind w:right="442"/>
              <w:spacing w:after="0"/>
              <w:rPr>
                <w:sz w:val="20"/>
                <w:szCs w:val="20"/>
                <w:color w:val="auto"/>
              </w:rPr>
            </w:pPr>
            <w:r>
              <w:rPr>
                <w:rFonts w:ascii="Arial" w:cs="Arial" w:eastAsia="Arial" w:hAnsi="Arial"/>
                <w:sz w:val="15"/>
                <w:szCs w:val="15"/>
                <w:b w:val="1"/>
                <w:bCs w:val="1"/>
                <w:color w:val="auto"/>
              </w:rPr>
              <w:t>Drexel Hamilton</w:t>
            </w:r>
          </w:p>
        </w:tc>
        <w:tc>
          <w:tcPr>
            <w:tcW w:w="2260" w:type="dxa"/>
            <w:vAlign w:val="bottom"/>
          </w:tcPr>
          <w:p>
            <w:pPr>
              <w:jc w:val="right"/>
              <w:spacing w:after="0"/>
              <w:rPr>
                <w:sz w:val="20"/>
                <w:szCs w:val="20"/>
                <w:color w:val="auto"/>
              </w:rPr>
            </w:pPr>
            <w:r>
              <w:rPr>
                <w:rFonts w:ascii="Arial" w:cs="Arial" w:eastAsia="Arial" w:hAnsi="Arial"/>
                <w:sz w:val="15"/>
                <w:szCs w:val="15"/>
                <w:b w:val="1"/>
                <w:bCs w:val="1"/>
                <w:color w:val="auto"/>
              </w:rPr>
              <w:t>Loop Capital Markets</w:t>
            </w:r>
          </w:p>
        </w:tc>
        <w:tc>
          <w:tcPr>
            <w:tcW w:w="0" w:type="dxa"/>
            <w:vAlign w:val="bottom"/>
          </w:tcPr>
          <w:p>
            <w:pPr>
              <w:spacing w:after="0"/>
              <w:rPr>
                <w:sz w:val="1"/>
                <w:szCs w:val="1"/>
                <w:color w:val="auto"/>
              </w:rPr>
            </w:pPr>
          </w:p>
        </w:tc>
      </w:tr>
      <w:tr>
        <w:trPr>
          <w:trHeight w:val="133"/>
        </w:trPr>
        <w:tc>
          <w:tcPr>
            <w:tcW w:w="1140" w:type="dxa"/>
            <w:vAlign w:val="bottom"/>
            <w:tcBorders>
              <w:bottom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940" w:type="dxa"/>
            <w:vAlign w:val="bottom"/>
            <w:gridSpan w:val="2"/>
          </w:tcPr>
          <w:p>
            <w:pPr>
              <w:spacing w:after="0"/>
              <w:rPr>
                <w:sz w:val="20"/>
                <w:szCs w:val="20"/>
                <w:color w:val="auto"/>
              </w:rPr>
            </w:pPr>
            <w:r>
              <w:rPr>
                <w:rFonts w:ascii="Arial" w:cs="Arial" w:eastAsia="Arial" w:hAnsi="Arial"/>
                <w:sz w:val="16"/>
                <w:szCs w:val="16"/>
                <w:color w:val="auto"/>
              </w:rPr>
              <w:t>* In alphabetical order.</w:t>
            </w:r>
          </w:p>
        </w:tc>
        <w:tc>
          <w:tcPr>
            <w:tcW w:w="2540" w:type="dxa"/>
            <w:vAlign w:val="bottom"/>
            <w:vMerge w:val="restart"/>
          </w:tcPr>
          <w:p>
            <w:pPr>
              <w:ind w:left="660"/>
              <w:spacing w:after="0"/>
              <w:rPr>
                <w:sz w:val="20"/>
                <w:szCs w:val="20"/>
                <w:color w:val="auto"/>
              </w:rPr>
            </w:pPr>
            <w:r>
              <w:rPr>
                <w:rFonts w:ascii="Arial" w:cs="Arial" w:eastAsia="Arial" w:hAnsi="Arial"/>
                <w:sz w:val="16"/>
                <w:szCs w:val="16"/>
                <w:color w:val="auto"/>
                <w:w w:val="88"/>
              </w:rPr>
              <w:t>The date of this prospectus is</w:t>
            </w:r>
          </w:p>
        </w:tc>
        <w:tc>
          <w:tcPr>
            <w:tcW w:w="580" w:type="dxa"/>
            <w:vAlign w:val="bottom"/>
          </w:tcPr>
          <w:p>
            <w:pPr>
              <w:spacing w:after="0"/>
              <w:rPr>
                <w:sz w:val="17"/>
                <w:szCs w:val="17"/>
                <w:color w:val="auto"/>
              </w:rPr>
            </w:pPr>
          </w:p>
        </w:tc>
        <w:tc>
          <w:tcPr>
            <w:tcW w:w="1920" w:type="dxa"/>
            <w:vAlign w:val="bottom"/>
            <w:vMerge w:val="restart"/>
          </w:tcPr>
          <w:p>
            <w:pPr>
              <w:jc w:val="right"/>
              <w:ind w:right="1182"/>
              <w:spacing w:after="0"/>
              <w:rPr>
                <w:sz w:val="20"/>
                <w:szCs w:val="20"/>
                <w:color w:val="auto"/>
              </w:rPr>
            </w:pPr>
            <w:r>
              <w:rPr>
                <w:rFonts w:ascii="Arial" w:cs="Arial" w:eastAsia="Arial" w:hAnsi="Arial"/>
                <w:sz w:val="16"/>
                <w:szCs w:val="16"/>
                <w:color w:val="auto"/>
              </w:rPr>
              <w:t>, 2021</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1790065</wp:posOffset>
            </wp:positionV>
            <wp:extent cx="7182485" cy="6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2485" cy="65405"/>
                    </a:xfrm>
                    <a:prstGeom prst="rect">
                      <a:avLst/>
                    </a:prstGeom>
                    <a:noFill/>
                  </pic:spPr>
                </pic:pic>
              </a:graphicData>
            </a:graphic>
          </wp:anchor>
        </w:drawing>
      </w:r>
    </w:p>
    <w:p>
      <w:pPr>
        <w:sectPr>
          <w:pgSz w:w="11900" w:h="16838" w:orient="portrait"/>
          <w:cols w:equalWidth="0" w:num="1">
            <w:col w:w="10780"/>
          </w:cols>
          <w:pgMar w:left="320" w:top="466" w:right="7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780"/>
          </w:cols>
          <w:pgMar w:left="320" w:top="466" w:right="799" w:bottom="0" w:gutter="0" w:footer="0" w:header="0"/>
          <w:type w:val="continuous"/>
        </w:sectPr>
      </w:pPr>
    </w:p>
    <w:bookmarkStart w:id="2" w:name="page3"/>
    <w:bookmarkEnd w:id="2"/>
    <w:p>
      <w:pPr>
        <w:ind w:left="4720"/>
        <w:spacing w:after="0"/>
        <w:rPr>
          <w:sz w:val="20"/>
          <w:szCs w:val="20"/>
          <w:color w:val="auto"/>
        </w:rPr>
      </w:pPr>
      <w:r>
        <w:rPr>
          <w:rFonts w:ascii="Arial" w:cs="Arial" w:eastAsia="Arial" w:hAnsi="Arial"/>
          <w:sz w:val="17"/>
          <w:szCs w:val="17"/>
          <w:b w:val="1"/>
          <w:bCs w:val="1"/>
          <w:color w:val="auto"/>
        </w:rPr>
        <w:t>TABLE OF CONTENTS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1960" w:type="dxa"/>
            <w:vAlign w:val="bottom"/>
            <w:gridSpan w:val="11"/>
            <w:vMerge w:val="restart"/>
          </w:tcPr>
          <w:p>
            <w:pPr>
              <w:spacing w:after="0"/>
              <w:rPr>
                <w:rFonts w:ascii="Arial" w:cs="Arial" w:eastAsia="Arial" w:hAnsi="Arial"/>
                <w:sz w:val="17"/>
                <w:szCs w:val="17"/>
                <w:color w:val="0000EE"/>
                <w:w w:val="92"/>
              </w:rPr>
            </w:pPr>
            <w:hyperlink w:anchor="page8">
              <w:r>
                <w:rPr>
                  <w:rFonts w:ascii="Arial" w:cs="Arial" w:eastAsia="Arial" w:hAnsi="Arial"/>
                  <w:sz w:val="17"/>
                  <w:szCs w:val="17"/>
                  <w:color w:val="0000EE"/>
                  <w:w w:val="92"/>
                </w:rPr>
                <w:t>PROSPECTUS SUMMARY</w:t>
              </w:r>
            </w:hyperlink>
          </w:p>
        </w:tc>
        <w:tc>
          <w:tcPr>
            <w:tcW w:w="8020" w:type="dxa"/>
            <w:vAlign w:val="bottom"/>
            <w:gridSpan w:val="15"/>
            <w:vMerge w:val="restart"/>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0000EE"/>
            </w:tcBorders>
            <w:gridSpan w:val="11"/>
            <w:vMerge w:val="continue"/>
          </w:tcPr>
          <w:p>
            <w:pPr>
              <w:spacing w:after="0"/>
              <w:rPr>
                <w:sz w:val="13"/>
                <w:szCs w:val="13"/>
                <w:color w:val="auto"/>
              </w:rPr>
            </w:pPr>
          </w:p>
        </w:tc>
        <w:tc>
          <w:tcPr>
            <w:tcW w:w="8020" w:type="dxa"/>
            <w:vAlign w:val="bottom"/>
            <w:gridSpan w:val="15"/>
            <w:vMerge w:val="continue"/>
          </w:tcPr>
          <w:p>
            <w:pPr>
              <w:spacing w:after="0"/>
              <w:rPr>
                <w:sz w:val="13"/>
                <w:szCs w:val="13"/>
                <w:color w:val="auto"/>
              </w:rPr>
            </w:pPr>
          </w:p>
        </w:tc>
        <w:tc>
          <w:tcPr>
            <w:tcW w:w="30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20" w:type="dxa"/>
            <w:vAlign w:val="bottom"/>
            <w:tcBorders>
              <w:bottom w:val="single" w:sz="8" w:color="0000EE"/>
            </w:tcBorders>
            <w:gridSpan w:val="13"/>
          </w:tcPr>
          <w:p>
            <w:pPr>
              <w:spacing w:after="0" w:line="183" w:lineRule="exact"/>
              <w:rPr>
                <w:rFonts w:ascii="Arial" w:cs="Arial" w:eastAsia="Arial" w:hAnsi="Arial"/>
                <w:sz w:val="17"/>
                <w:szCs w:val="17"/>
                <w:color w:val="0000EE"/>
                <w:w w:val="96"/>
              </w:rPr>
            </w:pPr>
            <w:hyperlink w:anchor="page15">
              <w:r>
                <w:rPr>
                  <w:rFonts w:ascii="Arial" w:cs="Arial" w:eastAsia="Arial" w:hAnsi="Arial"/>
                  <w:sz w:val="17"/>
                  <w:szCs w:val="17"/>
                  <w:color w:val="0000EE"/>
                  <w:w w:val="96"/>
                </w:rPr>
                <w:t>ORGANIZATIONAL STRUCTURE</w:t>
              </w:r>
            </w:hyperlink>
          </w:p>
        </w:tc>
        <w:tc>
          <w:tcPr>
            <w:tcW w:w="7460" w:type="dxa"/>
            <w:vAlign w:val="bottom"/>
            <w:gridSpan w:val="13"/>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3"/>
        </w:trPr>
        <w:tc>
          <w:tcPr>
            <w:tcW w:w="1200" w:type="dxa"/>
            <w:vAlign w:val="bottom"/>
            <w:tcBorders>
              <w:bottom w:val="single" w:sz="8" w:color="0000EE"/>
            </w:tcBorders>
            <w:gridSpan w:val="4"/>
          </w:tcPr>
          <w:p>
            <w:pPr>
              <w:spacing w:after="0" w:line="183" w:lineRule="exact"/>
              <w:rPr>
                <w:rFonts w:ascii="Arial" w:cs="Arial" w:eastAsia="Arial" w:hAnsi="Arial"/>
                <w:sz w:val="17"/>
                <w:szCs w:val="17"/>
                <w:color w:val="0000EE"/>
                <w:w w:val="93"/>
              </w:rPr>
            </w:pPr>
            <w:hyperlink w:anchor="page24">
              <w:r>
                <w:rPr>
                  <w:rFonts w:ascii="Arial" w:cs="Arial" w:eastAsia="Arial" w:hAnsi="Arial"/>
                  <w:sz w:val="17"/>
                  <w:szCs w:val="17"/>
                  <w:color w:val="0000EE"/>
                  <w:w w:val="93"/>
                </w:rPr>
                <w:t>THE OFFERING</w:t>
              </w:r>
            </w:hyperlink>
          </w:p>
        </w:tc>
        <w:tc>
          <w:tcPr>
            <w:tcW w:w="8780" w:type="dxa"/>
            <w:vAlign w:val="bottom"/>
            <w:gridSpan w:val="22"/>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3"/>
        </w:trPr>
        <w:tc>
          <w:tcPr>
            <w:tcW w:w="7100" w:type="dxa"/>
            <w:vAlign w:val="bottom"/>
            <w:tcBorders>
              <w:bottom w:val="single" w:sz="8" w:color="0000EE"/>
            </w:tcBorders>
            <w:gridSpan w:val="24"/>
          </w:tcPr>
          <w:p>
            <w:pPr>
              <w:spacing w:after="0" w:line="183" w:lineRule="exact"/>
              <w:rPr>
                <w:rFonts w:ascii="Arial" w:cs="Arial" w:eastAsia="Arial" w:hAnsi="Arial"/>
                <w:sz w:val="17"/>
                <w:szCs w:val="17"/>
                <w:color w:val="0000EE"/>
                <w:w w:val="97"/>
              </w:rPr>
            </w:pPr>
            <w:hyperlink w:anchor="page28">
              <w:r>
                <w:rPr>
                  <w:rFonts w:ascii="Arial" w:cs="Arial" w:eastAsia="Arial" w:hAnsi="Arial"/>
                  <w:sz w:val="17"/>
                  <w:szCs w:val="17"/>
                  <w:color w:val="0000EE"/>
                  <w:w w:val="97"/>
                </w:rPr>
                <w:t>SUMMARY HISTORICAL AND PRO FORMA CONSOLIDATED FINANCIAL AND OTHER DATA</w:t>
              </w:r>
            </w:hyperlink>
          </w:p>
        </w:tc>
        <w:tc>
          <w:tcPr>
            <w:tcW w:w="2880" w:type="dxa"/>
            <w:vAlign w:val="bottom"/>
            <w:gridSpan w:val="2"/>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35">
              <w:r>
                <w:rPr>
                  <w:rFonts w:ascii="Arial" w:cs="Arial" w:eastAsia="Arial" w:hAnsi="Arial"/>
                  <w:sz w:val="17"/>
                  <w:szCs w:val="17"/>
                  <w:color w:val="0000EE"/>
                </w:rPr>
                <w:t>RISK FACTORS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74">
              <w:r>
                <w:rPr>
                  <w:rFonts w:ascii="Arial" w:cs="Arial" w:eastAsia="Arial" w:hAnsi="Arial"/>
                  <w:sz w:val="17"/>
                  <w:szCs w:val="17"/>
                  <w:color w:val="0000EE"/>
                </w:rPr>
                <w:t>CAUTIONARY NOTE REGARDING FORWARD-LOOKING STATEMENTS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3"/>
        </w:trPr>
        <w:tc>
          <w:tcPr>
            <w:tcW w:w="1500" w:type="dxa"/>
            <w:vAlign w:val="bottom"/>
            <w:tcBorders>
              <w:top w:val="single" w:sz="8" w:color="0000EE"/>
              <w:bottom w:val="single" w:sz="8" w:color="0000EE"/>
            </w:tcBorders>
            <w:gridSpan w:val="10"/>
          </w:tcPr>
          <w:p>
            <w:pPr>
              <w:spacing w:after="0" w:line="183" w:lineRule="exact"/>
              <w:rPr>
                <w:rFonts w:ascii="Arial" w:cs="Arial" w:eastAsia="Arial" w:hAnsi="Arial"/>
                <w:sz w:val="17"/>
                <w:szCs w:val="17"/>
                <w:color w:val="0000EE"/>
                <w:w w:val="90"/>
              </w:rPr>
            </w:pPr>
            <w:hyperlink w:anchor="page76">
              <w:r>
                <w:rPr>
                  <w:rFonts w:ascii="Arial" w:cs="Arial" w:eastAsia="Arial" w:hAnsi="Arial"/>
                  <w:sz w:val="17"/>
                  <w:szCs w:val="17"/>
                  <w:color w:val="0000EE"/>
                  <w:w w:val="90"/>
                </w:rPr>
                <w:t>USE OF PROCEEDS</w:t>
              </w:r>
            </w:hyperlink>
          </w:p>
        </w:tc>
        <w:tc>
          <w:tcPr>
            <w:tcW w:w="3920" w:type="dxa"/>
            <w:vAlign w:val="bottom"/>
            <w:tcBorders>
              <w:top w:val="single" w:sz="8" w:color="0000EE"/>
            </w:tcBorders>
            <w:gridSpan w:val="11"/>
          </w:tcPr>
          <w:p>
            <w:pPr>
              <w:spacing w:after="0"/>
              <w:rPr>
                <w:sz w:val="15"/>
                <w:szCs w:val="15"/>
                <w:color w:val="auto"/>
              </w:rPr>
            </w:pPr>
          </w:p>
        </w:tc>
        <w:tc>
          <w:tcPr>
            <w:tcW w:w="4560" w:type="dxa"/>
            <w:vAlign w:val="bottom"/>
            <w:gridSpan w:val="5"/>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0000EE"/>
            </w:tcBorders>
            <w:gridSpan w:val="9"/>
          </w:tcPr>
          <w:p>
            <w:pPr>
              <w:spacing w:after="0" w:line="183" w:lineRule="exact"/>
              <w:rPr>
                <w:rFonts w:ascii="Arial" w:cs="Arial" w:eastAsia="Arial" w:hAnsi="Arial"/>
                <w:sz w:val="17"/>
                <w:szCs w:val="17"/>
                <w:color w:val="0000EE"/>
                <w:w w:val="98"/>
              </w:rPr>
            </w:pPr>
            <w:hyperlink w:anchor="page78">
              <w:r>
                <w:rPr>
                  <w:rFonts w:ascii="Arial" w:cs="Arial" w:eastAsia="Arial" w:hAnsi="Arial"/>
                  <w:sz w:val="17"/>
                  <w:szCs w:val="17"/>
                  <w:color w:val="0000EE"/>
                  <w:w w:val="98"/>
                </w:rPr>
                <w:t>DIVIDEND POLICY</w:t>
              </w:r>
            </w:hyperlink>
          </w:p>
        </w:tc>
        <w:tc>
          <w:tcPr>
            <w:tcW w:w="8500" w:type="dxa"/>
            <w:vAlign w:val="bottom"/>
            <w:gridSpan w:val="17"/>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83"/>
        </w:trPr>
        <w:tc>
          <w:tcPr>
            <w:tcW w:w="1380" w:type="dxa"/>
            <w:vAlign w:val="bottom"/>
            <w:tcBorders>
              <w:bottom w:val="single" w:sz="8" w:color="0000EE"/>
            </w:tcBorders>
            <w:gridSpan w:val="8"/>
          </w:tcPr>
          <w:p>
            <w:pPr>
              <w:spacing w:after="0" w:line="183" w:lineRule="exact"/>
              <w:rPr>
                <w:rFonts w:ascii="Arial" w:cs="Arial" w:eastAsia="Arial" w:hAnsi="Arial"/>
                <w:sz w:val="17"/>
                <w:szCs w:val="17"/>
                <w:color w:val="0000EE"/>
                <w:w w:val="98"/>
              </w:rPr>
            </w:pPr>
            <w:hyperlink w:anchor="page79">
              <w:r>
                <w:rPr>
                  <w:rFonts w:ascii="Arial" w:cs="Arial" w:eastAsia="Arial" w:hAnsi="Arial"/>
                  <w:sz w:val="17"/>
                  <w:szCs w:val="17"/>
                  <w:color w:val="0000EE"/>
                  <w:w w:val="98"/>
                </w:rPr>
                <w:t>CAPITALIZATION</w:t>
              </w:r>
            </w:hyperlink>
          </w:p>
        </w:tc>
        <w:tc>
          <w:tcPr>
            <w:tcW w:w="8600" w:type="dxa"/>
            <w:vAlign w:val="bottom"/>
            <w:gridSpan w:val="18"/>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80">
              <w:r>
                <w:rPr>
                  <w:rFonts w:ascii="Arial" w:cs="Arial" w:eastAsia="Arial" w:hAnsi="Arial"/>
                  <w:sz w:val="17"/>
                  <w:szCs w:val="17"/>
                  <w:color w:val="0000EE"/>
                </w:rPr>
                <w:t>UNAUDITED PRO FORMA CONSOLIDATED FINANCIAL INFORMATION</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tcBorders>
              <w:bottom w:val="single" w:sz="8" w:color="0000EE"/>
            </w:tcBorders>
            <w:gridSpan w:val="25"/>
          </w:tcPr>
          <w:p>
            <w:pPr>
              <w:spacing w:after="0" w:line="183" w:lineRule="exact"/>
              <w:rPr>
                <w:rFonts w:ascii="Arial" w:cs="Arial" w:eastAsia="Arial" w:hAnsi="Arial"/>
                <w:sz w:val="17"/>
                <w:szCs w:val="17"/>
                <w:color w:val="0000EE"/>
                <w:w w:val="96"/>
              </w:rPr>
            </w:pPr>
            <w:hyperlink w:anchor="page86">
              <w:r>
                <w:rPr>
                  <w:rFonts w:ascii="Arial" w:cs="Arial" w:eastAsia="Arial" w:hAnsi="Arial"/>
                  <w:sz w:val="17"/>
                  <w:szCs w:val="17"/>
                  <w:color w:val="0000EE"/>
                  <w:w w:val="96"/>
                </w:rPr>
                <w:t>MANAGEMENT’S DISCUSSION AND ANALYSIS OF FINANCIAL CONDITION AND RESULTS OF OPERATIONS</w:t>
              </w:r>
            </w:hyperlink>
          </w:p>
        </w:tc>
        <w:tc>
          <w:tcPr>
            <w:tcW w:w="1620" w:type="dxa"/>
            <w:vAlign w:val="bottom"/>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83"/>
        </w:trPr>
        <w:tc>
          <w:tcPr>
            <w:tcW w:w="800" w:type="dxa"/>
            <w:vAlign w:val="bottom"/>
            <w:tcBorders>
              <w:bottom w:val="single" w:sz="8" w:color="0000EE"/>
            </w:tcBorders>
            <w:gridSpan w:val="2"/>
          </w:tcPr>
          <w:p>
            <w:pPr>
              <w:spacing w:after="0" w:line="183" w:lineRule="exact"/>
              <w:rPr>
                <w:rFonts w:ascii="Arial" w:cs="Arial" w:eastAsia="Arial" w:hAnsi="Arial"/>
                <w:sz w:val="17"/>
                <w:szCs w:val="17"/>
                <w:color w:val="0000EE"/>
                <w:w w:val="90"/>
              </w:rPr>
            </w:pPr>
            <w:hyperlink w:anchor="page117">
              <w:r>
                <w:rPr>
                  <w:rFonts w:ascii="Arial" w:cs="Arial" w:eastAsia="Arial" w:hAnsi="Arial"/>
                  <w:sz w:val="17"/>
                  <w:szCs w:val="17"/>
                  <w:color w:val="0000EE"/>
                  <w:w w:val="90"/>
                </w:rPr>
                <w:t>BUSINESS</w:t>
              </w:r>
            </w:hyperlink>
          </w:p>
        </w:tc>
        <w:tc>
          <w:tcPr>
            <w:tcW w:w="9180" w:type="dxa"/>
            <w:vAlign w:val="bottom"/>
            <w:gridSpan w:val="24"/>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110</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0000EE"/>
            </w:tcBorders>
            <w:gridSpan w:val="5"/>
          </w:tcPr>
          <w:p>
            <w:pPr>
              <w:spacing w:after="0" w:line="183" w:lineRule="exact"/>
              <w:rPr>
                <w:rFonts w:ascii="Arial" w:cs="Arial" w:eastAsia="Arial" w:hAnsi="Arial"/>
                <w:sz w:val="17"/>
                <w:szCs w:val="17"/>
                <w:color w:val="0000EE"/>
                <w:w w:val="98"/>
              </w:rPr>
            </w:pPr>
            <w:hyperlink w:anchor="page137">
              <w:r>
                <w:rPr>
                  <w:rFonts w:ascii="Arial" w:cs="Arial" w:eastAsia="Arial" w:hAnsi="Arial"/>
                  <w:sz w:val="17"/>
                  <w:szCs w:val="17"/>
                  <w:color w:val="0000EE"/>
                  <w:w w:val="98"/>
                </w:rPr>
                <w:t>MANAGEMENT</w:t>
              </w:r>
            </w:hyperlink>
          </w:p>
        </w:tc>
        <w:tc>
          <w:tcPr>
            <w:tcW w:w="8760" w:type="dxa"/>
            <w:vAlign w:val="bottom"/>
            <w:gridSpan w:val="21"/>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130</w:t>
            </w:r>
          </w:p>
        </w:tc>
        <w:tc>
          <w:tcPr>
            <w:tcW w:w="0" w:type="dxa"/>
            <w:vAlign w:val="bottom"/>
          </w:tcPr>
          <w:p>
            <w:pPr>
              <w:spacing w:after="0"/>
              <w:rPr>
                <w:sz w:val="1"/>
                <w:szCs w:val="1"/>
                <w:color w:val="auto"/>
              </w:rPr>
            </w:pPr>
          </w:p>
        </w:tc>
      </w:tr>
      <w:tr>
        <w:trPr>
          <w:trHeight w:val="183"/>
        </w:trPr>
        <w:tc>
          <w:tcPr>
            <w:tcW w:w="3600" w:type="dxa"/>
            <w:vAlign w:val="bottom"/>
            <w:tcBorders>
              <w:bottom w:val="single" w:sz="8" w:color="0000EE"/>
            </w:tcBorders>
            <w:gridSpan w:val="19"/>
          </w:tcPr>
          <w:p>
            <w:pPr>
              <w:spacing w:after="0" w:line="183" w:lineRule="exact"/>
              <w:rPr>
                <w:rFonts w:ascii="Arial" w:cs="Arial" w:eastAsia="Arial" w:hAnsi="Arial"/>
                <w:sz w:val="17"/>
                <w:szCs w:val="17"/>
                <w:color w:val="0000EE"/>
                <w:w w:val="95"/>
              </w:rPr>
            </w:pPr>
            <w:hyperlink w:anchor="page145">
              <w:r>
                <w:rPr>
                  <w:rFonts w:ascii="Arial" w:cs="Arial" w:eastAsia="Arial" w:hAnsi="Arial"/>
                  <w:sz w:val="17"/>
                  <w:szCs w:val="17"/>
                  <w:color w:val="0000EE"/>
                  <w:w w:val="95"/>
                </w:rPr>
                <w:t>EXECUTIVE AND DIRECTOR COMPENSATION</w:t>
              </w:r>
            </w:hyperlink>
          </w:p>
        </w:tc>
        <w:tc>
          <w:tcPr>
            <w:tcW w:w="6380" w:type="dxa"/>
            <w:vAlign w:val="bottom"/>
            <w:gridSpan w:val="7"/>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138</w:t>
            </w:r>
          </w:p>
        </w:tc>
        <w:tc>
          <w:tcPr>
            <w:tcW w:w="0" w:type="dxa"/>
            <w:vAlign w:val="bottom"/>
          </w:tcPr>
          <w:p>
            <w:pPr>
              <w:spacing w:after="0"/>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166">
              <w:r>
                <w:rPr>
                  <w:rFonts w:ascii="Arial" w:cs="Arial" w:eastAsia="Arial" w:hAnsi="Arial"/>
                  <w:sz w:val="17"/>
                  <w:szCs w:val="17"/>
                  <w:color w:val="0000EE"/>
                </w:rPr>
                <w:t>PRINCIPAL STOCKHOLDERS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170">
              <w:r>
                <w:rPr>
                  <w:rFonts w:ascii="Arial" w:cs="Arial" w:eastAsia="Arial" w:hAnsi="Arial"/>
                  <w:sz w:val="17"/>
                  <w:szCs w:val="17"/>
                  <w:color w:val="0000EE"/>
                </w:rPr>
                <w:t>CERTAIN RELATIONSHIPS AND RELATED PARTY TRANSACTIONS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163</w:t>
            </w:r>
          </w:p>
        </w:tc>
        <w:tc>
          <w:tcPr>
            <w:tcW w:w="0" w:type="dxa"/>
            <w:vAlign w:val="bottom"/>
          </w:tcPr>
          <w:p>
            <w:pPr>
              <w:spacing w:after="0"/>
              <w:rPr>
                <w:sz w:val="1"/>
                <w:szCs w:val="1"/>
                <w:color w:val="auto"/>
              </w:rPr>
            </w:pPr>
          </w:p>
        </w:tc>
      </w:tr>
      <w:tr>
        <w:trPr>
          <w:trHeight w:val="183"/>
        </w:trPr>
        <w:tc>
          <w:tcPr>
            <w:tcW w:w="5120" w:type="dxa"/>
            <w:vAlign w:val="bottom"/>
            <w:tcBorders>
              <w:top w:val="single" w:sz="8" w:color="0000EE"/>
            </w:tcBorders>
            <w:gridSpan w:val="20"/>
          </w:tcPr>
          <w:p>
            <w:pPr>
              <w:spacing w:after="0" w:line="183" w:lineRule="exact"/>
              <w:rPr>
                <w:rFonts w:ascii="Arial" w:cs="Arial" w:eastAsia="Arial" w:hAnsi="Arial"/>
                <w:sz w:val="17"/>
                <w:szCs w:val="17"/>
                <w:color w:val="0000EE"/>
              </w:rPr>
            </w:pPr>
            <w:hyperlink w:anchor="page176">
              <w:r>
                <w:rPr>
                  <w:rFonts w:ascii="Arial" w:cs="Arial" w:eastAsia="Arial" w:hAnsi="Arial"/>
                  <w:sz w:val="17"/>
                  <w:szCs w:val="17"/>
                  <w:color w:val="0000EE"/>
                </w:rPr>
                <w:t>DESCRIPTION OF MATERIAL INDEBTEDNESS</w:t>
              </w:r>
            </w:hyperlink>
          </w:p>
        </w:tc>
        <w:tc>
          <w:tcPr>
            <w:tcW w:w="4860" w:type="dxa"/>
            <w:vAlign w:val="bottom"/>
            <w:gridSpan w:val="6"/>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169</w:t>
            </w:r>
          </w:p>
        </w:tc>
        <w:tc>
          <w:tcPr>
            <w:tcW w:w="0" w:type="dxa"/>
            <w:vAlign w:val="bottom"/>
          </w:tcPr>
          <w:p>
            <w:pPr>
              <w:spacing w:after="0"/>
              <w:rPr>
                <w:sz w:val="1"/>
                <w:szCs w:val="1"/>
                <w:color w:val="auto"/>
              </w:rPr>
            </w:pPr>
          </w:p>
        </w:tc>
      </w:tr>
      <w:tr>
        <w:trPr>
          <w:trHeight w:val="183"/>
        </w:trPr>
        <w:tc>
          <w:tcPr>
            <w:tcW w:w="3540" w:type="dxa"/>
            <w:vAlign w:val="bottom"/>
            <w:tcBorders>
              <w:top w:val="single" w:sz="8" w:color="0000EE"/>
            </w:tcBorders>
            <w:gridSpan w:val="17"/>
          </w:tcPr>
          <w:p>
            <w:pPr>
              <w:spacing w:after="0" w:line="183" w:lineRule="exact"/>
              <w:rPr>
                <w:rFonts w:ascii="Arial" w:cs="Arial" w:eastAsia="Arial" w:hAnsi="Arial"/>
                <w:sz w:val="17"/>
                <w:szCs w:val="17"/>
                <w:color w:val="0000EE"/>
              </w:rPr>
            </w:pPr>
            <w:hyperlink w:anchor="page180">
              <w:r>
                <w:rPr>
                  <w:rFonts w:ascii="Arial" w:cs="Arial" w:eastAsia="Arial" w:hAnsi="Arial"/>
                  <w:sz w:val="17"/>
                  <w:szCs w:val="17"/>
                  <w:color w:val="0000EE"/>
                </w:rPr>
                <w:t>DESCRIPTION OF CAPITAL STOCK</w:t>
              </w:r>
            </w:hyperlink>
          </w:p>
        </w:tc>
        <w:tc>
          <w:tcPr>
            <w:tcW w:w="6440" w:type="dxa"/>
            <w:vAlign w:val="bottom"/>
            <w:gridSpan w:val="9"/>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173</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tcBorders>
              <w:bottom w:val="single" w:sz="8" w:color="0000EE"/>
            </w:tcBorders>
            <w:gridSpan w:val="16"/>
          </w:tcPr>
          <w:p>
            <w:pPr>
              <w:spacing w:after="0" w:line="183" w:lineRule="exact"/>
              <w:rPr>
                <w:rFonts w:ascii="Arial" w:cs="Arial" w:eastAsia="Arial" w:hAnsi="Arial"/>
                <w:sz w:val="17"/>
                <w:szCs w:val="17"/>
                <w:color w:val="0000EE"/>
                <w:w w:val="94"/>
              </w:rPr>
            </w:pPr>
            <w:hyperlink w:anchor="page187">
              <w:r>
                <w:rPr>
                  <w:rFonts w:ascii="Arial" w:cs="Arial" w:eastAsia="Arial" w:hAnsi="Arial"/>
                  <w:sz w:val="17"/>
                  <w:szCs w:val="17"/>
                  <w:color w:val="0000EE"/>
                  <w:w w:val="94"/>
                </w:rPr>
                <w:t>SHARES ELIGIBLE FOR FUTURE SALE</w:t>
              </w:r>
            </w:hyperlink>
          </w:p>
        </w:tc>
        <w:tc>
          <w:tcPr>
            <w:tcW w:w="7000" w:type="dxa"/>
            <w:vAlign w:val="bottom"/>
            <w:gridSpan w:val="10"/>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180</w:t>
            </w:r>
          </w:p>
        </w:tc>
        <w:tc>
          <w:tcPr>
            <w:tcW w:w="0" w:type="dxa"/>
            <w:vAlign w:val="bottom"/>
          </w:tcPr>
          <w:p>
            <w:pPr>
              <w:spacing w:after="0"/>
              <w:rPr>
                <w:sz w:val="1"/>
                <w:szCs w:val="1"/>
                <w:color w:val="auto"/>
              </w:rPr>
            </w:pPr>
          </w:p>
        </w:tc>
      </w:tr>
      <w:tr>
        <w:trPr>
          <w:trHeight w:val="183"/>
        </w:trPr>
        <w:tc>
          <w:tcPr>
            <w:tcW w:w="6520" w:type="dxa"/>
            <w:vAlign w:val="bottom"/>
            <w:tcBorders>
              <w:bottom w:val="single" w:sz="8" w:color="0000EE"/>
            </w:tcBorders>
            <w:gridSpan w:val="23"/>
          </w:tcPr>
          <w:p>
            <w:pPr>
              <w:spacing w:after="0" w:line="183" w:lineRule="exact"/>
              <w:rPr>
                <w:rFonts w:ascii="Arial" w:cs="Arial" w:eastAsia="Arial" w:hAnsi="Arial"/>
                <w:sz w:val="17"/>
                <w:szCs w:val="17"/>
                <w:color w:val="0000EE"/>
                <w:w w:val="95"/>
              </w:rPr>
            </w:pPr>
            <w:hyperlink w:anchor="page190">
              <w:r>
                <w:rPr>
                  <w:rFonts w:ascii="Arial" w:cs="Arial" w:eastAsia="Arial" w:hAnsi="Arial"/>
                  <w:sz w:val="17"/>
                  <w:szCs w:val="17"/>
                  <w:color w:val="0000EE"/>
                  <w:w w:val="95"/>
                </w:rPr>
                <w:t>MATERIAL U.S. FEDERAL INCOME TAX CONSIDERATIONS FOR NON-U.S. HOLDERS</w:t>
              </w:r>
            </w:hyperlink>
          </w:p>
        </w:tc>
        <w:tc>
          <w:tcPr>
            <w:tcW w:w="3460" w:type="dxa"/>
            <w:vAlign w:val="bottom"/>
            <w:gridSpan w:val="3"/>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183</w:t>
            </w:r>
          </w:p>
        </w:tc>
        <w:tc>
          <w:tcPr>
            <w:tcW w:w="0" w:type="dxa"/>
            <w:vAlign w:val="bottom"/>
          </w:tcPr>
          <w:p>
            <w:pPr>
              <w:spacing w:after="0"/>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194">
              <w:r>
                <w:rPr>
                  <w:rFonts w:ascii="Arial" w:cs="Arial" w:eastAsia="Arial" w:hAnsi="Arial"/>
                  <w:sz w:val="17"/>
                  <w:szCs w:val="17"/>
                  <w:color w:val="0000EE"/>
                </w:rPr>
                <w:t>UNDERWRITING</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187</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207">
              <w:r>
                <w:rPr>
                  <w:rFonts w:ascii="Arial" w:cs="Arial" w:eastAsia="Arial" w:hAnsi="Arial"/>
                  <w:sz w:val="17"/>
                  <w:szCs w:val="17"/>
                  <w:color w:val="0000EE"/>
                </w:rPr>
                <w:t>LEGAL MATTERS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200</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bottom w:val="single" w:sz="8" w:color="0000EE"/>
            </w:tcBorders>
          </w:tcPr>
          <w:p>
            <w:pPr>
              <w:spacing w:after="0" w:line="183" w:lineRule="exact"/>
              <w:rPr>
                <w:rFonts w:ascii="Arial" w:cs="Arial" w:eastAsia="Arial" w:hAnsi="Arial"/>
                <w:sz w:val="17"/>
                <w:szCs w:val="17"/>
                <w:color w:val="0000EE"/>
                <w:w w:val="88"/>
              </w:rPr>
            </w:pPr>
            <w:hyperlink w:anchor="page207">
              <w:r>
                <w:rPr>
                  <w:rFonts w:ascii="Arial" w:cs="Arial" w:eastAsia="Arial" w:hAnsi="Arial"/>
                  <w:sz w:val="17"/>
                  <w:szCs w:val="17"/>
                  <w:color w:val="0000EE"/>
                  <w:w w:val="88"/>
                </w:rPr>
                <w:t>EXPERTS</w:t>
              </w:r>
            </w:hyperlink>
          </w:p>
        </w:tc>
        <w:tc>
          <w:tcPr>
            <w:tcW w:w="640" w:type="dxa"/>
            <w:vAlign w:val="bottom"/>
            <w:tcBorders>
              <w:top w:val="single" w:sz="8" w:color="0000EE"/>
            </w:tcBorders>
            <w:gridSpan w:val="6"/>
          </w:tcPr>
          <w:p>
            <w:pPr>
              <w:spacing w:after="0"/>
              <w:rPr>
                <w:sz w:val="15"/>
                <w:szCs w:val="15"/>
                <w:color w:val="auto"/>
              </w:rPr>
            </w:pPr>
          </w:p>
        </w:tc>
        <w:tc>
          <w:tcPr>
            <w:tcW w:w="8620" w:type="dxa"/>
            <w:vAlign w:val="bottom"/>
            <w:gridSpan w:val="19"/>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200</w:t>
            </w:r>
          </w:p>
        </w:tc>
        <w:tc>
          <w:tcPr>
            <w:tcW w:w="0" w:type="dxa"/>
            <w:vAlign w:val="bottom"/>
          </w:tcPr>
          <w:p>
            <w:pPr>
              <w:spacing w:after="0"/>
              <w:rPr>
                <w:sz w:val="1"/>
                <w:szCs w:val="1"/>
                <w:color w:val="auto"/>
              </w:rPr>
            </w:pPr>
          </w:p>
        </w:tc>
      </w:tr>
      <w:tr>
        <w:trPr>
          <w:trHeight w:val="183"/>
        </w:trPr>
        <w:tc>
          <w:tcPr>
            <w:tcW w:w="3580" w:type="dxa"/>
            <w:vAlign w:val="bottom"/>
            <w:tcBorders>
              <w:bottom w:val="single" w:sz="8" w:color="0000EE"/>
            </w:tcBorders>
            <w:gridSpan w:val="18"/>
          </w:tcPr>
          <w:p>
            <w:pPr>
              <w:spacing w:after="0" w:line="183" w:lineRule="exact"/>
              <w:rPr>
                <w:rFonts w:ascii="Arial" w:cs="Arial" w:eastAsia="Arial" w:hAnsi="Arial"/>
                <w:sz w:val="17"/>
                <w:szCs w:val="17"/>
                <w:color w:val="0000EE"/>
                <w:w w:val="96"/>
              </w:rPr>
            </w:pPr>
            <w:hyperlink w:anchor="page208">
              <w:r>
                <w:rPr>
                  <w:rFonts w:ascii="Arial" w:cs="Arial" w:eastAsia="Arial" w:hAnsi="Arial"/>
                  <w:sz w:val="17"/>
                  <w:szCs w:val="17"/>
                  <w:color w:val="0000EE"/>
                  <w:w w:val="96"/>
                </w:rPr>
                <w:t>WHERE YOU CAN FIND MORE INFORMATION</w:t>
              </w:r>
            </w:hyperlink>
          </w:p>
        </w:tc>
        <w:tc>
          <w:tcPr>
            <w:tcW w:w="6400" w:type="dxa"/>
            <w:vAlign w:val="bottom"/>
            <w:gridSpan w:val="8"/>
          </w:tcPr>
          <w:p>
            <w:pPr>
              <w:spacing w:after="0"/>
              <w:rPr>
                <w:sz w:val="15"/>
                <w:szCs w:val="15"/>
                <w:color w:val="auto"/>
              </w:rPr>
            </w:pP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w w:val="98"/>
              </w:rPr>
              <w:t>201</w:t>
            </w:r>
          </w:p>
        </w:tc>
        <w:tc>
          <w:tcPr>
            <w:tcW w:w="0" w:type="dxa"/>
            <w:vAlign w:val="bottom"/>
          </w:tcPr>
          <w:p>
            <w:pPr>
              <w:spacing w:after="0"/>
              <w:rPr>
                <w:sz w:val="1"/>
                <w:szCs w:val="1"/>
                <w:color w:val="auto"/>
              </w:rPr>
            </w:pPr>
          </w:p>
        </w:tc>
      </w:tr>
      <w:tr>
        <w:trPr>
          <w:trHeight w:val="183"/>
        </w:trPr>
        <w:tc>
          <w:tcPr>
            <w:tcW w:w="9980" w:type="dxa"/>
            <w:vAlign w:val="bottom"/>
            <w:gridSpan w:val="26"/>
          </w:tcPr>
          <w:p>
            <w:pPr>
              <w:spacing w:after="0" w:line="183" w:lineRule="exact"/>
              <w:rPr>
                <w:rFonts w:ascii="Arial" w:cs="Arial" w:eastAsia="Arial" w:hAnsi="Arial"/>
                <w:sz w:val="17"/>
                <w:szCs w:val="17"/>
                <w:color w:val="0000EE"/>
              </w:rPr>
            </w:pPr>
            <w:hyperlink w:anchor="page209">
              <w:r>
                <w:rPr>
                  <w:rFonts w:ascii="Arial" w:cs="Arial" w:eastAsia="Arial" w:hAnsi="Arial"/>
                  <w:sz w:val="17"/>
                  <w:szCs w:val="17"/>
                  <w:color w:val="0000EE"/>
                </w:rPr>
                <w:t>INDEX TO FINANCIAL STATEMENTS</w:t>
              </w:r>
            </w:hyperlink>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225425</wp:posOffset>
            </wp:positionV>
            <wp:extent cx="1383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You should rely only on the information contained in this prospectus or in any free-writing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free-writing prospectus is accurate only as of its date, regardless of its time of delivery or the time of any sale of shares of our Class A common stock. Our business, financial condition, results of operations and prospects may have changed since that date.</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Basis of Presentation</w:t>
      </w:r>
    </w:p>
    <w:p>
      <w:pPr>
        <w:spacing w:after="0" w:line="112"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In this prospectus, unless the context otherwise requires, “Definitive,” the “Company,” “we,” “us” and “our” refer to Definitive Healthcare Corp., Definitive OpCo and their subsidiaries. References to “Predecessor Company” refer to Definitive OpCo prior to July 16, 2019 and “Successor Company” refer to Definitive OpCo after July 15, 2019. See “Management’s Discussion and Analysis of Financial Condition and Results of Operations —Impact of Acquisitions.”</w:t>
      </w:r>
    </w:p>
    <w:p>
      <w:pPr>
        <w:spacing w:after="0" w:line="11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3393440</wp:posOffset>
            </wp:positionV>
            <wp:extent cx="7182485" cy="6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2485" cy="6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Trademarks and Trade Names</w:t>
      </w:r>
    </w:p>
    <w:p>
      <w:pPr>
        <w:spacing w:after="0" w:line="110" w:lineRule="exact"/>
        <w:rPr>
          <w:sz w:val="20"/>
          <w:szCs w:val="20"/>
          <w:color w:val="auto"/>
        </w:rPr>
      </w:pPr>
    </w:p>
    <w:p>
      <w:pPr>
        <w:ind w:left="460" w:firstLine="413"/>
        <w:spacing w:after="0" w:line="263" w:lineRule="auto"/>
        <w:rPr>
          <w:sz w:val="20"/>
          <w:szCs w:val="20"/>
          <w:color w:val="auto"/>
        </w:rPr>
      </w:pPr>
      <w:r>
        <w:rPr>
          <w:rFonts w:ascii="Arial" w:cs="Arial" w:eastAsia="Arial" w:hAnsi="Arial"/>
          <w:sz w:val="15"/>
          <w:szCs w:val="15"/>
          <w:color w:val="auto"/>
        </w:rPr>
        <w:t>We own or have the rights to use various trademarks, trade names, service marks and copyrights, including: Definitive Healthcare</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and our logo used in association with our name. Solely for convenience, any trademarks, trade names, service marks or copyrights referred to or used herein are listed</w:t>
      </w:r>
    </w:p>
    <w:p>
      <w:pPr>
        <w:sectPr>
          <w:pgSz w:w="11900" w:h="16838" w:orient="portrait"/>
          <w:cols w:equalWidth="0" w:num="1">
            <w:col w:w="10760"/>
          </w:cols>
          <w:pgMar w:left="320" w:top="123" w:right="819" w:bottom="0" w:gutter="0" w:footer="0" w:header="0"/>
        </w:sectPr>
      </w:pPr>
    </w:p>
    <w:bookmarkStart w:id="3" w:name="page4"/>
    <w:bookmarkEnd w:id="3"/>
    <w:p>
      <w:pPr>
        <w:ind w:right="40"/>
        <w:spacing w:after="0" w:line="232" w:lineRule="auto"/>
        <w:rPr>
          <w:sz w:val="20"/>
          <w:szCs w:val="20"/>
          <w:color w:val="auto"/>
        </w:rPr>
      </w:pPr>
      <w:r>
        <w:rPr>
          <w:rFonts w:ascii="Arial" w:cs="Arial" w:eastAsia="Arial" w:hAnsi="Arial"/>
          <w:sz w:val="17"/>
          <w:szCs w:val="17"/>
          <w:color w:val="auto"/>
        </w:rPr>
        <w:t xml:space="preserve">without the applicable </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 ™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and Industry Information</w:t>
      </w:r>
    </w:p>
    <w:p>
      <w:pPr>
        <w:spacing w:after="0" w:line="112" w:lineRule="exact"/>
        <w:rPr>
          <w:sz w:val="20"/>
          <w:szCs w:val="20"/>
          <w:color w:val="auto"/>
        </w:rPr>
      </w:pPr>
    </w:p>
    <w:p>
      <w:pPr>
        <w:ind w:firstLine="413"/>
        <w:spacing w:after="0" w:line="267" w:lineRule="auto"/>
        <w:rPr>
          <w:sz w:val="20"/>
          <w:szCs w:val="20"/>
          <w:color w:val="auto"/>
        </w:rPr>
      </w:pPr>
      <w:r>
        <w:rPr>
          <w:rFonts w:ascii="Arial" w:cs="Arial" w:eastAsia="Arial" w:hAnsi="Arial"/>
          <w:sz w:val="16"/>
          <w:szCs w:val="16"/>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other publicly available information prepared by a number of sources, including consultant surveys and forecasts.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76" w:lineRule="exact"/>
        <w:rPr>
          <w:sz w:val="20"/>
          <w:szCs w:val="20"/>
          <w:color w:val="auto"/>
        </w:rPr>
      </w:pPr>
    </w:p>
    <w:p>
      <w:pPr>
        <w:ind w:right="320" w:firstLine="413"/>
        <w:spacing w:after="0" w:line="272" w:lineRule="auto"/>
        <w:rPr>
          <w:sz w:val="20"/>
          <w:szCs w:val="20"/>
          <w:color w:val="auto"/>
        </w:rPr>
      </w:pPr>
      <w:r>
        <w:rPr>
          <w:rFonts w:ascii="Arial" w:cs="Arial" w:eastAsia="Arial" w:hAnsi="Arial"/>
          <w:sz w:val="17"/>
          <w:szCs w:val="17"/>
          <w:color w:val="auto"/>
        </w:rPr>
        <w:t>We have relied on the calculations and analysis and our use of third-party analytics tools to present metrics that, as closely as possible, reflect genuine users and legitimate user activity on our platform.</w:t>
      </w:r>
    </w:p>
    <w:p>
      <w:pPr>
        <w:spacing w:after="0" w:line="165" w:lineRule="exact"/>
        <w:rPr>
          <w:sz w:val="20"/>
          <w:szCs w:val="20"/>
          <w:color w:val="auto"/>
        </w:rPr>
      </w:pPr>
    </w:p>
    <w:p>
      <w:pPr>
        <w:ind w:right="20" w:firstLine="413"/>
        <w:spacing w:after="0" w:line="296" w:lineRule="auto"/>
        <w:rPr>
          <w:sz w:val="20"/>
          <w:szCs w:val="20"/>
          <w:color w:val="auto"/>
        </w:rPr>
      </w:pPr>
      <w:r>
        <w:rPr>
          <w:rFonts w:ascii="Arial" w:cs="Arial" w:eastAsia="Arial" w:hAnsi="Arial"/>
          <w:sz w:val="15"/>
          <w:szCs w:val="15"/>
          <w:color w:val="auto"/>
        </w:rPr>
        <w:t>However, data from such sources may include inaccuracies such as information relating to fraudulent accounts or interactions with our sites. Such inaccuracies and fraudulent accounts or interactions may be caused by the use of bots or other mechanisms to generate false impressions, persons with multiple accounts on one service, persons with deactivated or inactive accounts and multiple views by the same user. We have only a limited ability to independently verify the metrics provided by and third-party analytics tools. Investors should not place undue reliance or emphasis on website visits given these limitations and the fact that such measures do not bear any direct relationship to our financial condition or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Definitions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used in this prospectus, unless otherwise noted or the context requires otherwise:</w:t>
      </w:r>
    </w:p>
    <w:p>
      <w:pPr>
        <w:spacing w:after="0" w:line="121" w:lineRule="exact"/>
        <w:rPr>
          <w:sz w:val="20"/>
          <w:szCs w:val="20"/>
          <w:color w:val="auto"/>
        </w:rPr>
      </w:pPr>
    </w:p>
    <w:p>
      <w:pPr>
        <w:ind w:left="400" w:hanging="301"/>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“Advent” refers to Advent International, a global private equity firm.</w:t>
      </w:r>
    </w:p>
    <w:p>
      <w:pPr>
        <w:spacing w:after="0" w:line="121" w:lineRule="exact"/>
        <w:rPr>
          <w:rFonts w:ascii="Arial" w:cs="Arial" w:eastAsia="Arial" w:hAnsi="Arial"/>
          <w:sz w:val="17"/>
          <w:szCs w:val="17"/>
          <w:color w:val="auto"/>
        </w:rPr>
      </w:pPr>
    </w:p>
    <w:p>
      <w:pPr>
        <w:ind w:left="400" w:hanging="301"/>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“Amended LLC Agreement” has the meaning given in “Prospectus Summary—Organizational Structure.”</w:t>
      </w:r>
    </w:p>
    <w:p>
      <w:pPr>
        <w:spacing w:after="0" w:line="121" w:lineRule="exact"/>
        <w:rPr>
          <w:rFonts w:ascii="Arial" w:cs="Arial" w:eastAsia="Arial" w:hAnsi="Arial"/>
          <w:sz w:val="17"/>
          <w:szCs w:val="17"/>
          <w:color w:val="auto"/>
        </w:rPr>
      </w:pPr>
    </w:p>
    <w:p>
      <w:pPr>
        <w:ind w:left="400" w:right="380" w:hanging="301"/>
        <w:spacing w:after="0" w:line="272" w:lineRule="auto"/>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76" w:lineRule="exact"/>
        <w:rPr>
          <w:rFonts w:ascii="Arial" w:cs="Arial" w:eastAsia="Arial" w:hAnsi="Arial"/>
          <w:sz w:val="17"/>
          <w:szCs w:val="17"/>
          <w:color w:val="auto"/>
        </w:rPr>
      </w:pPr>
    </w:p>
    <w:p>
      <w:pPr>
        <w:ind w:left="400" w:hanging="301"/>
        <w:spacing w:after="0"/>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“Blocker Company” has the meaning given in “Prospectus Summary—Organizational Structure.”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280"/>
          </w:cols>
          <w:pgMar w:left="780" w:top="126" w:right="8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right="20" w:hanging="301"/>
        <w:spacing w:after="0" w:line="301" w:lineRule="auto"/>
        <w:tabs>
          <w:tab w:leader="none" w:pos="860" w:val="left"/>
        </w:tabs>
        <w:numPr>
          <w:ilvl w:val="0"/>
          <w:numId w:val="4"/>
        </w:numPr>
        <w:rPr>
          <w:rFonts w:ascii="Arial" w:cs="Arial" w:eastAsia="Arial" w:hAnsi="Arial"/>
          <w:sz w:val="15"/>
          <w:szCs w:val="15"/>
          <w:color w:val="auto"/>
        </w:rPr>
      </w:pPr>
      <w:r>
        <w:rPr>
          <w:rFonts w:ascii="Arial" w:cs="Arial" w:eastAsia="Arial" w:hAnsi="Arial"/>
          <w:sz w:val="15"/>
          <w:szCs w:val="15"/>
          <w:color w:val="auto"/>
        </w:rPr>
        <w:t>“CAC” refers to customer acquisition cost, or the cost of acquiring a new customer. We calculate CAC as (i) the sales and marketing expense, including associated indirect costs, such as management and overheads, associated with acquiring new customers on a trailing twelve month basis starting from the prior quarter, excluding expenses that are non-cash or one-time in nature, including share-based compensation, acquisition-related integration and compensation expenses, and non-recurring items divided by (ii) the number of new customers added during the period.</w:t>
      </w:r>
    </w:p>
    <w:p>
      <w:pPr>
        <w:spacing w:after="0" w:line="59" w:lineRule="exact"/>
        <w:rPr>
          <w:rFonts w:ascii="Arial" w:cs="Arial" w:eastAsia="Arial" w:hAnsi="Arial"/>
          <w:sz w:val="15"/>
          <w:szCs w:val="15"/>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“Class B Units”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LLC Class B Units”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“Mergers”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“Unitholders”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line="260"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“Definitive,” “Definitive Healthcare,” the “Company,” “we,” “us” and “our” refer (i) prior to the recent consummation of the Reorganization Transactions to Definitive OpCo and its subsidiaries and (ii) after the reorganization transactions, to Definitive Healthcare Corp., Definitive OpCo and their subsidiaries.</w:t>
      </w:r>
    </w:p>
    <w:p>
      <w:pPr>
        <w:spacing w:after="0" w:line="86"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“Definitive OpCo” refers to AIDH TopCo, LLC, a Delaware limited liability company, and a subsidiary of Definitive Healthcare Corp.</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“DH Holdings” refers to Definitive Healthcare Holdings, LLC, a wholly-owned subsidiary of Definitive Healthcare.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“IPO” refers to the initial public offering of our Class A common stock completed September 17, 2021.</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“IPO Transactions” refers to the offering of Class A common stock in our IPO and the transactions contemplated in connection therewith.</w:t>
      </w:r>
    </w:p>
    <w:p>
      <w:pPr>
        <w:spacing w:after="0" w:line="132" w:lineRule="exact"/>
        <w:rPr>
          <w:rFonts w:ascii="Arial" w:cs="Arial" w:eastAsia="Arial" w:hAnsi="Arial"/>
          <w:sz w:val="16"/>
          <w:szCs w:val="16"/>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“LLC Units” has the meaning given in “Prospectus Summary—Organizational Structure.”</w:t>
      </w:r>
    </w:p>
    <w:p>
      <w:pPr>
        <w:spacing w:after="0" w:line="121" w:lineRule="exact"/>
        <w:rPr>
          <w:rFonts w:ascii="Arial" w:cs="Arial" w:eastAsia="Arial" w:hAnsi="Arial"/>
          <w:sz w:val="17"/>
          <w:szCs w:val="17"/>
          <w:color w:val="auto"/>
        </w:rPr>
      </w:pPr>
    </w:p>
    <w:p>
      <w:pPr>
        <w:ind w:left="860" w:right="80" w:hanging="301"/>
        <w:spacing w:after="0" w:line="277"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“LTV”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75" w:lineRule="exact"/>
        <w:rPr>
          <w:rFonts w:ascii="Arial" w:cs="Arial" w:eastAsia="Arial" w:hAnsi="Arial"/>
          <w:sz w:val="16"/>
          <w:szCs w:val="16"/>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LLC Class A Units”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line="256"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“NDR” or “Net Dollar Retention Rate”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90"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“Reclassified Class B LLC Units”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“Reclassified Management Holdings Class B Units” has the meaning given in “Prospectus Summary— 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“Reorganization Parties”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“Reorganization Transactions”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“Spectrum Equity” refers to investment funds associated with Spectrum Equity Management, L.P., a private equity firm.</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“Sponsors” refers collectively to Advent, Spectrum Equity and 22C Capital.</w:t>
      </w:r>
    </w:p>
    <w:p>
      <w:pPr>
        <w:spacing w:after="0" w:line="14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3899535</wp:posOffset>
            </wp:positionV>
            <wp:extent cx="7182485" cy="6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2485" cy="65405"/>
                    </a:xfrm>
                    <a:prstGeom prst="rect">
                      <a:avLst/>
                    </a:prstGeom>
                    <a:noFill/>
                  </pic:spPr>
                </pic:pic>
              </a:graphicData>
            </a:graphic>
          </wp:anchor>
        </w:drawing>
      </w:r>
    </w:p>
    <w:p>
      <w:pPr>
        <w:sectPr>
          <w:pgSz w:w="11900" w:h="16838" w:orient="portrait"/>
          <w:cols w:equalWidth="0" w:num="1">
            <w:col w:w="10740"/>
          </w:cols>
          <w:pgMar w:left="320" w:top="466" w:right="8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740"/>
          </w:cols>
          <w:pgMar w:left="320" w:top="466" w:right="839" w:bottom="0" w:gutter="0" w:footer="0" w:header="0"/>
          <w:type w:val="continuous"/>
        </w:sectPr>
      </w:pPr>
    </w:p>
    <w:bookmarkStart w:id="5" w:name="page6"/>
    <w:bookmarkEnd w:id="5"/>
    <w:p>
      <w:pPr>
        <w:spacing w:after="0" w:line="2" w:lineRule="exact"/>
        <w:rPr>
          <w:sz w:val="20"/>
          <w:szCs w:val="20"/>
          <w:color w:val="auto"/>
        </w:rPr>
      </w:pPr>
    </w:p>
    <w:p>
      <w:pPr>
        <w:ind w:left="860" w:hanging="301"/>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“Topco Class A Units”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“Tax Receivable Agreement” refers to the tax receivable agreement entered into with the TRA Parties.</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 Parties” has the meaning given in “Prospectus Summary—Organizational Structure.”</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“22C Capital” refers to investment funds associated with 22C Capital LLC, a private equity firm.</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Non-GAAP Financial Measures</w:t>
      </w:r>
    </w:p>
    <w:p>
      <w:pPr>
        <w:spacing w:after="0" w:line="112" w:lineRule="exact"/>
        <w:rPr>
          <w:sz w:val="20"/>
          <w:szCs w:val="20"/>
          <w:color w:val="auto"/>
        </w:rPr>
      </w:pPr>
    </w:p>
    <w:p>
      <w:pPr>
        <w:ind w:left="460" w:right="140" w:firstLine="413"/>
        <w:spacing w:after="0" w:line="301" w:lineRule="auto"/>
        <w:rPr>
          <w:sz w:val="20"/>
          <w:szCs w:val="20"/>
          <w:color w:val="auto"/>
        </w:rPr>
      </w:pPr>
      <w:r>
        <w:rPr>
          <w:rFonts w:ascii="Arial" w:cs="Arial" w:eastAsia="Arial" w:hAnsi="Arial"/>
          <w:sz w:val="15"/>
          <w:szCs w:val="15"/>
          <w:color w:val="auto"/>
        </w:rPr>
        <w:t>We refer in this prospectus to Adjusted EBITDA, Adjusted Gross Profit, Adjusted Gross Margin, Adjusted EBITDA Margin Adjusted Operating Income and Adjusted Net Income (Loss),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4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6"/>
          <w:szCs w:val="16"/>
          <w:color w:val="auto"/>
        </w:rPr>
        <w:t>As used in this prospectus, EBITDA means earnings before debt-related costs, including interest expense and interest income, provision for taxes, depreciation and amortization and Adjusted EBITDA means EBITDA adjusted to exclude certain items of a significant or unusual nature, including stock-based compensation, acquisition-related expenses and other non-recurring expenses. Adjusted EBITDA Margin is determined by calculating the percentage Adjusted EBITDA is of revenue. Adjusted Gross Profit means revenue less cost of revenue (excluding acquisition-related depreciation and amortization) and Adjusted Gross Margin means Adjusted Gross Profit as a percentage of revenue. Adjusted Gross Profit differs from gross profit, in that gross profit includes acquisition-related depreciation and amortization expense.</w:t>
      </w:r>
    </w:p>
    <w:p>
      <w:pPr>
        <w:spacing w:after="0" w:line="167"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48"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Adjusted Operating Income and Adjusted Net Income (Loss) mean income from operations plus acquisition- related amortization, stock-based compensation, acquisition-related expenses and other non-recurring adjustments.</w:t>
      </w:r>
    </w:p>
    <w:p>
      <w:pPr>
        <w:spacing w:after="0" w:line="165"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Adjusted Gross Profit and Adjusted Gross Margin are key metrics used by management and our board of directors to assess our operations. We exclude acquisition-related depreciation and amortization expense as they have no direct correlation to the cost of operating our business on an ongoing basis. A small quantity of stock- based compensation is included in cost of revenue in accordance with GAAP, but is excluded from our Adjusted Gross Margin calculations due to its non-cash nature.</w:t>
      </w:r>
    </w:p>
    <w:p>
      <w:pPr>
        <w:spacing w:after="0" w:line="179"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Our use of the terms Adjusted EBITDA, Adjusted EBITDA Margin, Adjusted Gross Profit and Adjusted Gross Margin may vary from the use of similar terms by other companies in our industry and accordingly may not be comparable to similarly titled measures used by other companies and are not measures of performance calculated in accordance with GAAP. These metrics are intended as supplemental measures of our performance that are not required by, or presented in accordance with, GAAP. These metrics should not be considered as alternatives to (loss) income from operations, net (loss) income, gross profit, earnings per share or any other performance measures derived in accordance with GAAP, or as measures of operating cash flows or liquidity. Adjusted EBITDA, Adjusted EBITDA Margin, Adjusted Gross Profit and Adjusted Gross Margin have important limitations as an analytical tool. Some of these limitations are:</w:t>
      </w:r>
    </w:p>
    <w:p>
      <w:pPr>
        <w:spacing w:after="0" w:line="83" w:lineRule="exact"/>
        <w:rPr>
          <w:sz w:val="20"/>
          <w:szCs w:val="20"/>
          <w:color w:val="auto"/>
        </w:rPr>
      </w:pPr>
    </w:p>
    <w:p>
      <w:pPr>
        <w:ind w:left="5560" w:right="2820" w:hanging="5001"/>
        <w:spacing w:after="0" w:line="443" w:lineRule="auto"/>
        <w:tabs>
          <w:tab w:leader="none" w:pos="864"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debt-related costs, including interest expense;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3710305</wp:posOffset>
            </wp:positionV>
            <wp:extent cx="7182485" cy="65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2485" cy="6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301"/>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income tax expense or the cash requirements to pay our income taxes;</w:t>
      </w:r>
    </w:p>
    <w:p>
      <w:pPr>
        <w:spacing w:after="0" w:line="121" w:lineRule="exact"/>
        <w:rPr>
          <w:rFonts w:ascii="Arial" w:cs="Arial" w:eastAsia="Arial" w:hAnsi="Arial"/>
          <w:sz w:val="17"/>
          <w:szCs w:val="17"/>
          <w:color w:val="auto"/>
        </w:rPr>
      </w:pPr>
    </w:p>
    <w:p>
      <w:pPr>
        <w:ind w:left="860" w:right="80" w:hanging="301"/>
        <w:spacing w:after="0" w:line="272"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charges for the assets being depreciated and amortized that may need to be replaced in the future;</w:t>
      </w:r>
    </w:p>
    <w:p>
      <w:pPr>
        <w:sectPr>
          <w:pgSz w:w="11900" w:h="16841" w:orient="portrait"/>
          <w:cols w:equalWidth="0" w:num="1">
            <w:col w:w="10780"/>
          </w:cols>
          <w:pgMar w:left="320" w:top="127" w:right="799" w:bottom="0" w:gutter="0" w:footer="0" w:header="0"/>
        </w:sectPr>
      </w:pPr>
    </w:p>
    <w:bookmarkStart w:id="6" w:name="page7"/>
    <w:bookmarkEnd w:id="6"/>
    <w:p>
      <w:pPr>
        <w:ind w:left="400" w:right="80" w:hanging="301"/>
        <w:spacing w:after="0" w:line="260"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Gross Profit, Adjusted Gross Margin and Adjusted Operating Income include depreciation and amortization for assets that may need to be replaced, but exclude amortization for intangible assets that are primarily a result of purchase accounting, which results primarily from the Advent acquisition;</w:t>
      </w:r>
    </w:p>
    <w:p>
      <w:pPr>
        <w:spacing w:after="0" w:line="86" w:lineRule="exact"/>
        <w:rPr>
          <w:rFonts w:ascii="Arial" w:cs="Arial" w:eastAsia="Arial" w:hAnsi="Arial"/>
          <w:sz w:val="17"/>
          <w:szCs w:val="17"/>
          <w:color w:val="auto"/>
        </w:rPr>
      </w:pPr>
    </w:p>
    <w:p>
      <w:pPr>
        <w:ind w:left="400" w:hanging="301"/>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the impact of impairment loss;</w:t>
      </w:r>
    </w:p>
    <w:p>
      <w:pPr>
        <w:spacing w:after="0" w:line="121" w:lineRule="exact"/>
        <w:rPr>
          <w:rFonts w:ascii="Arial" w:cs="Arial" w:eastAsia="Arial" w:hAnsi="Arial"/>
          <w:sz w:val="17"/>
          <w:szCs w:val="17"/>
          <w:color w:val="auto"/>
        </w:rPr>
      </w:pPr>
    </w:p>
    <w:p>
      <w:pPr>
        <w:ind w:left="400" w:hanging="301"/>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foreign exchange transaction gain and loss;</w:t>
      </w:r>
    </w:p>
    <w:p>
      <w:pPr>
        <w:spacing w:after="0" w:line="121" w:lineRule="exact"/>
        <w:rPr>
          <w:rFonts w:ascii="Arial" w:cs="Arial" w:eastAsia="Arial" w:hAnsi="Arial"/>
          <w:sz w:val="17"/>
          <w:szCs w:val="17"/>
          <w:color w:val="auto"/>
        </w:rPr>
      </w:pPr>
    </w:p>
    <w:p>
      <w:pPr>
        <w:ind w:left="400" w:right="160" w:hanging="301"/>
        <w:spacing w:after="0" w:line="272"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the impact of stock-based compensation upon our results of operations;</w:t>
      </w:r>
    </w:p>
    <w:p>
      <w:pPr>
        <w:spacing w:after="0" w:line="76" w:lineRule="exact"/>
        <w:rPr>
          <w:rFonts w:ascii="Arial" w:cs="Arial" w:eastAsia="Arial" w:hAnsi="Arial"/>
          <w:sz w:val="17"/>
          <w:szCs w:val="17"/>
          <w:color w:val="auto"/>
        </w:rPr>
      </w:pPr>
    </w:p>
    <w:p>
      <w:pPr>
        <w:ind w:left="400" w:right="620" w:hanging="301"/>
        <w:spacing w:after="0" w:line="272"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acquisition-related expenses; and</w:t>
      </w:r>
    </w:p>
    <w:p>
      <w:pPr>
        <w:spacing w:after="0" w:line="76" w:lineRule="exact"/>
        <w:rPr>
          <w:rFonts w:ascii="Arial" w:cs="Arial" w:eastAsia="Arial" w:hAnsi="Arial"/>
          <w:sz w:val="17"/>
          <w:szCs w:val="17"/>
          <w:color w:val="auto"/>
        </w:rPr>
      </w:pPr>
    </w:p>
    <w:p>
      <w:pPr>
        <w:ind w:left="400" w:right="220" w:hanging="301"/>
        <w:spacing w:after="0" w:line="272"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certain expenses that are non-recurring in nature.</w:t>
      </w:r>
    </w:p>
    <w:p>
      <w:pPr>
        <w:spacing w:after="0" w:line="165" w:lineRule="exact"/>
        <w:rPr>
          <w:sz w:val="20"/>
          <w:szCs w:val="20"/>
          <w:color w:val="auto"/>
        </w:rPr>
      </w:pPr>
    </w:p>
    <w:p>
      <w:pPr>
        <w:ind w:right="100" w:firstLine="413"/>
        <w:spacing w:after="0" w:line="272" w:lineRule="auto"/>
        <w:rPr>
          <w:sz w:val="20"/>
          <w:szCs w:val="20"/>
          <w:color w:val="auto"/>
        </w:rPr>
      </w:pPr>
      <w:r>
        <w:rPr>
          <w:rFonts w:ascii="Arial" w:cs="Arial" w:eastAsia="Arial" w:hAnsi="Arial"/>
          <w:sz w:val="17"/>
          <w:szCs w:val="17"/>
          <w:color w:val="auto"/>
        </w:rPr>
        <w:t>In evaluating Adjusted EBITDA, Adjusted EBITDA Margin, Adjusted Gross Profit and Adjusted Gross Margin, you should be aware that in the future we may incur expenses similar to those eliminated in these presentations.</w:t>
      </w:r>
    </w:p>
    <w:p>
      <w:pPr>
        <w:spacing w:after="0" w:line="165" w:lineRule="exact"/>
        <w:rPr>
          <w:sz w:val="20"/>
          <w:szCs w:val="20"/>
          <w:color w:val="auto"/>
        </w:rPr>
      </w:pPr>
    </w:p>
    <w:p>
      <w:pPr>
        <w:jc w:val="both"/>
        <w:ind w:firstLine="413"/>
        <w:spacing w:after="0" w:line="260" w:lineRule="auto"/>
        <w:rPr>
          <w:sz w:val="20"/>
          <w:szCs w:val="20"/>
          <w:color w:val="auto"/>
        </w:rPr>
      </w:pPr>
      <w:r>
        <w:rPr>
          <w:rFonts w:ascii="Arial" w:cs="Arial" w:eastAsia="Arial" w:hAnsi="Arial"/>
          <w:sz w:val="17"/>
          <w:szCs w:val="17"/>
          <w:color w:val="auto"/>
        </w:rPr>
        <w:t>See “Summary Historical and Pro Forma Consolidated Financial and Other Data” for a reconciliation of Adjusted EBITDA to net income (loss), the most directly comparable GAAP measure and a reconciliation of Adjusted Gross Profit and Adjusted Gross Margin to gross profit, the most directly comparable GAAP measure.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260"/>
          </w:cols>
          <w:pgMar w:left="780" w:top="241" w:right="8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808355</wp:posOffset>
            </wp:positionV>
            <wp:extent cx="6566535" cy="5915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66535"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PROSPECTUS SUMMARY</w:t>
      </w:r>
    </w:p>
    <w:p>
      <w:pPr>
        <w:spacing w:after="0" w:line="214" w:lineRule="exact"/>
        <w:rPr>
          <w:sz w:val="20"/>
          <w:szCs w:val="20"/>
          <w:color w:val="auto"/>
        </w:rPr>
      </w:pPr>
    </w:p>
    <w:p>
      <w:pPr>
        <w:ind w:left="620" w:right="100" w:firstLine="399"/>
        <w:spacing w:after="0" w:line="274"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28. In addition, certain statements in this prospectus include forward-looking information that is subject to risks and uncertainties. See “Cautionary Note Regarding Forward-Looking Statements.”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Mission</w:t>
      </w:r>
    </w:p>
    <w:p>
      <w:pPr>
        <w:spacing w:after="0" w:line="112" w:lineRule="exact"/>
        <w:rPr>
          <w:sz w:val="20"/>
          <w:szCs w:val="20"/>
          <w:color w:val="auto"/>
        </w:rPr>
      </w:pPr>
    </w:p>
    <w:p>
      <w:pPr>
        <w:ind w:left="620" w:right="360" w:firstLine="399"/>
        <w:spacing w:after="0" w:line="272" w:lineRule="auto"/>
        <w:rPr>
          <w:sz w:val="20"/>
          <w:szCs w:val="20"/>
          <w:color w:val="auto"/>
        </w:rPr>
      </w:pPr>
      <w:r>
        <w:rPr>
          <w:rFonts w:ascii="Arial" w:cs="Arial" w:eastAsia="Arial" w:hAnsi="Arial"/>
          <w:sz w:val="17"/>
          <w:szCs w:val="17"/>
          <w:color w:val="auto"/>
        </w:rPr>
        <w:t>Our mission is to make the complex healthcare ecosystem easier to analyze, navigate and sell into by providing a comprehensive, cloud-based healthcare commercial intelligence platform.</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Overview</w:t>
      </w:r>
    </w:p>
    <w:p>
      <w:pPr>
        <w:spacing w:after="0" w:line="112" w:lineRule="exact"/>
        <w:rPr>
          <w:sz w:val="20"/>
          <w:szCs w:val="20"/>
          <w:color w:val="auto"/>
        </w:rPr>
      </w:pPr>
    </w:p>
    <w:p>
      <w:pPr>
        <w:ind w:left="620" w:right="60" w:firstLine="399"/>
        <w:spacing w:after="0" w:line="256" w:lineRule="auto"/>
        <w:rPr>
          <w:sz w:val="20"/>
          <w:szCs w:val="20"/>
          <w:color w:val="auto"/>
        </w:rPr>
      </w:pPr>
      <w:r>
        <w:rPr>
          <w:rFonts w:ascii="Arial" w:cs="Arial" w:eastAsia="Arial" w:hAnsi="Arial"/>
          <w:sz w:val="17"/>
          <w:szCs w:val="17"/>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critical to the commercial success of our over 2,700 customers as of September 30, 2021.</w:t>
      </w:r>
    </w:p>
    <w:p>
      <w:pPr>
        <w:spacing w:after="0" w:line="179" w:lineRule="exact"/>
        <w:rPr>
          <w:sz w:val="20"/>
          <w:szCs w:val="20"/>
          <w:color w:val="auto"/>
        </w:rPr>
      </w:pPr>
    </w:p>
    <w:p>
      <w:pPr>
        <w:ind w:left="620" w:right="160" w:firstLine="399"/>
        <w:spacing w:after="0" w:line="252" w:lineRule="auto"/>
        <w:rPr>
          <w:sz w:val="20"/>
          <w:szCs w:val="20"/>
          <w:color w:val="auto"/>
        </w:rPr>
      </w:pPr>
      <w:r>
        <w:rPr>
          <w:rFonts w:ascii="Arial" w:cs="Arial" w:eastAsia="Arial" w:hAnsi="Arial"/>
          <w:sz w:val="17"/>
          <w:szCs w:val="17"/>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84" w:lineRule="exact"/>
        <w:rPr>
          <w:sz w:val="20"/>
          <w:szCs w:val="20"/>
          <w:color w:val="auto"/>
        </w:rPr>
      </w:pPr>
    </w:p>
    <w:p>
      <w:pPr>
        <w:ind w:left="620" w:right="80" w:firstLine="399"/>
        <w:spacing w:after="0" w:line="254" w:lineRule="auto"/>
        <w:rPr>
          <w:sz w:val="20"/>
          <w:szCs w:val="20"/>
          <w:color w:val="auto"/>
        </w:rPr>
      </w:pPr>
      <w:r>
        <w:rPr>
          <w:rFonts w:ascii="Arial" w:cs="Arial" w:eastAsia="Arial" w:hAnsi="Arial"/>
          <w:sz w:val="17"/>
          <w:szCs w:val="17"/>
          <w:color w:val="auto"/>
        </w:rPr>
        <w:t>Our customers include biopharmaceutical and medical device (“Life Sciences”) companies, Healthcare Information Technology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Our customers use the Definitive Healthcare platform in many ways to drive commercial success, including:</w:t>
      </w:r>
    </w:p>
    <w:p>
      <w:pPr>
        <w:spacing w:after="0" w:line="121" w:lineRule="exact"/>
        <w:rPr>
          <w:sz w:val="20"/>
          <w:szCs w:val="20"/>
          <w:color w:val="auto"/>
        </w:rPr>
      </w:pPr>
    </w:p>
    <w:p>
      <w:pPr>
        <w:ind w:left="1000" w:right="540" w:hanging="283"/>
        <w:spacing w:after="0" w:line="272"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Sales. </w:t>
      </w:r>
      <w:r>
        <w:rPr>
          <w:rFonts w:ascii="Arial" w:cs="Arial" w:eastAsia="Arial" w:hAnsi="Arial"/>
          <w:sz w:val="17"/>
          <w:szCs w:val="17"/>
          <w:color w:val="auto"/>
        </w:rPr>
        <w:t>Size markets, build efficient go-to-market strategies and generate actionable intelligence including prospect and decision maker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w:t>
      </w:r>
    </w:p>
    <w:p>
      <w:pPr>
        <w:spacing w:after="0" w:line="76" w:lineRule="exact"/>
        <w:rPr>
          <w:rFonts w:ascii="Arial" w:cs="Arial" w:eastAsia="Arial" w:hAnsi="Arial"/>
          <w:sz w:val="17"/>
          <w:szCs w:val="17"/>
          <w:color w:val="auto"/>
        </w:rPr>
      </w:pPr>
    </w:p>
    <w:p>
      <w:pPr>
        <w:ind w:left="1000" w:hanging="283"/>
        <w:spacing w:after="0" w:line="272"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Develop highly targeted marketing campaigns and gain contextual intelligence to quantify Return on Investment (“ROI”) for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services.</w:t>
      </w:r>
    </w:p>
    <w:p>
      <w:pPr>
        <w:spacing w:after="0" w:line="76" w:lineRule="exact"/>
        <w:rPr>
          <w:rFonts w:ascii="Arial" w:cs="Arial" w:eastAsia="Arial" w:hAnsi="Arial"/>
          <w:sz w:val="17"/>
          <w:szCs w:val="17"/>
          <w:color w:val="auto"/>
        </w:rPr>
      </w:pPr>
    </w:p>
    <w:p>
      <w:pPr>
        <w:ind w:left="1000" w:right="100" w:hanging="283"/>
        <w:spacing w:after="0" w:line="340" w:lineRule="auto"/>
        <w:tabs>
          <w:tab w:leader="none" w:pos="100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Clinical Research &amp; Product Development. </w:t>
      </w:r>
      <w:r>
        <w:rPr>
          <w:rFonts w:ascii="Arial" w:cs="Arial" w:eastAsia="Arial" w:hAnsi="Arial"/>
          <w:sz w:val="15"/>
          <w:szCs w:val="15"/>
          <w:color w:val="auto"/>
        </w:rPr>
        <w:t>Identify experts within a specific disease area to find important sites for clinical trials and make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data-driven investment decisions. We recently launched our Latitude Reporting, enabling custom patient cohort creation and analytics.</w:t>
      </w:r>
    </w:p>
    <w:p>
      <w:pPr>
        <w:spacing w:after="0" w:line="30" w:lineRule="exact"/>
        <w:rPr>
          <w:rFonts w:ascii="Arial" w:cs="Arial" w:eastAsia="Arial" w:hAnsi="Arial"/>
          <w:sz w:val="15"/>
          <w:szCs w:val="15"/>
          <w:color w:val="auto"/>
        </w:rPr>
      </w:pPr>
    </w:p>
    <w:p>
      <w:pPr>
        <w:ind w:left="1000" w:hanging="283"/>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Strategy. </w:t>
      </w:r>
      <w:r>
        <w:rPr>
          <w:rFonts w:ascii="Arial" w:cs="Arial" w:eastAsia="Arial" w:hAnsi="Arial"/>
          <w:sz w:val="17"/>
          <w:szCs w:val="17"/>
          <w:color w:val="auto"/>
        </w:rPr>
        <w:t>Size patient populations and identify market opportunities for new therapeutics, diagnostics and medical devices.</w:t>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00"/>
          </w:cols>
          <w:pgMar w:left="320" w:top="466" w:right="97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6204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66535" cy="62045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0" w:right="540" w:hanging="283"/>
        <w:spacing w:after="0" w:line="272"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Talent Acquisition. </w:t>
      </w:r>
      <w:r>
        <w:rPr>
          <w:rFonts w:ascii="Arial" w:cs="Arial" w:eastAsia="Arial" w:hAnsi="Arial"/>
          <w:sz w:val="17"/>
          <w:szCs w:val="17"/>
          <w:color w:val="auto"/>
        </w:rPr>
        <w:t>Identify and conduct outreach to candidates for healthcare-specific roles including physicians, nurses and hospital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executives.</w:t>
      </w:r>
    </w:p>
    <w:p>
      <w:pPr>
        <w:spacing w:after="0" w:line="76" w:lineRule="exact"/>
        <w:rPr>
          <w:rFonts w:ascii="Arial" w:cs="Arial" w:eastAsia="Arial" w:hAnsi="Arial"/>
          <w:sz w:val="17"/>
          <w:szCs w:val="17"/>
          <w:color w:val="auto"/>
        </w:rPr>
      </w:pPr>
    </w:p>
    <w:p>
      <w:pPr>
        <w:ind w:left="1000" w:right="60" w:hanging="283"/>
        <w:spacing w:after="0" w:line="272"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Physician Network Management. </w:t>
      </w:r>
      <w:r>
        <w:rPr>
          <w:rFonts w:ascii="Arial" w:cs="Arial" w:eastAsia="Arial" w:hAnsi="Arial"/>
          <w:sz w:val="17"/>
          <w:szCs w:val="17"/>
          <w:color w:val="auto"/>
        </w:rPr>
        <w:t>Analyze opportunities to keep patients within a healthcare network and identify attractive physicians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to source patient referrals.</w:t>
      </w:r>
    </w:p>
    <w:p>
      <w:pPr>
        <w:spacing w:after="0" w:line="165" w:lineRule="exact"/>
        <w:rPr>
          <w:sz w:val="20"/>
          <w:szCs w:val="20"/>
          <w:color w:val="auto"/>
        </w:rPr>
      </w:pPr>
    </w:p>
    <w:p>
      <w:pPr>
        <w:ind w:left="620" w:right="300" w:firstLine="399"/>
        <w:spacing w:after="0" w:line="272" w:lineRule="auto"/>
        <w:rPr>
          <w:sz w:val="20"/>
          <w:szCs w:val="20"/>
          <w:color w:val="auto"/>
        </w:rPr>
      </w:pPr>
      <w:r>
        <w:rPr>
          <w:rFonts w:ascii="Arial" w:cs="Arial" w:eastAsia="Arial" w:hAnsi="Arial"/>
          <w:sz w:val="17"/>
          <w:szCs w:val="17"/>
          <w:color w:val="auto"/>
        </w:rPr>
        <w:t>Our healthcare commercial intelligence platform brings together three powerful elements, which have been built, modified and improved upon over the last 11 years, to create a highly differentiated offering.</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These three elements are:</w:t>
      </w:r>
    </w:p>
    <w:p>
      <w:pPr>
        <w:spacing w:after="0" w:line="121" w:lineRule="exact"/>
        <w:rPr>
          <w:sz w:val="20"/>
          <w:szCs w:val="20"/>
          <w:color w:val="auto"/>
        </w:rPr>
      </w:pPr>
    </w:p>
    <w:p>
      <w:pPr>
        <w:ind w:left="1000" w:hanging="28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In-depth and High-quality Intelligence </w:t>
      </w:r>
      <w:r>
        <w:rPr>
          <w:rFonts w:ascii="Arial" w:cs="Arial" w:eastAsia="Arial" w:hAnsi="Arial"/>
          <w:sz w:val="17"/>
          <w:szCs w:val="17"/>
          <w:color w:val="auto"/>
        </w:rPr>
        <w:t>on healthcare providers across the U.S.;</w:t>
      </w:r>
    </w:p>
    <w:p>
      <w:pPr>
        <w:spacing w:after="0" w:line="121" w:lineRule="exact"/>
        <w:rPr>
          <w:rFonts w:ascii="Arial" w:cs="Arial" w:eastAsia="Arial" w:hAnsi="Arial"/>
          <w:sz w:val="17"/>
          <w:szCs w:val="17"/>
          <w:color w:val="auto"/>
        </w:rPr>
      </w:pPr>
    </w:p>
    <w:p>
      <w:pPr>
        <w:ind w:left="1000" w:right="700" w:hanging="283"/>
        <w:spacing w:after="0" w:line="272"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Artificial Intelligence (“A.I.”) Engine, </w:t>
      </w:r>
      <w:r>
        <w:rPr>
          <w:rFonts w:ascii="Arial" w:cs="Arial" w:eastAsia="Arial" w:hAnsi="Arial"/>
          <w:sz w:val="17"/>
          <w:szCs w:val="17"/>
          <w:color w:val="auto"/>
        </w:rPr>
        <w:t>built by our team of data scientists, that cleanses, links and creates new information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w:t>
      </w:r>
    </w:p>
    <w:p>
      <w:pPr>
        <w:spacing w:after="0" w:line="76" w:lineRule="exact"/>
        <w:rPr>
          <w:rFonts w:ascii="Arial" w:cs="Arial" w:eastAsia="Arial" w:hAnsi="Arial"/>
          <w:sz w:val="17"/>
          <w:szCs w:val="17"/>
          <w:color w:val="auto"/>
        </w:rPr>
      </w:pPr>
    </w:p>
    <w:p>
      <w:pPr>
        <w:ind w:left="1000" w:right="280" w:hanging="283"/>
        <w:spacing w:after="0" w:line="272"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Intuitive Front-end SaaS Platform </w:t>
      </w:r>
      <w:r>
        <w:rPr>
          <w:rFonts w:ascii="Arial" w:cs="Arial" w:eastAsia="Arial" w:hAnsi="Arial"/>
          <w:sz w:val="17"/>
          <w:szCs w:val="17"/>
          <w:color w:val="auto"/>
        </w:rPr>
        <w:t>that provides customers with the ability to analyze the healthcare ecosystem in real-time,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actionable insights and create a path to commercial success.</w:t>
      </w:r>
    </w:p>
    <w:p>
      <w:pPr>
        <w:spacing w:after="0" w:line="165" w:lineRule="exact"/>
        <w:rPr>
          <w:sz w:val="20"/>
          <w:szCs w:val="20"/>
          <w:color w:val="auto"/>
        </w:rPr>
      </w:pPr>
    </w:p>
    <w:p>
      <w:pPr>
        <w:ind w:left="620" w:right="40" w:firstLine="399"/>
        <w:spacing w:after="0" w:line="256" w:lineRule="auto"/>
        <w:rPr>
          <w:sz w:val="20"/>
          <w:szCs w:val="20"/>
          <w:color w:val="auto"/>
        </w:rPr>
      </w:pPr>
      <w:r>
        <w:rPr>
          <w:rFonts w:ascii="Arial" w:cs="Arial" w:eastAsia="Arial" w:hAnsi="Arial"/>
          <w:sz w:val="17"/>
          <w:szCs w:val="17"/>
          <w:color w:val="auto"/>
        </w:rPr>
        <w:t>Any company selling or competing within the healthcare ecosystem is a potential customer for us and contributes to our estimated current Total Addressable Market (“TAM”) of over $10 billion. In total, we have identified over 100,000 companies in our primary target markets—a number that continues to grow as more companies seek to compete within the attractive healthcare ecosystem, and we develop new and innovative analytics that appeal to a broader number of companies and use cases.</w:t>
      </w:r>
    </w:p>
    <w:p>
      <w:pPr>
        <w:spacing w:after="0" w:line="179" w:lineRule="exact"/>
        <w:rPr>
          <w:sz w:val="20"/>
          <w:szCs w:val="20"/>
          <w:color w:val="auto"/>
        </w:rPr>
      </w:pPr>
    </w:p>
    <w:p>
      <w:pPr>
        <w:jc w:val="both"/>
        <w:ind w:left="620" w:firstLine="399"/>
        <w:spacing w:after="0" w:line="284" w:lineRule="auto"/>
        <w:rPr>
          <w:sz w:val="20"/>
          <w:szCs w:val="20"/>
          <w:color w:val="auto"/>
        </w:rPr>
      </w:pPr>
      <w:r>
        <w:rPr>
          <w:rFonts w:ascii="Arial" w:cs="Arial" w:eastAsia="Arial" w:hAnsi="Arial"/>
          <w:sz w:val="16"/>
          <w:szCs w:val="16"/>
          <w:color w:val="auto"/>
        </w:rPr>
        <w:t>We reach these customers through a highly efficient sales and marketing engine as demonstrated by our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57" w:lineRule="exact"/>
        <w:rPr>
          <w:sz w:val="20"/>
          <w:szCs w:val="20"/>
          <w:color w:val="auto"/>
        </w:rPr>
      </w:pPr>
    </w:p>
    <w:p>
      <w:pPr>
        <w:ind w:left="620" w:right="300" w:firstLine="399"/>
        <w:spacing w:after="0" w:line="284" w:lineRule="auto"/>
        <w:rPr>
          <w:sz w:val="20"/>
          <w:szCs w:val="20"/>
          <w:color w:val="auto"/>
        </w:rPr>
      </w:pPr>
      <w:r>
        <w:rPr>
          <w:rFonts w:ascii="Arial" w:cs="Arial" w:eastAsia="Arial" w:hAnsi="Arial"/>
          <w:sz w:val="16"/>
          <w:szCs w:val="16"/>
          <w:color w:val="auto"/>
        </w:rPr>
        <w:t>We were founded in 2011 by our CEO, Jason Krantz, who has cultivated a culture of innovation that attracts and retains a highly talented team. Our seasoned executive team and over 640 employees are committed to growing a platform that delivers meaningful insights to our customers. This has resulted in a highly scalable business model and strong financial performance, including:</w:t>
      </w:r>
    </w:p>
    <w:p>
      <w:pPr>
        <w:spacing w:after="0" w:line="69" w:lineRule="exact"/>
        <w:rPr>
          <w:sz w:val="20"/>
          <w:szCs w:val="20"/>
          <w:color w:val="auto"/>
        </w:rPr>
      </w:pPr>
    </w:p>
    <w:p>
      <w:pPr>
        <w:ind w:left="1000" w:hanging="283"/>
        <w:spacing w:after="0" w:line="260"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History of Significant Revenue Growth at Scale</w:t>
      </w:r>
      <w:r>
        <w:rPr>
          <w:rFonts w:ascii="Arial" w:cs="Arial" w:eastAsia="Arial" w:hAnsi="Arial"/>
          <w:sz w:val="17"/>
          <w:szCs w:val="17"/>
          <w:color w:val="auto"/>
        </w:rPr>
        <w:t>. 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38% growth. We generated revenue of $119.8 million and $84.7 million in the nine months ended September 30, 2021 and 2020, respectively, representing 41% growth.</w:t>
      </w:r>
    </w:p>
    <w:p>
      <w:pPr>
        <w:spacing w:after="0" w:line="86" w:lineRule="exact"/>
        <w:rPr>
          <w:rFonts w:ascii="Arial" w:cs="Arial" w:eastAsia="Arial" w:hAnsi="Arial"/>
          <w:sz w:val="17"/>
          <w:szCs w:val="17"/>
          <w:color w:val="auto"/>
        </w:rPr>
      </w:pPr>
    </w:p>
    <w:p>
      <w:pPr>
        <w:ind w:left="1000" w:right="200" w:hanging="283"/>
        <w:spacing w:after="0" w:line="340" w:lineRule="auto"/>
        <w:tabs>
          <w:tab w:leader="none" w:pos="100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Subscription-based Business Model with Significant Visibility</w:t>
      </w:r>
      <w:r>
        <w:rPr>
          <w:rFonts w:ascii="Arial" w:cs="Arial" w:eastAsia="Arial" w:hAnsi="Arial"/>
          <w:sz w:val="15"/>
          <w:szCs w:val="15"/>
          <w:color w:val="auto"/>
        </w:rPr>
        <w:t>. We generate substantially all of our revenue from subscription fees,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accounted for 99% of our revenue for the year ended December 31, 2020 and the nine months ended September 30, 2021.</w:t>
      </w:r>
    </w:p>
    <w:p>
      <w:pPr>
        <w:spacing w:after="0" w:line="30" w:lineRule="exact"/>
        <w:rPr>
          <w:rFonts w:ascii="Arial" w:cs="Arial" w:eastAsia="Arial" w:hAnsi="Arial"/>
          <w:sz w:val="15"/>
          <w:szCs w:val="15"/>
          <w:color w:val="auto"/>
        </w:rPr>
      </w:pPr>
    </w:p>
    <w:p>
      <w:pPr>
        <w:ind w:left="1000" w:right="240" w:hanging="283"/>
        <w:spacing w:after="0" w:line="260"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Diversified Customer Base</w:t>
      </w:r>
      <w:r>
        <w:rPr>
          <w:rFonts w:ascii="Arial" w:cs="Arial" w:eastAsia="Arial" w:hAnsi="Arial"/>
          <w:sz w:val="17"/>
          <w:szCs w:val="17"/>
          <w:color w:val="auto"/>
        </w:rPr>
        <w:t>. Over 2,700 companies use our platform to help sell into or compete in the healthcare ecosystem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2021. No single customer made up more than 2% of our revenue for the nine months ended September 30, 2021 or the year ended December 31, 2020.</w:t>
      </w:r>
    </w:p>
    <w:p>
      <w:pPr>
        <w:spacing w:after="0" w:line="86" w:lineRule="exact"/>
        <w:rPr>
          <w:rFonts w:ascii="Arial" w:cs="Arial" w:eastAsia="Arial" w:hAnsi="Arial"/>
          <w:sz w:val="17"/>
          <w:szCs w:val="17"/>
          <w:color w:val="auto"/>
        </w:rPr>
      </w:pPr>
    </w:p>
    <w:p>
      <w:pPr>
        <w:ind w:left="1000" w:right="160" w:hanging="283"/>
        <w:spacing w:after="0" w:line="252"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Strong Retention and Growth of Existing Customers</w:t>
      </w:r>
      <w:r>
        <w:rPr>
          <w:rFonts w:ascii="Arial" w:cs="Arial" w:eastAsia="Arial" w:hAnsi="Arial"/>
          <w:sz w:val="17"/>
          <w:szCs w:val="17"/>
          <w:color w:val="auto"/>
        </w:rPr>
        <w:t>. Our ability to retain and grow existing customer relationships is reflected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number of Enterprise Customers, which we define as customers generating more than $100,000 in ARR (“Enterprise Customers”). For the year ended December 31, 2020, we had 292 Enterprise Customers, compared to 221 Enterprise Customers for the year ended December 31, 2019, with an average Net Dollar Retention Rate of 124%. We had 377 Enterprise Customers for the nine months ended September 30, 2021 compared to 252 Enterprise Customers for the nine months ended September 30, 2020, and we added 28 Enterprise Customers in the three months ended September 30, 2021. Our 377 Enterprise Customers for the nine months ended September 30, 2021 represent over half of our ARR.</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80"/>
          </w:cols>
          <w:pgMar w:left="320" w:top="466" w:right="99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344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66535" cy="534416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0" w:right="40" w:hanging="283"/>
        <w:spacing w:after="0" w:line="288" w:lineRule="auto"/>
        <w:tabs>
          <w:tab w:leader="none" w:pos="1000" w:val="left"/>
        </w:tabs>
        <w:numPr>
          <w:ilvl w:val="0"/>
          <w:numId w:val="13"/>
        </w:numPr>
        <w:rPr>
          <w:rFonts w:ascii="Arial" w:cs="Arial" w:eastAsia="Arial" w:hAnsi="Arial"/>
          <w:sz w:val="15"/>
          <w:szCs w:val="15"/>
          <w:color w:val="auto"/>
        </w:rPr>
      </w:pPr>
      <w:r>
        <w:rPr>
          <w:rFonts w:ascii="Arial" w:cs="Arial" w:eastAsia="Arial" w:hAnsi="Arial"/>
          <w:sz w:val="15"/>
          <w:szCs w:val="15"/>
          <w:b w:val="1"/>
          <w:bCs w:val="1"/>
          <w:i w:val="1"/>
          <w:iCs w:val="1"/>
          <w:color w:val="auto"/>
        </w:rPr>
        <w:t>History of Strong Financial Performance</w:t>
      </w:r>
      <w:r>
        <w:rPr>
          <w:rFonts w:ascii="Arial" w:cs="Arial" w:eastAsia="Arial" w:hAnsi="Arial"/>
          <w:sz w:val="15"/>
          <w:szCs w:val="15"/>
          <w:color w:val="auto"/>
        </w:rPr>
        <w:t>. Our business model generates strong financial performance and cash flows. Our net loss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$51.2 million for the year ended December 31, 2020 as compared to a net loss of $49.3 million for the period from July 16, 2019 to December 31, 2019 and net income of $12.9 million for the period from January 1, 2019 to July 15, 2019. Our net loss was $46.5 million and $35.3 million for the nine months ended September 30, 2021 and 2020, respectively. For the year ended December 31, 2020, our Net Loss Margin was (43)% and our Gross Margin was 74%. For the nine months ended September 30, 2021, our Net Loss Margin was (39)% and our Gross Margin was 75%. For the nine months ended September 30, 2021 and the year ended December 31, 2020, our Adjusted Gross Margin was 88% and 91%, respectively, and our Adjusted EBITDA was $42.9 million and $53.5 million, respectively, reflecting Adjusted EBITDA Margins of 45% for 2020 and 36% for the nine months ended September 30, 2021.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Industry Background</w:t>
      </w:r>
    </w:p>
    <w:p>
      <w:pPr>
        <w:spacing w:after="0" w:line="112" w:lineRule="exact"/>
        <w:rPr>
          <w:sz w:val="20"/>
          <w:szCs w:val="20"/>
          <w:color w:val="auto"/>
        </w:rPr>
      </w:pPr>
    </w:p>
    <w:p>
      <w:pPr>
        <w:ind w:left="620" w:firstLine="399"/>
        <w:spacing w:after="0" w:line="293" w:lineRule="auto"/>
        <w:rPr>
          <w:sz w:val="20"/>
          <w:szCs w:val="20"/>
          <w:color w:val="auto"/>
        </w:rPr>
      </w:pPr>
      <w:r>
        <w:rPr>
          <w:rFonts w:ascii="Arial" w:cs="Arial" w:eastAsia="Arial" w:hAnsi="Arial"/>
          <w:sz w:val="15"/>
          <w:szCs w:val="15"/>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Commercializing and selling solutions in healthcare is difficult</w:t>
      </w:r>
    </w:p>
    <w:p>
      <w:pPr>
        <w:spacing w:after="0" w:line="108" w:lineRule="exact"/>
        <w:rPr>
          <w:sz w:val="20"/>
          <w:szCs w:val="20"/>
          <w:color w:val="auto"/>
        </w:rPr>
      </w:pPr>
    </w:p>
    <w:p>
      <w:pPr>
        <w:ind w:left="620" w:right="20" w:firstLine="399"/>
        <w:spacing w:after="0" w:line="272" w:lineRule="auto"/>
        <w:rPr>
          <w:sz w:val="20"/>
          <w:szCs w:val="20"/>
          <w:color w:val="auto"/>
        </w:rPr>
      </w:pPr>
      <w:r>
        <w:rPr>
          <w:rFonts w:ascii="Arial" w:cs="Arial" w:eastAsia="Arial" w:hAnsi="Arial"/>
          <w:sz w:val="17"/>
          <w:szCs w:val="17"/>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jc w:val="both"/>
        <w:ind w:left="1000" w:right="80" w:hanging="283"/>
        <w:spacing w:after="0" w:line="260"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Companies are selling to an entire ecosystem, not a single company</w:t>
      </w:r>
      <w:r>
        <w:rPr>
          <w:rFonts w:ascii="Arial" w:cs="Arial" w:eastAsia="Arial" w:hAnsi="Arial"/>
          <w:sz w:val="17"/>
          <w:szCs w:val="17"/>
          <w:color w:val="auto"/>
        </w:rPr>
        <w:t>. There are a large number of stakeholders including providers, payers,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agencies and regulators that are intermingled in meeting the needs of over 300 million potential patients in the U.S. as of May 1, 2021.</w:t>
      </w:r>
    </w:p>
    <w:p>
      <w:pPr>
        <w:spacing w:after="0" w:line="86" w:lineRule="exact"/>
        <w:rPr>
          <w:rFonts w:ascii="Arial" w:cs="Arial" w:eastAsia="Arial" w:hAnsi="Arial"/>
          <w:sz w:val="17"/>
          <w:szCs w:val="17"/>
          <w:color w:val="auto"/>
        </w:rPr>
      </w:pPr>
    </w:p>
    <w:p>
      <w:pPr>
        <w:ind w:left="1000" w:right="60" w:hanging="283"/>
        <w:spacing w:after="0" w:line="272"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It is challenging to identify the true decision maker</w:t>
      </w:r>
      <w:r>
        <w:rPr>
          <w:rFonts w:ascii="Arial" w:cs="Arial" w:eastAsia="Arial" w:hAnsi="Arial"/>
          <w:sz w:val="17"/>
          <w:szCs w:val="17"/>
          <w:color w:val="auto"/>
        </w:rPr>
        <w:t>. The healthcare ecosystem is highly interconnected and understanding how stakeholders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affiliated and related is critical to properly identifying true decision makers.</w:t>
      </w:r>
    </w:p>
    <w:p>
      <w:pPr>
        <w:spacing w:after="0" w:line="76" w:lineRule="exact"/>
        <w:rPr>
          <w:rFonts w:ascii="Arial" w:cs="Arial" w:eastAsia="Arial" w:hAnsi="Arial"/>
          <w:sz w:val="17"/>
          <w:szCs w:val="17"/>
          <w:color w:val="auto"/>
        </w:rPr>
      </w:pPr>
    </w:p>
    <w:p>
      <w:pPr>
        <w:ind w:left="1000" w:right="160" w:hanging="283"/>
        <w:spacing w:after="0" w:line="260"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To differentiate, companies need to tailor their product or service to specific pain points</w:t>
      </w:r>
      <w:r>
        <w:rPr>
          <w:rFonts w:ascii="Arial" w:cs="Arial" w:eastAsia="Arial" w:hAnsi="Arial"/>
          <w:sz w:val="17"/>
          <w:szCs w:val="17"/>
          <w:color w:val="auto"/>
        </w:rPr>
        <w:t>. Healthcare providers have a wide variety of pain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points to address. Understanding these pain points can help companies selling into healthcare target these pain points and allow them to derive value from our platform.</w:t>
      </w:r>
    </w:p>
    <w:p>
      <w:pPr>
        <w:spacing w:after="0" w:line="86" w:lineRule="exact"/>
        <w:rPr>
          <w:rFonts w:ascii="Arial" w:cs="Arial" w:eastAsia="Arial" w:hAnsi="Arial"/>
          <w:sz w:val="17"/>
          <w:szCs w:val="17"/>
          <w:color w:val="auto"/>
        </w:rPr>
      </w:pPr>
    </w:p>
    <w:p>
      <w:pPr>
        <w:ind w:left="1000" w:right="260" w:hanging="283"/>
        <w:spacing w:after="0" w:line="272"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Constant change</w:t>
      </w:r>
      <w:r>
        <w:rPr>
          <w:rFonts w:ascii="Arial" w:cs="Arial" w:eastAsia="Arial" w:hAnsi="Arial"/>
          <w:sz w:val="17"/>
          <w:szCs w:val="17"/>
          <w:color w:val="auto"/>
        </w:rPr>
        <w:t>. The healthcare industry is in a constant state of change including changing regulations and adoption of new patient 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w:t>
      </w:r>
    </w:p>
    <w:p>
      <w:pPr>
        <w:spacing w:after="0" w:line="76" w:lineRule="exact"/>
        <w:rPr>
          <w:rFonts w:ascii="Arial" w:cs="Arial" w:eastAsia="Arial" w:hAnsi="Arial"/>
          <w:sz w:val="17"/>
          <w:szCs w:val="17"/>
          <w:color w:val="auto"/>
        </w:rPr>
      </w:pPr>
    </w:p>
    <w:p>
      <w:pPr>
        <w:ind w:left="1000" w:right="140" w:hanging="283"/>
        <w:spacing w:after="0" w:line="260"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is a high-stakes industry where success is difficult to achieve. </w:t>
      </w:r>
      <w:r>
        <w:rPr>
          <w:rFonts w:ascii="Arial" w:cs="Arial" w:eastAsia="Arial" w:hAnsi="Arial"/>
          <w:sz w:val="17"/>
          <w:szCs w:val="17"/>
          <w:color w:val="auto"/>
        </w:rPr>
        <w:t>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Approximately 50% of drug launches underperform expectations.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00"/>
          </w:cols>
          <w:pgMar w:left="320" w:top="466" w:right="97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5454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66535" cy="55454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20"/>
        <w:spacing w:after="0"/>
        <w:rPr>
          <w:sz w:val="20"/>
          <w:szCs w:val="20"/>
          <w:color w:val="auto"/>
        </w:rPr>
      </w:pPr>
      <w:r>
        <w:rPr>
          <w:rFonts w:ascii="Arial" w:cs="Arial" w:eastAsia="Arial" w:hAnsi="Arial"/>
          <w:sz w:val="17"/>
          <w:szCs w:val="17"/>
          <w:b w:val="1"/>
          <w:bCs w:val="1"/>
          <w:i w:val="1"/>
          <w:iCs w:val="1"/>
          <w:color w:val="auto"/>
        </w:rPr>
        <w:t>Alternative solutions do not provide the intelligence customers most benefit from</w:t>
      </w:r>
    </w:p>
    <w:p>
      <w:pPr>
        <w:spacing w:after="0" w:line="108" w:lineRule="exact"/>
        <w:rPr>
          <w:sz w:val="20"/>
          <w:szCs w:val="20"/>
          <w:color w:val="auto"/>
        </w:rPr>
      </w:pPr>
    </w:p>
    <w:p>
      <w:pPr>
        <w:jc w:val="both"/>
        <w:ind w:left="620" w:firstLine="399"/>
        <w:spacing w:after="0" w:line="311" w:lineRule="auto"/>
        <w:rPr>
          <w:sz w:val="20"/>
          <w:szCs w:val="20"/>
          <w:color w:val="auto"/>
        </w:rPr>
      </w:pPr>
      <w:r>
        <w:rPr>
          <w:rFonts w:ascii="Arial" w:cs="Arial" w:eastAsia="Arial" w:hAnsi="Arial"/>
          <w:sz w:val="15"/>
          <w:szCs w:val="15"/>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Alternative solutions available today fall short in three ways:</w:t>
      </w:r>
    </w:p>
    <w:p>
      <w:pPr>
        <w:spacing w:after="0" w:line="117" w:lineRule="exact"/>
        <w:rPr>
          <w:sz w:val="20"/>
          <w:szCs w:val="20"/>
          <w:color w:val="auto"/>
        </w:rPr>
      </w:pPr>
    </w:p>
    <w:p>
      <w:pPr>
        <w:ind w:left="1000" w:right="80" w:hanging="283"/>
        <w:spacing w:after="0" w:line="279"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Lack of Healthcare Depth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Generalized Sales and Marketing intelligence providers do not provide the healthcare specific intelligence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critical to success in the healthcare industry. This healthcare 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68" w:lineRule="exact"/>
        <w:rPr>
          <w:rFonts w:ascii="Arial" w:cs="Arial" w:eastAsia="Arial" w:hAnsi="Arial"/>
          <w:sz w:val="16"/>
          <w:szCs w:val="16"/>
          <w:color w:val="auto"/>
        </w:rPr>
      </w:pPr>
    </w:p>
    <w:p>
      <w:pPr>
        <w:ind w:left="1000" w:right="140" w:hanging="283"/>
        <w:spacing w:after="0" w:line="25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No Comprehensive and Integrated View of the Entire Healthcare Ecosystem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solutions typically provide only certain elements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healthcare ecosystem—to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3" w:lineRule="exact"/>
        <w:rPr>
          <w:rFonts w:ascii="Arial" w:cs="Arial" w:eastAsia="Arial" w:hAnsi="Arial"/>
          <w:sz w:val="17"/>
          <w:szCs w:val="17"/>
          <w:color w:val="auto"/>
        </w:rPr>
      </w:pPr>
    </w:p>
    <w:p>
      <w:pPr>
        <w:ind w:left="1000" w:hanging="283"/>
        <w:spacing w:after="0" w:line="255"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Manual and Not Real-time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party consultants are often used to pull together various data sources and compile a view of the healthcare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The Definitive Healthcare Platform</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Industry Leading SaaS-based Healthcare Commercial Intelligence</w:t>
      </w:r>
    </w:p>
    <w:p>
      <w:pPr>
        <w:spacing w:after="0" w:line="108" w:lineRule="exact"/>
        <w:rPr>
          <w:sz w:val="20"/>
          <w:szCs w:val="20"/>
          <w:color w:val="auto"/>
        </w:rPr>
      </w:pPr>
    </w:p>
    <w:p>
      <w:pPr>
        <w:ind w:left="620" w:right="140" w:firstLine="399"/>
        <w:spacing w:after="0" w:line="301" w:lineRule="auto"/>
        <w:rPr>
          <w:sz w:val="20"/>
          <w:szCs w:val="20"/>
          <w:color w:val="auto"/>
        </w:rPr>
      </w:pPr>
      <w:r>
        <w:rPr>
          <w:rFonts w:ascii="Arial" w:cs="Arial" w:eastAsia="Arial" w:hAnsi="Arial"/>
          <w:sz w:val="15"/>
          <w:szCs w:val="15"/>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Our platform provides the following benefits to customers:</w:t>
      </w:r>
    </w:p>
    <w:p>
      <w:pPr>
        <w:spacing w:after="0" w:line="121" w:lineRule="exact"/>
        <w:rPr>
          <w:sz w:val="20"/>
          <w:szCs w:val="20"/>
          <w:color w:val="auto"/>
        </w:rPr>
      </w:pPr>
    </w:p>
    <w:p>
      <w:pPr>
        <w:ind w:left="1000" w:right="80" w:hanging="283"/>
        <w:spacing w:after="0" w:line="260"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comprehensive view of the entire healthcare ecosystem </w:t>
      </w:r>
      <w:r>
        <w:rPr>
          <w:rFonts w:ascii="Arial" w:cs="Arial" w:eastAsia="Arial" w:hAnsi="Arial"/>
          <w:sz w:val="17"/>
          <w:szCs w:val="17"/>
          <w:color w:val="auto"/>
        </w:rPr>
        <w:t>including intelligence on hospitals, physicians, physician groups, clinics, imaging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centers, long-term care facilities, ambulatory surgery centers, payers, virtual care providers, Group Purchasing Organizations (“GPOs”) and others.</w:t>
      </w:r>
    </w:p>
    <w:p>
      <w:pPr>
        <w:spacing w:after="0" w:line="86" w:lineRule="exact"/>
        <w:rPr>
          <w:rFonts w:ascii="Arial" w:cs="Arial" w:eastAsia="Arial" w:hAnsi="Arial"/>
          <w:sz w:val="17"/>
          <w:szCs w:val="17"/>
          <w:color w:val="auto"/>
        </w:rPr>
      </w:pPr>
    </w:p>
    <w:p>
      <w:pPr>
        <w:ind w:left="1000" w:right="100" w:hanging="283"/>
        <w:spacing w:after="0" w:line="272"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Detailed analytics and insight on how these companies and physicians are interconnected </w:t>
      </w:r>
      <w:r>
        <w:rPr>
          <w:rFonts w:ascii="Arial" w:cs="Arial" w:eastAsia="Arial" w:hAnsi="Arial"/>
          <w:sz w:val="17"/>
          <w:szCs w:val="17"/>
          <w:color w:val="auto"/>
        </w:rPr>
        <w:t>through affiliations, referrals and shared patient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all linked together through the proprietary Definitive ID.</w:t>
      </w:r>
    </w:p>
    <w:p>
      <w:pPr>
        <w:spacing w:after="0" w:line="76" w:lineRule="exact"/>
        <w:rPr>
          <w:rFonts w:ascii="Arial" w:cs="Arial" w:eastAsia="Arial" w:hAnsi="Arial"/>
          <w:sz w:val="17"/>
          <w:szCs w:val="17"/>
          <w:color w:val="auto"/>
        </w:rPr>
      </w:pPr>
    </w:p>
    <w:p>
      <w:pPr>
        <w:ind w:left="1000" w:right="100" w:hanging="283"/>
        <w:spacing w:after="0" w:line="260"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Healthcare-specific intelligence </w:t>
      </w:r>
      <w:r>
        <w:rPr>
          <w:rFonts w:ascii="Arial" w:cs="Arial" w:eastAsia="Arial" w:hAnsi="Arial"/>
          <w:sz w:val="17"/>
          <w:szCs w:val="17"/>
          <w:color w:val="auto"/>
        </w:rPr>
        <w:t>including daily opportunities such as new patient starts and Request for Proposals (“RFPs”), procedure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diagnosis volumes, patient leakage, quality of care analytics, financial metrics, technology infrastructure of providers and healthcare stakeholder intelligence with detailed contact information.</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80"/>
          </w:cols>
          <w:pgMar w:left="320" w:top="466" w:right="9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384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66535" cy="538416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0" w:hanging="283"/>
        <w:spacing w:after="0"/>
        <w:tabs>
          <w:tab w:leader="none" w:pos="100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Answers, not just raw data </w:t>
      </w:r>
      <w:r>
        <w:rPr>
          <w:rFonts w:ascii="Arial" w:cs="Arial" w:eastAsia="Arial" w:hAnsi="Arial"/>
          <w:sz w:val="15"/>
          <w:szCs w:val="15"/>
          <w:color w:val="auto"/>
        </w:rPr>
        <w:t>to ensure our customers spend their time developing and executing on their vision rather than analyzing data.</w:t>
      </w:r>
    </w:p>
    <w:p>
      <w:pPr>
        <w:spacing w:after="0" w:line="144" w:lineRule="exact"/>
        <w:rPr>
          <w:rFonts w:ascii="Arial" w:cs="Arial" w:eastAsia="Arial" w:hAnsi="Arial"/>
          <w:sz w:val="15"/>
          <w:szCs w:val="15"/>
          <w:color w:val="auto"/>
        </w:rPr>
      </w:pPr>
    </w:p>
    <w:p>
      <w:pPr>
        <w:ind w:left="1000" w:right="560" w:hanging="283"/>
        <w:spacing w:after="0" w:line="272"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Delivered through an intelligent SaaS platform </w:t>
      </w:r>
      <w:r>
        <w:rPr>
          <w:rFonts w:ascii="Arial" w:cs="Arial" w:eastAsia="Arial" w:hAnsi="Arial"/>
          <w:sz w:val="17"/>
          <w:szCs w:val="17"/>
          <w:color w:val="auto"/>
        </w:rPr>
        <w:t>that combines our comprehensive intelligence with analytical capabilities to help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uncover actionable insights and make better decisions, simplifying trend identification.</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Data Sources and Data Engine</w:t>
      </w:r>
    </w:p>
    <w:p>
      <w:pPr>
        <w:spacing w:after="0" w:line="112" w:lineRule="exact"/>
        <w:rPr>
          <w:sz w:val="20"/>
          <w:szCs w:val="20"/>
          <w:color w:val="auto"/>
        </w:rPr>
      </w:pPr>
    </w:p>
    <w:p>
      <w:pPr>
        <w:ind w:left="620" w:firstLine="399"/>
        <w:spacing w:after="0" w:line="253" w:lineRule="auto"/>
        <w:rPr>
          <w:sz w:val="20"/>
          <w:szCs w:val="20"/>
          <w:color w:val="auto"/>
        </w:rPr>
      </w:pPr>
      <w:r>
        <w:rPr>
          <w:rFonts w:ascii="Arial" w:cs="Arial" w:eastAsia="Arial" w:hAnsi="Arial"/>
          <w:sz w:val="17"/>
          <w:szCs w:val="17"/>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customers.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93" w:lineRule="exact"/>
        <w:rPr>
          <w:sz w:val="20"/>
          <w:szCs w:val="20"/>
          <w:color w:val="auto"/>
        </w:rPr>
      </w:pPr>
    </w:p>
    <w:p>
      <w:pPr>
        <w:ind w:left="1000" w:hanging="283"/>
        <w:spacing w:after="0"/>
        <w:tabs>
          <w:tab w:leader="none" w:pos="100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First Party Research</w:t>
      </w:r>
      <w:r>
        <w:rPr>
          <w:rFonts w:ascii="Arial" w:cs="Arial" w:eastAsia="Arial" w:hAnsi="Arial"/>
          <w:sz w:val="15"/>
          <w:szCs w:val="15"/>
          <w:color w:val="auto"/>
        </w:rPr>
        <w:t>. Our team conducts primary research via 650,000 annual research calls and 3.7 million e-mail outreaches per year.</w:t>
      </w:r>
    </w:p>
    <w:p>
      <w:pPr>
        <w:spacing w:after="0" w:line="140" w:lineRule="exact"/>
        <w:rPr>
          <w:rFonts w:ascii="Arial" w:cs="Arial" w:eastAsia="Arial" w:hAnsi="Arial"/>
          <w:sz w:val="15"/>
          <w:szCs w:val="15"/>
          <w:color w:val="auto"/>
        </w:rPr>
      </w:pPr>
    </w:p>
    <w:p>
      <w:pPr>
        <w:ind w:left="1000" w:right="260" w:hanging="283"/>
        <w:spacing w:after="0" w:line="276"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Unstructured Public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proprietary technologies to extract unstructured information found in over 250,000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journals, publications, news articles, job postings and other public information sources.</w:t>
      </w:r>
    </w:p>
    <w:p>
      <w:pPr>
        <w:spacing w:after="0" w:line="69" w:lineRule="exact"/>
        <w:rPr>
          <w:rFonts w:ascii="Arial" w:cs="Arial" w:eastAsia="Arial" w:hAnsi="Arial"/>
          <w:sz w:val="17"/>
          <w:szCs w:val="17"/>
          <w:color w:val="auto"/>
        </w:rPr>
      </w:pPr>
    </w:p>
    <w:p>
      <w:pPr>
        <w:ind w:left="1000" w:right="260" w:hanging="283"/>
        <w:spacing w:after="0" w:line="276"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Government and Regulatory Sources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automated processes for ingesting, updating and linking information from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20,000 sources, including the federal government, states, towns and municipalities across the U.S.</w:t>
      </w:r>
    </w:p>
    <w:p>
      <w:pPr>
        <w:spacing w:after="0" w:line="69" w:lineRule="exact"/>
        <w:rPr>
          <w:rFonts w:ascii="Arial" w:cs="Arial" w:eastAsia="Arial" w:hAnsi="Arial"/>
          <w:sz w:val="17"/>
          <w:szCs w:val="17"/>
          <w:color w:val="auto"/>
        </w:rPr>
      </w:pPr>
    </w:p>
    <w:p>
      <w:pPr>
        <w:ind w:left="1000" w:right="60" w:hanging="283"/>
        <w:spacing w:after="0" w:line="276"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Third-party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integrate, cleanse and link raw claims data and other information from third-party vendors, which provide us with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 billion claims covering over 250 million patients as of May 2021.</w:t>
      </w:r>
    </w:p>
    <w:p>
      <w:pPr>
        <w:spacing w:after="0" w:line="69" w:lineRule="exact"/>
        <w:rPr>
          <w:rFonts w:ascii="Arial" w:cs="Arial" w:eastAsia="Arial" w:hAnsi="Arial"/>
          <w:sz w:val="17"/>
          <w:szCs w:val="17"/>
          <w:color w:val="auto"/>
        </w:rPr>
      </w:pPr>
    </w:p>
    <w:p>
      <w:pPr>
        <w:ind w:left="1000" w:right="520" w:hanging="283"/>
        <w:spacing w:after="0" w:line="276"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Data Science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create new intelligence that is proprietary to us, which includes buyer intent, market extrapolations, cost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other intelligence.</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Competitive Strengths</w:t>
      </w:r>
    </w:p>
    <w:p>
      <w:pPr>
        <w:spacing w:after="0" w:line="125" w:lineRule="exact"/>
        <w:rPr>
          <w:sz w:val="20"/>
          <w:szCs w:val="20"/>
          <w:color w:val="auto"/>
        </w:rPr>
      </w:pPr>
    </w:p>
    <w:p>
      <w:pPr>
        <w:ind w:left="1000" w:right="300" w:hanging="283"/>
        <w:spacing w:after="0" w:line="260"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Healthcare-specific Intelligence</w:t>
      </w:r>
      <w:r>
        <w:rPr>
          <w:rFonts w:ascii="Arial" w:cs="Arial" w:eastAsia="Arial" w:hAnsi="Arial"/>
          <w:sz w:val="17"/>
          <w:szCs w:val="17"/>
          <w:color w:val="auto"/>
        </w:rPr>
        <w:t>. Over the last 11 years, we have built proprietary intelligence via first party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aggregated, linked, cleansed and inferred information from thousands of data sources and tied billions of data points together into a single longitudinal view of the entire healthcare ecosystem.</w:t>
      </w:r>
    </w:p>
    <w:p>
      <w:pPr>
        <w:spacing w:after="0" w:line="82" w:lineRule="exact"/>
        <w:rPr>
          <w:rFonts w:ascii="Arial" w:cs="Arial" w:eastAsia="Arial" w:hAnsi="Arial"/>
          <w:sz w:val="17"/>
          <w:szCs w:val="17"/>
          <w:color w:val="auto"/>
        </w:rPr>
      </w:pPr>
    </w:p>
    <w:p>
      <w:pPr>
        <w:ind w:left="1000" w:right="140" w:hanging="283"/>
        <w:spacing w:after="0" w:line="262"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An Integrated Data and Technology Foundation that Creates a Flywheel of Innovation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technology platform provides the foundation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rapid product development and innovation by leveraging our existing data assets to produce new modules and features that solve a growing number of our customers’ business problems.</w:t>
      </w:r>
    </w:p>
    <w:p>
      <w:pPr>
        <w:spacing w:after="0" w:line="81" w:lineRule="exact"/>
        <w:rPr>
          <w:rFonts w:ascii="Arial" w:cs="Arial" w:eastAsia="Arial" w:hAnsi="Arial"/>
          <w:sz w:val="17"/>
          <w:szCs w:val="17"/>
          <w:color w:val="auto"/>
        </w:rPr>
      </w:pPr>
    </w:p>
    <w:p>
      <w:pPr>
        <w:ind w:left="1000" w:right="340" w:hanging="283"/>
        <w:spacing w:after="0" w:line="262"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Powerful Go-to-Market Engine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highly efficient and effective go-to-market engine that combines effective marketing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inside sales force comprised of highly trained, vertically focused sales executives (“SEs”). The efficiency of our model is demonstrated through our 2020 LTV to CAC ratio of over 10x.</w:t>
      </w:r>
    </w:p>
    <w:p>
      <w:pPr>
        <w:spacing w:after="0" w:line="81" w:lineRule="exact"/>
        <w:rPr>
          <w:rFonts w:ascii="Arial" w:cs="Arial" w:eastAsia="Arial" w:hAnsi="Arial"/>
          <w:sz w:val="17"/>
          <w:szCs w:val="17"/>
          <w:color w:val="auto"/>
        </w:rPr>
      </w:pPr>
    </w:p>
    <w:p>
      <w:pPr>
        <w:ind w:left="1000" w:hanging="283"/>
        <w:spacing w:after="0" w:line="345" w:lineRule="auto"/>
        <w:tabs>
          <w:tab w:leader="none" w:pos="100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Visionary, Founder-Led Management Team with a Track Record of Execution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founder-led management team has a strong track record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exceptional financial performance and of building an award- winning culture to attract and retain highly talented individuals.</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00"/>
          </w:cols>
          <w:pgMar w:left="320" w:top="466" w:right="9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6043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66535" cy="604393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Market Opportunity</w:t>
      </w:r>
    </w:p>
    <w:p>
      <w:pPr>
        <w:spacing w:after="0" w:line="112" w:lineRule="exact"/>
        <w:rPr>
          <w:sz w:val="20"/>
          <w:szCs w:val="20"/>
          <w:color w:val="auto"/>
        </w:rPr>
      </w:pPr>
    </w:p>
    <w:p>
      <w:pPr>
        <w:ind w:left="620" w:firstLine="399"/>
        <w:spacing w:after="0" w:line="269" w:lineRule="auto"/>
        <w:rPr>
          <w:sz w:val="20"/>
          <w:szCs w:val="20"/>
          <w:color w:val="auto"/>
        </w:rPr>
      </w:pPr>
      <w:r>
        <w:rPr>
          <w:rFonts w:ascii="Arial" w:cs="Arial" w:eastAsia="Arial" w:hAnsi="Arial"/>
          <w:sz w:val="16"/>
          <w:szCs w:val="16"/>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nine month period ending September 30, 2021.</w:t>
      </w:r>
    </w:p>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Growth Strategies</w:t>
      </w:r>
    </w:p>
    <w:p>
      <w:pPr>
        <w:spacing w:after="0" w:line="11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We intend to drive growth through the following strategies:</w:t>
      </w:r>
    </w:p>
    <w:p>
      <w:pPr>
        <w:spacing w:after="0" w:line="121" w:lineRule="exact"/>
        <w:rPr>
          <w:sz w:val="20"/>
          <w:szCs w:val="20"/>
          <w:color w:val="auto"/>
        </w:rPr>
      </w:pPr>
    </w:p>
    <w:p>
      <w:pPr>
        <w:ind w:left="1000" w:hanging="28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Acquire New Customers.</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Expand our Relationships with Existing Customers.</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to Innovate to Strengthen our Platform and Market Leadership Position.</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Make Selective Strategic Acquisitions and Investments.</w:t>
      </w:r>
    </w:p>
    <w:p>
      <w:pPr>
        <w:spacing w:after="0" w:line="30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Summary of Risk Factors</w:t>
      </w:r>
    </w:p>
    <w:p>
      <w:pPr>
        <w:spacing w:after="0" w:line="112" w:lineRule="exact"/>
        <w:rPr>
          <w:sz w:val="20"/>
          <w:szCs w:val="20"/>
          <w:color w:val="auto"/>
        </w:rPr>
      </w:pPr>
    </w:p>
    <w:p>
      <w:pPr>
        <w:ind w:left="620" w:right="20" w:firstLine="399"/>
        <w:spacing w:after="0" w:line="254" w:lineRule="auto"/>
        <w:rPr>
          <w:sz w:val="20"/>
          <w:szCs w:val="20"/>
          <w:color w:val="auto"/>
        </w:rPr>
      </w:pPr>
      <w:r>
        <w:rPr>
          <w:rFonts w:ascii="Arial" w:cs="Arial" w:eastAsia="Arial" w:hAnsi="Arial"/>
          <w:sz w:val="17"/>
          <w:szCs w:val="17"/>
          <w:color w:val="auto"/>
        </w:rPr>
        <w:t>Investing in our Class A common stock involves a number of risks. These risks represent challenges to the successful implementation of our strategy and the growth of our business. The occurrence of one or more of the events or circumstances described in the section entitled “Risk Factors,” alone or in combination with other events or circumstances, could have a material adverse effect on our business, financial condition and results of operations. In that event, the trading price of our Class A common stock could decline, and you could lose all or part of your investment. Some of these risks are:</w:t>
      </w:r>
    </w:p>
    <w:p>
      <w:pPr>
        <w:spacing w:after="0" w:line="93" w:lineRule="exact"/>
        <w:rPr>
          <w:sz w:val="20"/>
          <w:szCs w:val="20"/>
          <w:color w:val="auto"/>
        </w:rPr>
      </w:pPr>
    </w:p>
    <w:p>
      <w:pPr>
        <w:ind w:left="1000" w:hanging="283"/>
        <w:spacing w:after="0" w:line="340" w:lineRule="auto"/>
        <w:tabs>
          <w:tab w:leader="none" w:pos="10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30" w:lineRule="exact"/>
        <w:rPr>
          <w:rFonts w:ascii="Arial" w:cs="Arial" w:eastAsia="Arial" w:hAnsi="Arial"/>
          <w:sz w:val="15"/>
          <w:szCs w:val="15"/>
          <w:color w:val="auto"/>
        </w:rPr>
      </w:pPr>
    </w:p>
    <w:p>
      <w:pPr>
        <w:ind w:left="1000" w:right="100" w:hanging="283"/>
        <w:spacing w:after="0" w:line="272"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competitiveness of the market in which we operate, such that if we do not compete effectively, it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1000" w:right="480" w:hanging="283"/>
        <w:spacing w:after="0" w:line="272"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failure to maintain and improve our platform, or develop new modules or insights for healthcare commercial intelligence, whereby competitors could surpass the depth, breadth or accuracy of our platform;</w:t>
      </w:r>
    </w:p>
    <w:p>
      <w:pPr>
        <w:spacing w:after="0" w:line="76" w:lineRule="exact"/>
        <w:rPr>
          <w:rFonts w:ascii="Arial" w:cs="Arial" w:eastAsia="Arial" w:hAnsi="Arial"/>
          <w:sz w:val="17"/>
          <w:szCs w:val="17"/>
          <w:color w:val="auto"/>
        </w:rPr>
      </w:pPr>
    </w:p>
    <w:p>
      <w:pPr>
        <w:ind w:left="1000" w:hanging="283"/>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to obtain and maintain accurate, comprehensive or reliable data, could result in reduced demand for our platform;</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 that our recent growth rates may not be indicative of our future growth;</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to achieve or sustain profitability in the future compared to historical levels as we increase investments in our business;</w:t>
      </w:r>
    </w:p>
    <w:p>
      <w:pPr>
        <w:spacing w:after="0" w:line="132" w:lineRule="exact"/>
        <w:rPr>
          <w:rFonts w:ascii="Arial" w:cs="Arial" w:eastAsia="Arial" w:hAnsi="Arial"/>
          <w:sz w:val="16"/>
          <w:szCs w:val="16"/>
          <w:color w:val="auto"/>
        </w:rPr>
      </w:pPr>
    </w:p>
    <w:p>
      <w:pPr>
        <w:ind w:left="1000" w:right="380" w:hanging="283"/>
        <w:spacing w:after="0" w:line="272"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loss of our access to our data providers, which could negatively impact our platform and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1000" w:right="20" w:hanging="283"/>
        <w:spacing w:after="0" w:line="272"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failure to respond to advances in healthcare commercial intelligence could result in competitors surpassing the depth, breadth or accuracy of our platform;</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40"/>
          </w:cols>
          <w:pgMar w:left="320" w:top="466" w:right="10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3397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66535" cy="33978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0" w:right="140" w:hanging="283"/>
        <w:spacing w:after="0" w:line="272"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inability to attract new customers and expand subscriptions of current customers, whereby our revenue growth and financial performance will be negatively impacted;</w:t>
      </w:r>
    </w:p>
    <w:p>
      <w:pPr>
        <w:spacing w:after="0" w:line="76" w:lineRule="exact"/>
        <w:rPr>
          <w:rFonts w:ascii="Arial" w:cs="Arial" w:eastAsia="Arial" w:hAnsi="Arial"/>
          <w:sz w:val="17"/>
          <w:szCs w:val="17"/>
          <w:color w:val="auto"/>
        </w:rPr>
      </w:pPr>
    </w:p>
    <w:p>
      <w:pPr>
        <w:ind w:left="1000" w:right="140" w:hanging="283"/>
        <w:spacing w:after="0" w:line="272"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 of cyber-attacks and security vulnerabilities could have a material adverse effect on our reputation, business, financial condition and results of operations;</w:t>
      </w:r>
    </w:p>
    <w:p>
      <w:pPr>
        <w:spacing w:after="0" w:line="76" w:lineRule="exact"/>
        <w:rPr>
          <w:rFonts w:ascii="Arial" w:cs="Arial" w:eastAsia="Arial" w:hAnsi="Arial"/>
          <w:sz w:val="17"/>
          <w:szCs w:val="17"/>
          <w:color w:val="auto"/>
        </w:rPr>
      </w:pPr>
    </w:p>
    <w:p>
      <w:pPr>
        <w:ind w:left="1000" w:hanging="283"/>
        <w:spacing w:after="0" w:line="272"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76" w:lineRule="exact"/>
        <w:rPr>
          <w:rFonts w:ascii="Arial" w:cs="Arial" w:eastAsia="Arial" w:hAnsi="Arial"/>
          <w:sz w:val="17"/>
          <w:szCs w:val="17"/>
          <w:color w:val="auto"/>
        </w:rPr>
      </w:pPr>
    </w:p>
    <w:p>
      <w:pPr>
        <w:ind w:left="1000" w:hanging="28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other factors set forth under “Risk Factors.”</w:t>
      </w:r>
    </w:p>
    <w:p>
      <w:pPr>
        <w:spacing w:after="0" w:line="210" w:lineRule="exact"/>
        <w:rPr>
          <w:sz w:val="20"/>
          <w:szCs w:val="20"/>
          <w:color w:val="auto"/>
        </w:rPr>
      </w:pPr>
    </w:p>
    <w:p>
      <w:pPr>
        <w:ind w:left="620" w:right="360" w:firstLine="399"/>
        <w:spacing w:after="0" w:line="272" w:lineRule="auto"/>
        <w:rPr>
          <w:sz w:val="20"/>
          <w:szCs w:val="20"/>
          <w:color w:val="auto"/>
        </w:rPr>
      </w:pPr>
      <w:r>
        <w:rPr>
          <w:rFonts w:ascii="Arial" w:cs="Arial" w:eastAsia="Arial" w:hAnsi="Arial"/>
          <w:sz w:val="17"/>
          <w:szCs w:val="17"/>
          <w:color w:val="auto"/>
        </w:rPr>
        <w:t>For a discussion of these and other risks you should consider before making an investment in our Class A common stock, see the section entitled “Risk Factors.”</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Initial Public Offering</w:t>
      </w:r>
    </w:p>
    <w:p>
      <w:pPr>
        <w:spacing w:after="0" w:line="112" w:lineRule="exact"/>
        <w:rPr>
          <w:sz w:val="20"/>
          <w:szCs w:val="20"/>
          <w:color w:val="auto"/>
        </w:rPr>
      </w:pPr>
    </w:p>
    <w:p>
      <w:pPr>
        <w:ind w:left="620" w:right="60" w:firstLine="399"/>
        <w:spacing w:after="0" w:line="268" w:lineRule="auto"/>
        <w:rPr>
          <w:sz w:val="20"/>
          <w:szCs w:val="20"/>
          <w:color w:val="auto"/>
        </w:rPr>
      </w:pPr>
      <w:r>
        <w:rPr>
          <w:rFonts w:ascii="Arial" w:cs="Arial" w:eastAsia="Arial" w:hAnsi="Arial"/>
          <w:sz w:val="16"/>
          <w:szCs w:val="16"/>
          <w:color w:val="auto"/>
        </w:rPr>
        <w:t>On September 17, 2021, we completed our IPO, in which we sold 17,888,888 shares of our Class A common stock (including the exercise in full of the underwriters’ 30-day option to purchase an additional 2,333,333 shares of Class A common stock from us) at a price to the public of $27.00 per share and received net proceeds of approximately $452.8 million after deducting the underwriting discounts and offering expenses payable by us. We used the net proceeds from the IPO to (i) acquire 14,222,222 newly issued LLC Units from Definitive OpCo, (ii) acquire 1,169,378 LLC Units from certain Unitholders and (iii) repurchase 2,497,288 shares of Class A common stock received by certain of the Blocker Companies’ Former Owners (as defined herein) at a purchase price per share of Class A common stock and per LLC Unit, in each case, equal to the IPO price of our Class A common stock, less the underwriting discounts. We caused Definitive OpCo to use the proceeds from the issuance of the LLC Units to Definitive Healthcare Corp. to (i) pay fees and expenses of approximately $10.1 million in connection with the IPO and the Reorganization Transactions and to (ii) repay $195.4 million of the outstanding borrowings under our Senior Credit Facilities, with the remainder used for general corporate purposes.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00"/>
          </w:cols>
          <w:pgMar w:left="320" w:top="466" w:right="9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730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66535" cy="573024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ORGANIZATIONAL STRUCTURE</w:t>
      </w:r>
    </w:p>
    <w:p>
      <w:pPr>
        <w:spacing w:after="0" w:line="214" w:lineRule="exact"/>
        <w:rPr>
          <w:sz w:val="20"/>
          <w:szCs w:val="20"/>
          <w:color w:val="auto"/>
        </w:rPr>
      </w:pPr>
    </w:p>
    <w:p>
      <w:pPr>
        <w:ind w:left="620" w:right="360" w:firstLine="399"/>
        <w:spacing w:after="0" w:line="272" w:lineRule="auto"/>
        <w:rPr>
          <w:sz w:val="20"/>
          <w:szCs w:val="20"/>
          <w:color w:val="auto"/>
        </w:rPr>
      </w:pPr>
      <w:r>
        <w:rPr>
          <w:rFonts w:ascii="Arial" w:cs="Arial" w:eastAsia="Arial" w:hAnsi="Arial"/>
          <w:sz w:val="17"/>
          <w:szCs w:val="17"/>
          <w:color w:val="auto"/>
        </w:rPr>
        <w:t>Definitive Healthcare Corp. is a holding company and its sole material asset is an ownership interest in Definitive OpCo. We refer to the holders who hold their ownership in Definitive OpCo in the form of LLC Units as “Unitholders.”</w:t>
      </w:r>
    </w:p>
    <w:p>
      <w:pPr>
        <w:spacing w:after="0" w:line="76" w:lineRule="exact"/>
        <w:rPr>
          <w:sz w:val="20"/>
          <w:szCs w:val="20"/>
          <w:color w:val="auto"/>
        </w:rPr>
      </w:pPr>
    </w:p>
    <w:p>
      <w:pPr>
        <w:ind w:left="1000" w:hanging="283"/>
        <w:spacing w:after="0" w:line="268"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connection with our IPO, certain entities treated as corporations for U.S. tax purposes that held LLC Units (individually, a “Blocker Company” and together, the “Blocker Companies”) merged into Definitive Healthcare Corp. (the “Mergers”). The former owners of the Blocker Companies (“Blocker Companies’ Former Owners”) received a number of shares of Class A common stock in the Mergers and do not hold interests directly in Definitive OpCo. After the Mergers and the consummation of our IPO, the Blocker Companies’ Former Owners collectively held 70,374,445 shares of our Class A common stock. AIDH Management Holdings, LLC is a special purpose investment vehicle through which certain persons, primarily employees and certain legacy investors, indirectly hold interests in Definitive OpCo. Certain profits interests held through Definitive OpCo, which correspond on a one-for-one basis to Class B Units issued to AIDH Management Holdings, LLC by Definitive OpCo only have value to the extent there is appreciation of Definitive OpCo above a certain floor. Class B Units that were issued to AIDH Management Holdings, LLC by Definitive OpCo were converted and reclassified into LLC Units and subject to the vesting terms described in Executive and Director Compensation—Equity Compensation (the above series of transactions are collectively referred to herein as the “Reorganization Transactions”).</w:t>
      </w:r>
    </w:p>
    <w:p>
      <w:pPr>
        <w:spacing w:after="0" w:line="82" w:lineRule="exact"/>
        <w:rPr>
          <w:rFonts w:ascii="Arial" w:cs="Arial" w:eastAsia="Arial" w:hAnsi="Arial"/>
          <w:sz w:val="16"/>
          <w:szCs w:val="16"/>
          <w:color w:val="auto"/>
        </w:rPr>
      </w:pPr>
    </w:p>
    <w:p>
      <w:pPr>
        <w:ind w:left="1000" w:hanging="283"/>
        <w:spacing w:after="0" w:line="269"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connection with our IPO we entered into an amended LLC agreement (the “Amended LLC Agreement”), pursuant to which the Unitholders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corresponding shares of Class B common stock may not be sold, transferred or otherwise disposed of.</w:t>
      </w:r>
    </w:p>
    <w:p>
      <w:pPr>
        <w:spacing w:after="0" w:line="81" w:lineRule="exact"/>
        <w:rPr>
          <w:rFonts w:ascii="Arial" w:cs="Arial" w:eastAsia="Arial" w:hAnsi="Arial"/>
          <w:sz w:val="16"/>
          <w:szCs w:val="16"/>
          <w:color w:val="auto"/>
        </w:rPr>
      </w:pPr>
    </w:p>
    <w:p>
      <w:pPr>
        <w:ind w:left="1000" w:right="20" w:hanging="283"/>
        <w:spacing w:after="0" w:line="252"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described below under “Certain Relationships and Related Party Transactions—Tax Receivable Agreement,” in connection with our IPO, we entered into a Tax Receivable Agreement that obligates us to make payments to the Unitholders, the Blocker Companies’ Former Owners, and any future party to the Tax Receivable Agreement (collectively, the “TRA Parties”) in the aggregate generally equal to 85% of the applicable cash savings that we actually realize, or in certain circumstances are deemed to realize, as a result of (i) certain favorable tax attributes we acquired from the Blocker Companies, (ii) tax basis adjustments resulting from (a) acquisitions by us of LLC Units from existing holders, including in connection with this offering and (b) future exchanges of LLC Units by Unitholders for Class A common stock or other consideration and (iii) certain payments made under the Tax Receivable Agreement. We retain the benefit of the remaining 15% of these tax savings.</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connection with the offering, we will enter into the following transactions.</w:t>
      </w:r>
    </w:p>
    <w:p>
      <w:pPr>
        <w:spacing w:after="0" w:line="121" w:lineRule="exact"/>
        <w:rPr>
          <w:sz w:val="20"/>
          <w:szCs w:val="20"/>
          <w:color w:val="auto"/>
        </w:rPr>
      </w:pPr>
    </w:p>
    <w:p>
      <w:pPr>
        <w:ind w:left="1000" w:right="320" w:hanging="283"/>
        <w:spacing w:after="0" w:line="272"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will issue 11,000,000 shares of Class A common stock pursuant to this offering (or 12,650,000 shares of Class A common stock if the underwriters exercise their option to purchase additional shares of Class A common stock in full).</w:t>
      </w:r>
    </w:p>
    <w:p>
      <w:pPr>
        <w:spacing w:after="0" w:line="76" w:lineRule="exact"/>
        <w:rPr>
          <w:rFonts w:ascii="Arial" w:cs="Arial" w:eastAsia="Arial" w:hAnsi="Arial"/>
          <w:sz w:val="17"/>
          <w:szCs w:val="17"/>
          <w:color w:val="auto"/>
        </w:rPr>
      </w:pPr>
    </w:p>
    <w:p>
      <w:pPr>
        <w:ind w:left="1000" w:hanging="283"/>
        <w:spacing w:after="0" w:line="277"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intend to use the net proceeds from this offering (i) for acquisitions or investments and general corporate purposes, including purchasing 7,000,000 newly issued LLC Units from Definitive OpCo, and (ii) to repurchase an aggregate of 2,233,238 shares of Class A common stock and purchase 1,766,762 LLC Units in Definitive OpCo from existing holders, including our Sponsors, officers, directors and their affiliates, in a “synthetic secondary” transaction, at a price per share of Class A common stock and per LLC</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00"/>
          </w:cols>
          <w:pgMar w:left="320" w:top="466" w:right="9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6421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66535" cy="64217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20"/>
        <w:spacing w:after="0" w:line="287" w:lineRule="auto"/>
        <w:rPr>
          <w:sz w:val="20"/>
          <w:szCs w:val="20"/>
          <w:color w:val="auto"/>
        </w:rPr>
      </w:pPr>
      <w:r>
        <w:rPr>
          <w:rFonts w:ascii="Arial" w:cs="Arial" w:eastAsia="Arial" w:hAnsi="Arial"/>
          <w:sz w:val="15"/>
          <w:szCs w:val="15"/>
          <w:color w:val="auto"/>
        </w:rPr>
        <w:t>Unit in each case, equal to the public offering price of Class A common stock less the underwriting discounts. In the event the underwriters exercise their option to purchase additional shares, we will use the net proceeds to repurchase additional shares of Class A common stock and to purchase additional limited liability interests in Definitive OpCo from existing holders. After this offering, we intend to purchase</w:t>
      </w:r>
    </w:p>
    <w:p>
      <w:pPr>
        <w:spacing w:after="0" w:line="1" w:lineRule="exact"/>
        <w:rPr>
          <w:sz w:val="20"/>
          <w:szCs w:val="20"/>
          <w:color w:val="auto"/>
        </w:rPr>
      </w:pPr>
    </w:p>
    <w:p>
      <w:pPr>
        <w:ind w:left="1020" w:right="520"/>
        <w:spacing w:after="0" w:line="257" w:lineRule="auto"/>
        <w:rPr>
          <w:sz w:val="20"/>
          <w:szCs w:val="20"/>
          <w:color w:val="auto"/>
        </w:rPr>
      </w:pPr>
      <w:r>
        <w:rPr>
          <w:rFonts w:ascii="Arial" w:cs="Arial" w:eastAsia="Arial" w:hAnsi="Arial"/>
          <w:sz w:val="17"/>
          <w:szCs w:val="17"/>
          <w:color w:val="auto"/>
        </w:rPr>
        <w:t>7,000,000 newly issued limited liability interests of Definitive OpCo using either the net proceeds from this offering or other assets or investments acquired using such net proceeds.</w:t>
      </w:r>
    </w:p>
    <w:p>
      <w:pPr>
        <w:spacing w:after="0" w:line="177" w:lineRule="exact"/>
        <w:rPr>
          <w:sz w:val="20"/>
          <w:szCs w:val="20"/>
          <w:color w:val="auto"/>
        </w:rPr>
      </w:pPr>
    </w:p>
    <w:p>
      <w:pPr>
        <w:ind w:left="620" w:right="160" w:firstLine="399"/>
        <w:spacing w:after="0" w:line="254" w:lineRule="auto"/>
        <w:rPr>
          <w:sz w:val="20"/>
          <w:szCs w:val="20"/>
          <w:color w:val="auto"/>
        </w:rPr>
      </w:pPr>
      <w:r>
        <w:rPr>
          <w:rFonts w:ascii="Arial" w:cs="Arial" w:eastAsia="Arial" w:hAnsi="Arial"/>
          <w:sz w:val="17"/>
          <w:szCs w:val="17"/>
          <w:color w:val="auto"/>
        </w:rPr>
        <w:t>The following diagram depicts our organizational structure after giving effect to this offering, including the repurchase of an aggregate of 2,233,238 shares of Class A common stock and purchase of 1,766,762 LLC Units in Definitive OpCo from existing holders, including our Sponsors, officers, directors and their affiliates, in a “synthetic secondary” transaction, and the purchase of 7,000,000 newly issued LLC Units of Definitive OpCo by us. See “Use of Proceeds”. This chart is provided for illustrative purposes only and does not purport to represent all legal entities within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hanging="392"/>
        <w:spacing w:after="0"/>
        <w:tabs>
          <w:tab w:leader="none" w:pos="10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LLC Units and Class B common stock held by Jason Krantz, our CEO.</w:t>
      </w:r>
    </w:p>
    <w:p>
      <w:pPr>
        <w:spacing w:after="0" w:line="1" w:lineRule="exact"/>
        <w:rPr>
          <w:rFonts w:ascii="Arial" w:cs="Arial" w:eastAsia="Arial" w:hAnsi="Arial"/>
          <w:sz w:val="13"/>
          <w:szCs w:val="13"/>
          <w:color w:val="auto"/>
        </w:rPr>
      </w:pPr>
    </w:p>
    <w:p>
      <w:pPr>
        <w:ind w:left="1020" w:hanging="392"/>
        <w:spacing w:after="0"/>
        <w:tabs>
          <w:tab w:leader="none" w:pos="10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Does not include Jason Krantz.</w:t>
      </w: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80"/>
          </w:cols>
          <w:pgMar w:left="320" w:top="466" w:right="99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714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66535" cy="571436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firstLine="399"/>
        <w:spacing w:after="0" w:line="290" w:lineRule="auto"/>
        <w:rPr>
          <w:sz w:val="20"/>
          <w:szCs w:val="20"/>
          <w:color w:val="auto"/>
        </w:rPr>
      </w:pPr>
      <w:r>
        <w:rPr>
          <w:rFonts w:ascii="Arial" w:cs="Arial" w:eastAsia="Arial" w:hAnsi="Arial"/>
          <w:sz w:val="15"/>
          <w:szCs w:val="15"/>
          <w:color w:val="auto"/>
        </w:rPr>
        <w:t>Our corporate structure is commonly referred to as an “Up-C” structure, which is commonly used by partnerships and limited liability companies when they undertake an initial public offering of their business. Our Up-C structure allows the Unitholders to continue to realize tax benefits associated with owning interests in an entity that is treated as a partnership, or “pass-through” entity, for U.S. federal and applicable state and local income tax purposes. One of these benefits is that taxable income of Definitive OpCo that is allocated to such owners will be taxed on a flow-through basis and, therefore, will generally not be subject to U.S. federal and applicable state and local income taxes at the entity level. Additionally, because the LLC Units that the Unitholders hold are exchangeable for newly issued shares of Class A common stock on a one-for-one basis in accordance with the terms of the Amended LLC Agreement, our “Up-C” structure also provides the Unitholders with potential liquidity that holders of nonpublicly traded limited liability companies are not typically afforded. See “Description of Capital Stock.”</w:t>
      </w:r>
    </w:p>
    <w:p>
      <w:pPr>
        <w:spacing w:after="0" w:line="156" w:lineRule="exact"/>
        <w:rPr>
          <w:sz w:val="20"/>
          <w:szCs w:val="20"/>
          <w:color w:val="auto"/>
        </w:rPr>
      </w:pPr>
    </w:p>
    <w:p>
      <w:pPr>
        <w:ind w:left="620" w:right="140" w:firstLine="399"/>
        <w:spacing w:after="0" w:line="270" w:lineRule="auto"/>
        <w:rPr>
          <w:sz w:val="20"/>
          <w:szCs w:val="20"/>
          <w:color w:val="auto"/>
        </w:rPr>
      </w:pPr>
      <w:r>
        <w:rPr>
          <w:rFonts w:ascii="Arial" w:cs="Arial" w:eastAsia="Arial" w:hAnsi="Arial"/>
          <w:sz w:val="16"/>
          <w:szCs w:val="16"/>
          <w:color w:val="auto"/>
        </w:rPr>
        <w:t>We hold LLC Units, and therefore receive the same benefits as the Unitholders with respect to our ownership in an entity treated as a partnership, or “pass-through” entity, for U.S. federal and applicable state and local income tax purposes which result in favorable tax attributes allocated to us. These tax attributes would not be available to us in the absence of those transactions and are expected to reduce the amount of tax that we would otherwise be required to pay in the future. We entered into a Tax Receivable Agreement that will obligate us to make payments to the TRA Parties in the aggregate generally equal to 85% of the applicable cash savings that we actually realize, or in certain circumstances are deemed to realize, as a result of these tax attributes and tax attributes resulting from certain payments made under the Tax Receivable Agreement. We retain the benefit of the remaining 15% of these tax savings.</w:t>
      </w:r>
    </w:p>
    <w:p>
      <w:pPr>
        <w:spacing w:after="0" w:line="172" w:lineRule="exact"/>
        <w:rPr>
          <w:sz w:val="20"/>
          <w:szCs w:val="20"/>
          <w:color w:val="auto"/>
        </w:rPr>
      </w:pPr>
    </w:p>
    <w:p>
      <w:pPr>
        <w:ind w:left="620" w:firstLine="399"/>
        <w:spacing w:after="0" w:line="274" w:lineRule="auto"/>
        <w:rPr>
          <w:sz w:val="20"/>
          <w:szCs w:val="20"/>
          <w:color w:val="auto"/>
        </w:rPr>
      </w:pPr>
      <w:r>
        <w:rPr>
          <w:rFonts w:ascii="Arial" w:cs="Arial" w:eastAsia="Arial" w:hAnsi="Arial"/>
          <w:sz w:val="16"/>
          <w:szCs w:val="16"/>
          <w:color w:val="auto"/>
        </w:rPr>
        <w:t>Under the Amended LLC Agreement, we will receive a pro rata share of any distributions, including tax distributions, made by Definitive OpCo to its members. Such tax distributions will be calculated based upon an assumed tax rate, which, under certain circumstances, may cause Definitive OpCo to make tax distributions that, in the aggregate, exceed the amount of taxes that Definitive OpCo would have paid if it were a similarly situated corporate taxpayer. Funds used by Definitive OpCo to satisfy its tax distribution obligations will not be available for reinvestment in our business. See “Risk Factors—Risks Related to our Organizational Structure.”</w:t>
      </w:r>
    </w:p>
    <w:p>
      <w:pPr>
        <w:spacing w:after="0" w:line="16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Upon completion of the transactions described above, this offering and the application of our net proceeds from this offering:</w:t>
      </w:r>
    </w:p>
    <w:p>
      <w:pPr>
        <w:spacing w:after="0" w:line="121" w:lineRule="exact"/>
        <w:rPr>
          <w:sz w:val="20"/>
          <w:szCs w:val="20"/>
          <w:color w:val="auto"/>
        </w:rPr>
      </w:pPr>
    </w:p>
    <w:p>
      <w:pPr>
        <w:ind w:left="1000" w:right="340" w:hanging="283"/>
        <w:spacing w:after="0" w:line="256"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Definitive Healthcare Corp. is the sole managing member of Definitive OpCo and after this offering will hold 97,030,095 LLC Units, constituting 62.5% of the outstanding economic interests in Definitive OpCo (or 97,758,883 units, constituting 63.0% of the outstanding economic interests in Definitive OpCo if the underwriters exercise their option to purchase additional shares of Class A common stock in full).</w:t>
      </w:r>
    </w:p>
    <w:p>
      <w:pPr>
        <w:spacing w:after="0" w:line="90" w:lineRule="exact"/>
        <w:rPr>
          <w:rFonts w:ascii="Arial" w:cs="Arial" w:eastAsia="Arial" w:hAnsi="Arial"/>
          <w:sz w:val="17"/>
          <w:szCs w:val="17"/>
          <w:color w:val="auto"/>
        </w:rPr>
      </w:pPr>
    </w:p>
    <w:p>
      <w:pPr>
        <w:ind w:left="1000" w:right="180" w:hanging="283"/>
        <w:spacing w:after="0" w:line="254"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will have 97,030,095 shares of Class A common stock issued and outstanding, representing 63.6% of the combined voting power of our common stock (or 97,758,883 shares and 64.1%, respectively, if the underwriters exercise their option to purchase additional shares of Class A common stock in full) and the holders of our Class A common stock, through our direct and indirect ownership of LLC Units, indirectly will hold approximately 62.5% of the economic interest in Definitive OpCo (or 63.0% if the underwriters exercise their option to purchase additional shares of Class A common stock in full).</w:t>
      </w:r>
    </w:p>
    <w:p>
      <w:pPr>
        <w:spacing w:after="0" w:line="92" w:lineRule="exact"/>
        <w:rPr>
          <w:rFonts w:ascii="Arial" w:cs="Arial" w:eastAsia="Arial" w:hAnsi="Arial"/>
          <w:sz w:val="17"/>
          <w:szCs w:val="17"/>
          <w:color w:val="auto"/>
        </w:rPr>
      </w:pPr>
    </w:p>
    <w:p>
      <w:pPr>
        <w:ind w:left="1000" w:right="160" w:hanging="283"/>
        <w:spacing w:after="0" w:line="254"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Unitholders will collectively hold 126,385,834 LLC Units, which together directly and indirectly represent approximately 81.4% of the economic interests in Definitive OpCo (or 80.3% if the underwriters exercise their option to purchase additional shares of Class A common stock in full) and (ii) through their collective ownership of 68,141,207 shares of Class A and 58,244,627 shares of Class B common stock, approximately 82.9% of the combined voting power of our common stock (or 81.8% if the underwriters exercise their option to purchase additional shares of Class A common stock in full).</w:t>
      </w:r>
    </w:p>
    <w:p>
      <w:pPr>
        <w:spacing w:after="0" w:line="181" w:lineRule="exact"/>
        <w:rPr>
          <w:sz w:val="20"/>
          <w:szCs w:val="20"/>
          <w:color w:val="auto"/>
        </w:rPr>
      </w:pPr>
    </w:p>
    <w:p>
      <w:pPr>
        <w:ind w:left="620" w:right="40" w:firstLine="399"/>
        <w:spacing w:after="0" w:line="272" w:lineRule="auto"/>
        <w:rPr>
          <w:sz w:val="20"/>
          <w:szCs w:val="20"/>
          <w:color w:val="auto"/>
        </w:rPr>
      </w:pPr>
      <w:r>
        <w:rPr>
          <w:rFonts w:ascii="Arial" w:cs="Arial" w:eastAsia="Arial" w:hAnsi="Arial"/>
          <w:sz w:val="17"/>
          <w:szCs w:val="17"/>
          <w:color w:val="auto"/>
        </w:rPr>
        <w:t>See “Certain Relationships and Related Party Transactions” and “Description of Capital Stock” for more information on the rights associated with our common stock and the LLC Units.</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00"/>
          </w:cols>
          <w:pgMar w:left="320" w:top="466" w:right="9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4145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66535" cy="414591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380" w:firstLine="399"/>
        <w:spacing w:after="0" w:line="272" w:lineRule="auto"/>
        <w:rPr>
          <w:sz w:val="20"/>
          <w:szCs w:val="20"/>
          <w:color w:val="auto"/>
        </w:rPr>
      </w:pPr>
      <w:r>
        <w:rPr>
          <w:rFonts w:ascii="Arial" w:cs="Arial" w:eastAsia="Arial" w:hAnsi="Arial"/>
          <w:sz w:val="17"/>
          <w:szCs w:val="17"/>
          <w:color w:val="auto"/>
        </w:rPr>
        <w:t>The following table presents the holdings of outstanding common stock and LLC Units, after giving effect to this offering and the use of proceeds therefrom:</w:t>
      </w:r>
    </w:p>
    <w:p>
      <w:pPr>
        <w:spacing w:after="0" w:line="195"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10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Common Stock</w:t>
            </w:r>
            <w:r>
              <w:rPr>
                <w:rFonts w:ascii="Arial" w:cs="Arial" w:eastAsia="Arial" w:hAnsi="Arial"/>
                <w:sz w:val="9"/>
                <w:szCs w:val="9"/>
                <w:b w:val="1"/>
                <w:bCs w:val="1"/>
                <w:color w:val="auto"/>
                <w:w w:val="93"/>
              </w:rPr>
              <w:t>(1)</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0"/>
              <w:spacing w:after="0"/>
              <w:rPr>
                <w:sz w:val="20"/>
                <w:szCs w:val="20"/>
                <w:color w:val="auto"/>
              </w:rPr>
            </w:pPr>
            <w:r>
              <w:rPr>
                <w:rFonts w:ascii="Arial" w:cs="Arial" w:eastAsia="Arial" w:hAnsi="Arial"/>
                <w:sz w:val="13"/>
                <w:szCs w:val="13"/>
                <w:b w:val="1"/>
                <w:bCs w:val="1"/>
                <w:color w:val="auto"/>
              </w:rPr>
              <w:t>Units</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40" w:type="dxa"/>
            <w:vAlign w:val="bottom"/>
            <w:tcBorders>
              <w:top w:val="single" w:sz="8" w:color="auto"/>
            </w:tcBorders>
          </w:tcPr>
          <w:p>
            <w:pPr>
              <w:jc w:val="right"/>
              <w:ind w:right="217"/>
              <w:spacing w:after="0" w:line="145" w:lineRule="exact"/>
              <w:rPr>
                <w:sz w:val="20"/>
                <w:szCs w:val="20"/>
                <w:color w:val="auto"/>
              </w:rPr>
            </w:pPr>
            <w:r>
              <w:rPr>
                <w:rFonts w:ascii="Arial" w:cs="Arial" w:eastAsia="Arial" w:hAnsi="Arial"/>
                <w:sz w:val="13"/>
                <w:szCs w:val="13"/>
                <w:b w:val="1"/>
                <w:bCs w:val="1"/>
                <w:color w:val="auto"/>
              </w:rPr>
              <w:t>Class A</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w w:val="87"/>
              </w:rPr>
              <w:t>Class B</w:t>
            </w:r>
          </w:p>
        </w:tc>
        <w:tc>
          <w:tcPr>
            <w:tcW w:w="1060" w:type="dxa"/>
            <w:vAlign w:val="bottom"/>
            <w:tcBorders>
              <w:top w:val="single" w:sz="8" w:color="auto"/>
            </w:tcBorders>
          </w:tcPr>
          <w:p>
            <w:pPr>
              <w:jc w:val="right"/>
              <w:ind w:right="297"/>
              <w:spacing w:after="0" w:line="145"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2"/>
                <w:szCs w:val="12"/>
                <w:color w:val="auto"/>
              </w:rPr>
            </w:pPr>
          </w:p>
        </w:tc>
        <w:tc>
          <w:tcPr>
            <w:tcW w:w="1100" w:type="dxa"/>
            <w:vAlign w:val="bottom"/>
            <w:tcBorders>
              <w:top w:val="single" w:sz="8" w:color="auto"/>
            </w:tcBorders>
          </w:tcPr>
          <w:p>
            <w:pPr>
              <w:jc w:val="right"/>
              <w:ind w:right="164"/>
              <w:spacing w:after="0" w:line="145" w:lineRule="exact"/>
              <w:rPr>
                <w:sz w:val="20"/>
                <w:szCs w:val="20"/>
                <w:color w:val="auto"/>
              </w:rPr>
            </w:pPr>
            <w:r>
              <w:rPr>
                <w:rFonts w:ascii="Arial" w:cs="Arial" w:eastAsia="Arial" w:hAnsi="Arial"/>
                <w:sz w:val="13"/>
                <w:szCs w:val="13"/>
                <w:b w:val="1"/>
                <w:bCs w:val="1"/>
                <w:color w:val="auto"/>
              </w:rPr>
              <w:t>LLC Units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360" w:type="dxa"/>
            <w:vAlign w:val="bottom"/>
            <w:tcBorders>
              <w:top w:val="single" w:sz="8" w:color="CCEEFF"/>
            </w:tcBorders>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rPr>
              <w:t>Public Stockholders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28,888,888</w:t>
            </w: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28,888,888</w:t>
            </w: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28,888,888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ind w:left="340"/>
              <w:spacing w:after="0"/>
              <w:rPr>
                <w:sz w:val="20"/>
                <w:szCs w:val="20"/>
                <w:color w:val="auto"/>
              </w:rPr>
            </w:pPr>
            <w:r>
              <w:rPr>
                <w:rFonts w:ascii="Arial" w:cs="Arial" w:eastAsia="Arial" w:hAnsi="Arial"/>
                <w:sz w:val="17"/>
                <w:szCs w:val="17"/>
                <w:color w:val="auto"/>
              </w:rPr>
              <w:t>Advent</w:t>
            </w:r>
          </w:p>
        </w:tc>
        <w:tc>
          <w:tcPr>
            <w:tcW w:w="1040" w:type="dxa"/>
            <w:vAlign w:val="bottom"/>
          </w:tcPr>
          <w:p>
            <w:pPr>
              <w:jc w:val="right"/>
              <w:spacing w:after="0"/>
              <w:rPr>
                <w:sz w:val="20"/>
                <w:szCs w:val="20"/>
                <w:color w:val="auto"/>
              </w:rPr>
            </w:pPr>
            <w:r>
              <w:rPr>
                <w:rFonts w:ascii="Arial" w:cs="Arial" w:eastAsia="Arial" w:hAnsi="Arial"/>
                <w:sz w:val="17"/>
                <w:szCs w:val="17"/>
                <w:color w:val="auto"/>
              </w:rPr>
              <w:t>62,493,676</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62,493,676</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62,493,676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Spectrum Equity</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2,791,929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26,808,886</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29,600,815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29,600,815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ind w:left="340"/>
              <w:spacing w:after="0"/>
              <w:rPr>
                <w:sz w:val="20"/>
                <w:szCs w:val="20"/>
                <w:color w:val="auto"/>
              </w:rPr>
            </w:pPr>
            <w:r>
              <w:rPr>
                <w:rFonts w:ascii="Arial" w:cs="Arial" w:eastAsia="Arial" w:hAnsi="Arial"/>
                <w:sz w:val="17"/>
                <w:szCs w:val="17"/>
                <w:color w:val="auto"/>
              </w:rPr>
              <w:t>22C Capital.</w:t>
            </w:r>
          </w:p>
        </w:tc>
        <w:tc>
          <w:tcPr>
            <w:tcW w:w="1040" w:type="dxa"/>
            <w:vAlign w:val="bottom"/>
          </w:tcPr>
          <w:p>
            <w:pPr>
              <w:jc w:val="right"/>
              <w:spacing w:after="0"/>
              <w:rPr>
                <w:sz w:val="20"/>
                <w:szCs w:val="20"/>
                <w:color w:val="auto"/>
              </w:rPr>
            </w:pPr>
            <w:r>
              <w:rPr>
                <w:rFonts w:ascii="Arial" w:cs="Arial" w:eastAsia="Arial" w:hAnsi="Arial"/>
                <w:sz w:val="17"/>
                <w:szCs w:val="17"/>
                <w:color w:val="auto"/>
              </w:rPr>
              <w:t>520,927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4,151,506</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4,672,433</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4,672,433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Jason Krantz</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21,299,157</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21,299,157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21,299,157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ind w:left="340"/>
              <w:spacing w:after="0"/>
              <w:rPr>
                <w:sz w:val="20"/>
                <w:szCs w:val="20"/>
                <w:color w:val="auto"/>
              </w:rPr>
            </w:pPr>
            <w:r>
              <w:rPr>
                <w:rFonts w:ascii="Arial" w:cs="Arial" w:eastAsia="Arial" w:hAnsi="Arial"/>
                <w:sz w:val="17"/>
                <w:szCs w:val="17"/>
                <w:color w:val="auto"/>
              </w:rPr>
              <w:t>Members of AIDH Management Holdings, LLC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2,334,675</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5,985,078</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8,319,753</w:t>
            </w: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8,319,753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Total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97,030,095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58,244,627</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155,274,722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155,274,722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340"/>
              <w:spacing w:after="0"/>
              <w:rPr>
                <w:sz w:val="20"/>
                <w:szCs w:val="20"/>
                <w:color w:val="auto"/>
              </w:rPr>
            </w:pPr>
            <w:r>
              <w:rPr>
                <w:rFonts w:ascii="Arial" w:cs="Arial" w:eastAsia="Arial" w:hAnsi="Arial"/>
                <w:sz w:val="17"/>
                <w:szCs w:val="17"/>
                <w:color w:val="auto"/>
              </w:rPr>
              <w:t>Total, after giving effect to the exchange of LLC Units (other than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60" w:type="dxa"/>
            <w:vAlign w:val="bottom"/>
            <w:gridSpan w:val="2"/>
            <w:vMerge w:val="continue"/>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ind w:left="500"/>
              <w:spacing w:after="0"/>
              <w:rPr>
                <w:sz w:val="20"/>
                <w:szCs w:val="20"/>
                <w:color w:val="auto"/>
              </w:rPr>
            </w:pPr>
            <w:r>
              <w:rPr>
                <w:rFonts w:ascii="Arial" w:cs="Arial" w:eastAsia="Arial" w:hAnsi="Arial"/>
                <w:sz w:val="17"/>
                <w:szCs w:val="17"/>
                <w:color w:val="auto"/>
                <w:w w:val="98"/>
              </w:rPr>
              <w:t>unvested LLC Units) for newly issued shares of Class A Common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ind w:left="500"/>
              <w:spacing w:after="0"/>
              <w:rPr>
                <w:sz w:val="20"/>
                <w:szCs w:val="20"/>
                <w:color w:val="auto"/>
              </w:rPr>
            </w:pPr>
            <w:r>
              <w:rPr>
                <w:rFonts w:ascii="Arial" w:cs="Arial" w:eastAsia="Arial" w:hAnsi="Arial"/>
                <w:sz w:val="17"/>
                <w:szCs w:val="17"/>
                <w:color w:val="auto"/>
              </w:rPr>
              <w:t>Stock and the retirement of the corresponding shares of Class B</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60" w:type="dxa"/>
            <w:vAlign w:val="bottom"/>
            <w:gridSpan w:val="2"/>
          </w:tcPr>
          <w:p>
            <w:pPr>
              <w:ind w:left="500"/>
              <w:spacing w:after="0"/>
              <w:rPr>
                <w:sz w:val="20"/>
                <w:szCs w:val="20"/>
                <w:color w:val="auto"/>
              </w:rPr>
            </w:pPr>
            <w:r>
              <w:rPr>
                <w:rFonts w:ascii="Arial" w:cs="Arial" w:eastAsia="Arial" w:hAnsi="Arial"/>
                <w:sz w:val="17"/>
                <w:szCs w:val="17"/>
                <w:color w:val="auto"/>
              </w:rPr>
              <w:t>Common Stock on a one-for-one basis.</w:t>
            </w:r>
          </w:p>
        </w:tc>
        <w:tc>
          <w:tcPr>
            <w:tcW w:w="1040" w:type="dxa"/>
            <w:vAlign w:val="bottom"/>
          </w:tcPr>
          <w:p>
            <w:pPr>
              <w:jc w:val="right"/>
              <w:spacing w:after="0"/>
              <w:rPr>
                <w:sz w:val="20"/>
                <w:szCs w:val="20"/>
                <w:color w:val="auto"/>
              </w:rPr>
            </w:pPr>
            <w:r>
              <w:rPr>
                <w:rFonts w:ascii="Arial" w:cs="Arial" w:eastAsia="Arial" w:hAnsi="Arial"/>
                <w:sz w:val="17"/>
                <w:szCs w:val="17"/>
                <w:color w:val="auto"/>
              </w:rPr>
              <w:t>152,505,872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2,768,850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155,274,722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155,274,722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6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7"/>
                <w:szCs w:val="17"/>
                <w:color w:val="auto"/>
              </w:rPr>
              <w:t>Total, after giving further effect to the vesting of employee and</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3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executive leadership team equity grants under our 2021 Equity</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60" w:type="dxa"/>
            <w:vAlign w:val="bottom"/>
            <w:gridSpan w:val="2"/>
            <w:shd w:val="clear" w:color="auto" w:fill="CCEEFF"/>
          </w:tcPr>
          <w:p>
            <w:pPr>
              <w:ind w:left="500"/>
              <w:spacing w:after="0" w:line="218" w:lineRule="exact"/>
              <w:rPr>
                <w:sz w:val="20"/>
                <w:szCs w:val="20"/>
                <w:color w:val="auto"/>
              </w:rPr>
            </w:pPr>
            <w:r>
              <w:rPr>
                <w:rFonts w:ascii="Arial" w:cs="Arial" w:eastAsia="Arial" w:hAnsi="Arial"/>
                <w:sz w:val="17"/>
                <w:szCs w:val="17"/>
                <w:color w:val="auto"/>
              </w:rPr>
              <w:t>Incentive Plan</w:t>
            </w:r>
            <w:r>
              <w:rPr>
                <w:rFonts w:ascii="Arial" w:cs="Arial" w:eastAsia="Arial" w:hAnsi="Arial"/>
                <w:sz w:val="23"/>
                <w:szCs w:val="23"/>
                <w:color w:val="auto"/>
                <w:vertAlign w:val="superscript"/>
              </w:rPr>
              <w:t>(2)(3)</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157,393,484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157,393,484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157,393,484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08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20" w:right="20" w:hanging="392"/>
        <w:spacing w:after="0" w:line="252"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Reflects the number of shares of our Class A and Class B common stock, respectively, outstanding, after giving effect to the issuance and sale of shares of Class A common stock offered hereby. If the underwriters exercise in full their option to purchase additional shares of our Class A common stock, the number of shares of Class A common stock owned by public stockholders in the table above would be shares of Class A common stock.</w:t>
      </w:r>
    </w:p>
    <w:p>
      <w:pPr>
        <w:spacing w:after="0" w:line="1" w:lineRule="exact"/>
        <w:rPr>
          <w:rFonts w:ascii="Arial" w:cs="Arial" w:eastAsia="Arial" w:hAnsi="Arial"/>
          <w:sz w:val="17"/>
          <w:szCs w:val="17"/>
          <w:color w:val="auto"/>
        </w:rPr>
      </w:pPr>
    </w:p>
    <w:p>
      <w:pPr>
        <w:ind w:left="1020" w:hanging="39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the 2,768,850 LLC Units held by members of AIDH Management Holdings, LLC that are subject to time-based vesting.</w:t>
      </w:r>
    </w:p>
    <w:p>
      <w:pPr>
        <w:spacing w:after="0" w:line="7" w:lineRule="exact"/>
        <w:rPr>
          <w:rFonts w:ascii="Arial" w:cs="Arial" w:eastAsia="Arial" w:hAnsi="Arial"/>
          <w:sz w:val="17"/>
          <w:szCs w:val="17"/>
          <w:color w:val="auto"/>
        </w:rPr>
      </w:pPr>
    </w:p>
    <w:p>
      <w:pPr>
        <w:ind w:left="1020" w:right="100" w:hanging="392"/>
        <w:spacing w:after="0" w:line="250"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(i) restricted stock unit awards of 1,461,306 of shares of Class A common stock granted to our executive leadership team and other employees, (ii) restricted stock unit award 650,000 shares of Class A common stock granted to our President and member of the board, Robert Musslewhite, in connection with his appointment as President, subject to vesting and (iii) restricted stock unit award of 6,737 shares of Class A common stock granted to Kathleen Winters, our newly appointed member of the board, in connection with her appointment. See “Executive Compensation—2021 Plan Reserves.”</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20"/>
          </w:cols>
          <w:pgMar w:left="320" w:top="466" w:right="9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746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66535" cy="574611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140" w:firstLine="399"/>
        <w:spacing w:after="0" w:line="260" w:lineRule="auto"/>
        <w:rPr>
          <w:sz w:val="20"/>
          <w:szCs w:val="20"/>
          <w:color w:val="auto"/>
        </w:rPr>
      </w:pPr>
      <w:r>
        <w:rPr>
          <w:rFonts w:ascii="Arial" w:cs="Arial" w:eastAsia="Arial" w:hAnsi="Arial"/>
          <w:sz w:val="17"/>
          <w:szCs w:val="17"/>
          <w:color w:val="auto"/>
        </w:rPr>
        <w:t>The following table presents the economic interests and combined voting power in Definitive Healthcare Corp. held by the public stockholders, each of the Sponsors, Jason Krantz, members of AIDH Management Holdings, LLC, and other LLC Unitholders (after giving effect to this offering and the use of proceeds therefrom):</w:t>
      </w: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108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8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w w:val="96"/>
              </w:rPr>
              <w:t>Common Stock Owned</w:t>
            </w:r>
            <w:r>
              <w:rPr>
                <w:rFonts w:ascii="Arial" w:cs="Arial" w:eastAsia="Arial" w:hAnsi="Arial"/>
                <w:sz w:val="9"/>
                <w:szCs w:val="9"/>
                <w:b w:val="1"/>
                <w:bCs w:val="1"/>
                <w:color w:val="auto"/>
                <w:w w:val="96"/>
              </w:rPr>
              <w:t>(1)</w:t>
            </w:r>
          </w:p>
        </w:tc>
        <w:tc>
          <w:tcPr>
            <w:tcW w:w="178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rPr>
              <w:t>Voting Power</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00" w:type="dxa"/>
            <w:vAlign w:val="bottom"/>
            <w:tcBorders>
              <w:top w:val="single" w:sz="8" w:color="auto"/>
            </w:tcBorders>
          </w:tcPr>
          <w:p>
            <w:pPr>
              <w:jc w:val="right"/>
              <w:ind w:right="179"/>
              <w:spacing w:after="0" w:line="145" w:lineRule="exact"/>
              <w:rPr>
                <w:sz w:val="20"/>
                <w:szCs w:val="20"/>
                <w:color w:val="auto"/>
              </w:rPr>
            </w:pPr>
            <w:r>
              <w:rPr>
                <w:rFonts w:ascii="Arial" w:cs="Arial" w:eastAsia="Arial" w:hAnsi="Arial"/>
                <w:sz w:val="13"/>
                <w:szCs w:val="13"/>
                <w:b w:val="1"/>
                <w:bCs w:val="1"/>
                <w:color w:val="auto"/>
              </w:rPr>
              <w:t>Shares</w:t>
            </w:r>
          </w:p>
        </w:tc>
        <w:tc>
          <w:tcPr>
            <w:tcW w:w="660" w:type="dxa"/>
            <w:vAlign w:val="bottom"/>
            <w:tcBorders>
              <w:top w:val="single" w:sz="8" w:color="auto"/>
            </w:tcBorders>
            <w:gridSpan w:val="2"/>
          </w:tcPr>
          <w:p>
            <w:pPr>
              <w:jc w:val="right"/>
              <w:ind w:right="116"/>
              <w:spacing w:after="0" w:line="145"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2"/>
                <w:szCs w:val="12"/>
                <w:color w:val="auto"/>
              </w:rPr>
            </w:pPr>
          </w:p>
        </w:tc>
        <w:tc>
          <w:tcPr>
            <w:tcW w:w="900" w:type="dxa"/>
            <w:vAlign w:val="bottom"/>
            <w:tcBorders>
              <w:top w:val="single" w:sz="8" w:color="auto"/>
            </w:tcBorders>
          </w:tcPr>
          <w:p>
            <w:pPr>
              <w:jc w:val="right"/>
              <w:ind w:right="219"/>
              <w:spacing w:after="0" w:line="145" w:lineRule="exact"/>
              <w:rPr>
                <w:sz w:val="20"/>
                <w:szCs w:val="20"/>
                <w:color w:val="auto"/>
              </w:rPr>
            </w:pPr>
            <w:r>
              <w:rPr>
                <w:rFonts w:ascii="Arial" w:cs="Arial" w:eastAsia="Arial" w:hAnsi="Arial"/>
                <w:sz w:val="13"/>
                <w:szCs w:val="13"/>
                <w:b w:val="1"/>
                <w:bCs w:val="1"/>
                <w:color w:val="auto"/>
              </w:rPr>
              <w:t>Votes</w:t>
            </w:r>
          </w:p>
        </w:tc>
        <w:tc>
          <w:tcPr>
            <w:tcW w:w="660" w:type="dxa"/>
            <w:vAlign w:val="bottom"/>
            <w:tcBorders>
              <w:top w:val="single" w:sz="8" w:color="auto"/>
            </w:tcBorders>
            <w:gridSpan w:val="2"/>
          </w:tcPr>
          <w:p>
            <w:pPr>
              <w:jc w:val="right"/>
              <w:ind w:right="116"/>
              <w:spacing w:after="0" w:line="145"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340" w:type="dxa"/>
            <w:vAlign w:val="bottom"/>
            <w:tcBorders>
              <w:top w:val="single" w:sz="8" w:color="CCEEFF"/>
            </w:tcBorders>
            <w:gridSpan w:val="2"/>
            <w:shd w:val="clear" w:color="auto" w:fill="CCEEFF"/>
          </w:tcPr>
          <w:p>
            <w:pPr>
              <w:ind w:left="340"/>
              <w:spacing w:after="0" w:line="183" w:lineRule="exact"/>
              <w:rPr>
                <w:sz w:val="20"/>
                <w:szCs w:val="20"/>
                <w:color w:val="auto"/>
              </w:rPr>
            </w:pPr>
            <w:r>
              <w:rPr>
                <w:rFonts w:ascii="Arial" w:cs="Arial" w:eastAsia="Arial" w:hAnsi="Arial"/>
                <w:sz w:val="17"/>
                <w:szCs w:val="17"/>
                <w:color w:val="auto"/>
              </w:rPr>
              <w:t>Pre-Greenshoe</w:t>
            </w: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40" w:type="dxa"/>
            <w:vAlign w:val="bottom"/>
            <w:gridSpan w:val="2"/>
          </w:tcPr>
          <w:p>
            <w:pPr>
              <w:ind w:left="340"/>
              <w:spacing w:after="0"/>
              <w:rPr>
                <w:sz w:val="20"/>
                <w:szCs w:val="20"/>
                <w:color w:val="auto"/>
              </w:rPr>
            </w:pPr>
            <w:r>
              <w:rPr>
                <w:rFonts w:ascii="Arial" w:cs="Arial" w:eastAsia="Arial" w:hAnsi="Arial"/>
                <w:sz w:val="17"/>
                <w:szCs w:val="17"/>
                <w:color w:val="auto"/>
              </w:rPr>
              <w:t>Public Stockholders</w:t>
            </w:r>
          </w:p>
        </w:tc>
        <w:tc>
          <w:tcPr>
            <w:tcW w:w="900" w:type="dxa"/>
            <w:vAlign w:val="bottom"/>
          </w:tcPr>
          <w:p>
            <w:pPr>
              <w:jc w:val="right"/>
              <w:spacing w:after="0"/>
              <w:rPr>
                <w:sz w:val="20"/>
                <w:szCs w:val="20"/>
                <w:color w:val="auto"/>
              </w:rPr>
            </w:pPr>
            <w:r>
              <w:rPr>
                <w:rFonts w:ascii="Arial" w:cs="Arial" w:eastAsia="Arial" w:hAnsi="Arial"/>
                <w:sz w:val="17"/>
                <w:szCs w:val="17"/>
                <w:color w:val="auto"/>
              </w:rPr>
              <w:t>28,888,888</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18.61%</w:t>
            </w:r>
          </w:p>
        </w:tc>
        <w:tc>
          <w:tcPr>
            <w:tcW w:w="900" w:type="dxa"/>
            <w:vAlign w:val="bottom"/>
          </w:tcPr>
          <w:p>
            <w:pPr>
              <w:jc w:val="right"/>
              <w:spacing w:after="0"/>
              <w:rPr>
                <w:sz w:val="20"/>
                <w:szCs w:val="20"/>
                <w:color w:val="auto"/>
              </w:rPr>
            </w:pPr>
            <w:r>
              <w:rPr>
                <w:rFonts w:ascii="Arial" w:cs="Arial" w:eastAsia="Arial" w:hAnsi="Arial"/>
                <w:sz w:val="17"/>
                <w:szCs w:val="17"/>
                <w:color w:val="auto"/>
              </w:rPr>
              <w:t>28,888,888</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18.94%</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Advent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62,493,676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40.25%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62,493,676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40.98%</w:t>
            </w:r>
          </w:p>
        </w:tc>
        <w:tc>
          <w:tcPr>
            <w:tcW w:w="0" w:type="dxa"/>
            <w:vAlign w:val="bottom"/>
          </w:tcPr>
          <w:p>
            <w:pPr>
              <w:spacing w:after="0"/>
              <w:rPr>
                <w:sz w:val="1"/>
                <w:szCs w:val="1"/>
                <w:color w:val="auto"/>
              </w:rPr>
            </w:pPr>
          </w:p>
        </w:tc>
      </w:tr>
      <w:tr>
        <w:trPr>
          <w:trHeight w:val="203"/>
        </w:trPr>
        <w:tc>
          <w:tcPr>
            <w:tcW w:w="6340" w:type="dxa"/>
            <w:vAlign w:val="bottom"/>
            <w:gridSpan w:val="2"/>
          </w:tcPr>
          <w:p>
            <w:pPr>
              <w:ind w:left="340"/>
              <w:spacing w:after="0"/>
              <w:rPr>
                <w:sz w:val="20"/>
                <w:szCs w:val="20"/>
                <w:color w:val="auto"/>
              </w:rPr>
            </w:pPr>
            <w:r>
              <w:rPr>
                <w:rFonts w:ascii="Arial" w:cs="Arial" w:eastAsia="Arial" w:hAnsi="Arial"/>
                <w:sz w:val="17"/>
                <w:szCs w:val="17"/>
                <w:color w:val="auto"/>
              </w:rPr>
              <w:t>Spectrum Equity</w:t>
            </w:r>
          </w:p>
        </w:tc>
        <w:tc>
          <w:tcPr>
            <w:tcW w:w="900" w:type="dxa"/>
            <w:vAlign w:val="bottom"/>
          </w:tcPr>
          <w:p>
            <w:pPr>
              <w:jc w:val="right"/>
              <w:spacing w:after="0"/>
              <w:rPr>
                <w:sz w:val="20"/>
                <w:szCs w:val="20"/>
                <w:color w:val="auto"/>
              </w:rPr>
            </w:pPr>
            <w:r>
              <w:rPr>
                <w:rFonts w:ascii="Arial" w:cs="Arial" w:eastAsia="Arial" w:hAnsi="Arial"/>
                <w:sz w:val="17"/>
                <w:szCs w:val="17"/>
                <w:color w:val="auto"/>
              </w:rPr>
              <w:t>29,600,815</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19.06%</w:t>
            </w:r>
          </w:p>
        </w:tc>
        <w:tc>
          <w:tcPr>
            <w:tcW w:w="900" w:type="dxa"/>
            <w:vAlign w:val="bottom"/>
          </w:tcPr>
          <w:p>
            <w:pPr>
              <w:jc w:val="right"/>
              <w:spacing w:after="0"/>
              <w:rPr>
                <w:sz w:val="20"/>
                <w:szCs w:val="20"/>
                <w:color w:val="auto"/>
              </w:rPr>
            </w:pPr>
            <w:r>
              <w:rPr>
                <w:rFonts w:ascii="Arial" w:cs="Arial" w:eastAsia="Arial" w:hAnsi="Arial"/>
                <w:sz w:val="17"/>
                <w:szCs w:val="17"/>
                <w:color w:val="auto"/>
              </w:rPr>
              <w:t>29,600,815</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19.41%</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22C Capital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4,672,433</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3.01%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4,672,433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3"/>
        </w:trPr>
        <w:tc>
          <w:tcPr>
            <w:tcW w:w="6340" w:type="dxa"/>
            <w:vAlign w:val="bottom"/>
            <w:gridSpan w:val="2"/>
          </w:tcPr>
          <w:p>
            <w:pPr>
              <w:ind w:left="340"/>
              <w:spacing w:after="0"/>
              <w:rPr>
                <w:sz w:val="20"/>
                <w:szCs w:val="20"/>
                <w:color w:val="auto"/>
              </w:rPr>
            </w:pPr>
            <w:r>
              <w:rPr>
                <w:rFonts w:ascii="Arial" w:cs="Arial" w:eastAsia="Arial" w:hAnsi="Arial"/>
                <w:sz w:val="17"/>
                <w:szCs w:val="17"/>
                <w:color w:val="auto"/>
              </w:rPr>
              <w:t>Jason Krantz</w:t>
            </w:r>
          </w:p>
        </w:tc>
        <w:tc>
          <w:tcPr>
            <w:tcW w:w="900" w:type="dxa"/>
            <w:vAlign w:val="bottom"/>
          </w:tcPr>
          <w:p>
            <w:pPr>
              <w:jc w:val="right"/>
              <w:spacing w:after="0"/>
              <w:rPr>
                <w:sz w:val="20"/>
                <w:szCs w:val="20"/>
                <w:color w:val="auto"/>
              </w:rPr>
            </w:pPr>
            <w:r>
              <w:rPr>
                <w:rFonts w:ascii="Arial" w:cs="Arial" w:eastAsia="Arial" w:hAnsi="Arial"/>
                <w:sz w:val="17"/>
                <w:szCs w:val="17"/>
                <w:color w:val="auto"/>
              </w:rPr>
              <w:t>21,299,157</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13.72%</w:t>
            </w:r>
          </w:p>
        </w:tc>
        <w:tc>
          <w:tcPr>
            <w:tcW w:w="900" w:type="dxa"/>
            <w:vAlign w:val="bottom"/>
          </w:tcPr>
          <w:p>
            <w:pPr>
              <w:jc w:val="right"/>
              <w:spacing w:after="0"/>
              <w:rPr>
                <w:sz w:val="20"/>
                <w:szCs w:val="20"/>
                <w:color w:val="auto"/>
              </w:rPr>
            </w:pPr>
            <w:r>
              <w:rPr>
                <w:rFonts w:ascii="Arial" w:cs="Arial" w:eastAsia="Arial" w:hAnsi="Arial"/>
                <w:sz w:val="17"/>
                <w:szCs w:val="17"/>
                <w:color w:val="auto"/>
              </w:rPr>
              <w:t>20,657,840</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13.55%</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Members of AIDH Management Holdings, LLC</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8,319,753</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6,192,220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ind w:left="340"/>
              <w:spacing w:after="0"/>
              <w:rPr>
                <w:sz w:val="20"/>
                <w:szCs w:val="20"/>
                <w:color w:val="auto"/>
              </w:rPr>
            </w:pPr>
            <w:r>
              <w:rPr>
                <w:rFonts w:ascii="Arial" w:cs="Arial" w:eastAsia="Arial" w:hAnsi="Arial"/>
                <w:sz w:val="17"/>
                <w:szCs w:val="17"/>
                <w:b w:val="1"/>
                <w:bCs w:val="1"/>
                <w:color w:val="auto"/>
              </w:rPr>
              <w:t>Total</w:t>
            </w: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gridSpan w:val="2"/>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w w:val="93"/>
              </w:rPr>
              <w:t>155,274,722</w:t>
            </w:r>
          </w:p>
        </w:tc>
        <w:tc>
          <w:tcPr>
            <w:tcW w:w="140" w:type="dxa"/>
            <w:vAlign w:val="bottom"/>
            <w:vMerge w:val="continue"/>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98"/>
              </w:rPr>
              <w:t>100.00%</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w w:val="93"/>
              </w:rPr>
              <w:t>152,505,872</w:t>
            </w:r>
          </w:p>
        </w:tc>
        <w:tc>
          <w:tcPr>
            <w:tcW w:w="140" w:type="dxa"/>
            <w:vAlign w:val="bottom"/>
            <w:vMerge w:val="continue"/>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98"/>
              </w:rPr>
              <w:t>100.00%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080" w:type="dxa"/>
            <w:vAlign w:val="bottom"/>
            <w:tcBorders>
              <w:bottom w:val="single" w:sz="8" w:color="auto"/>
            </w:tcBorders>
          </w:tcPr>
          <w:p>
            <w:pPr>
              <w:spacing w:after="0"/>
              <w:rPr>
                <w:sz w:val="10"/>
                <w:szCs w:val="10"/>
                <w:color w:val="auto"/>
              </w:rPr>
            </w:pPr>
          </w:p>
        </w:tc>
        <w:tc>
          <w:tcPr>
            <w:tcW w:w="5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20" w:right="80" w:hanging="392"/>
        <w:spacing w:after="0" w:line="286" w:lineRule="auto"/>
        <w:tabs>
          <w:tab w:leader="none" w:pos="10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Reflects the sum of the shares of our Class A common stock and Class B common stock then outstanding, after giving effect to the issuance and sale of 11,000,000 shares of Class A common stock offered hereby. If the underwriters exercise in full their option to purchase additional shares of our Class A common stock, the number of shares of Class A common stock owned by, and the voting power held by public stockholders in the table above, would be 30,538,888 shares of Class A common stock or 20% of the voting power.</w:t>
      </w:r>
    </w:p>
    <w:p>
      <w:pPr>
        <w:ind w:left="1020" w:right="60" w:hanging="392"/>
        <w:spacing w:after="0" w:line="24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Reflects one vote per share of Class A common stock and one vote per share of Class B common stock outstanding other than shares of Class B Common Stock issued with respect to unvested LLC Units held by members of AIDH Management Holdings, LLC. See “Principal Stockholders” for additional information.</w:t>
      </w:r>
    </w:p>
    <w:p>
      <w:pPr>
        <w:spacing w:after="0" w:line="1" w:lineRule="exact"/>
        <w:rPr>
          <w:rFonts w:ascii="Arial" w:cs="Arial" w:eastAsia="Arial" w:hAnsi="Arial"/>
          <w:sz w:val="17"/>
          <w:szCs w:val="17"/>
          <w:color w:val="auto"/>
        </w:rPr>
      </w:pPr>
    </w:p>
    <w:p>
      <w:pPr>
        <w:ind w:left="1020" w:hanging="39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the 2,768,850 LLC Units held by members of AIDH Management Holdings, LLC that are subject to time-based vesting.</w:t>
      </w:r>
    </w:p>
    <w:p>
      <w:pPr>
        <w:spacing w:after="0" w:line="7" w:lineRule="exact"/>
        <w:rPr>
          <w:rFonts w:ascii="Arial" w:cs="Arial" w:eastAsia="Arial" w:hAnsi="Arial"/>
          <w:sz w:val="17"/>
          <w:szCs w:val="17"/>
          <w:color w:val="auto"/>
        </w:rPr>
      </w:pPr>
    </w:p>
    <w:p>
      <w:pPr>
        <w:ind w:left="1020" w:right="80" w:hanging="392"/>
        <w:spacing w:after="0" w:line="250"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Does not include (i) restricted stock unit to awards of 1,461,306 of shares of Class A common stock granted to our executive leadership team and other employees, (ii) restricted stock unit award of 650,000 shares of Class A common stock granted to our President and member of the board, Robert Musslewhite, in connection with his appointment as President, subject to vesting and (iii) restricted stock unit award of 6,737 shares of Class A common stock granted to Kathleen Winters, our newly appointed member of the board, in connection with her appointment. See “Executive Compensation—2021 Plan Reserves.”</w:t>
      </w:r>
    </w:p>
    <w:p>
      <w:pPr>
        <w:spacing w:after="0" w:line="28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Holding Company Structure and the Tax Receivable Agreement</w:t>
      </w:r>
    </w:p>
    <w:p>
      <w:pPr>
        <w:spacing w:after="0" w:line="112" w:lineRule="exact"/>
        <w:rPr>
          <w:sz w:val="20"/>
          <w:szCs w:val="20"/>
          <w:color w:val="auto"/>
        </w:rPr>
      </w:pPr>
    </w:p>
    <w:p>
      <w:pPr>
        <w:ind w:left="620" w:right="180" w:firstLine="399"/>
        <w:spacing w:after="0" w:line="254" w:lineRule="auto"/>
        <w:rPr>
          <w:sz w:val="20"/>
          <w:szCs w:val="20"/>
          <w:color w:val="auto"/>
        </w:rPr>
      </w:pPr>
      <w:r>
        <w:rPr>
          <w:rFonts w:ascii="Arial" w:cs="Arial" w:eastAsia="Arial" w:hAnsi="Arial"/>
          <w:sz w:val="17"/>
          <w:szCs w:val="17"/>
          <w:color w:val="auto"/>
        </w:rPr>
        <w:t>We are a holding company, and our sole material asset is our ownership interest in Definitive OpCo. The number of LLC Units that we will own directly and indirectly in the aggregate at any time will equal the aggregate number of outstanding shares of our Class A common stock. The economic interest represented by each LLC Unit that we own directly and indirectly will correspond to one share of our Class A common stock, and the total number of LLC Units owned directly and indirectly by us and the other Unitholders at any given time will equal the sum of the outstanding shares of all classes of our common stock.</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Our Class B common stock is not listed on any stock exchange.</w:t>
      </w:r>
    </w:p>
    <w:p>
      <w:pPr>
        <w:spacing w:after="0" w:line="210" w:lineRule="exact"/>
        <w:rPr>
          <w:sz w:val="20"/>
          <w:szCs w:val="20"/>
          <w:color w:val="auto"/>
        </w:rPr>
      </w:pPr>
    </w:p>
    <w:p>
      <w:pPr>
        <w:ind w:left="620" w:right="280" w:firstLine="399"/>
        <w:spacing w:after="0" w:line="277" w:lineRule="auto"/>
        <w:rPr>
          <w:sz w:val="20"/>
          <w:szCs w:val="20"/>
          <w:color w:val="auto"/>
        </w:rPr>
      </w:pPr>
      <w:r>
        <w:rPr>
          <w:rFonts w:ascii="Arial" w:cs="Arial" w:eastAsia="Arial" w:hAnsi="Arial"/>
          <w:sz w:val="16"/>
          <w:szCs w:val="16"/>
          <w:color w:val="auto"/>
        </w:rPr>
        <w:t>We acquired certain favorable tax attributes from the Blocker Companies in the Reorganization Transactions and certain tax basis adjustments resulting from the acquisition of LLC Units from Unitholders in connection with the IPO. In addition, the acquisition of LLC Units from existing holders in connection with this offering and acquisitions by us of LLC Units from existing holders in connection with future exchanges by the same Unitholders of LLC Units for shares of our Class A common stock or other consideration are expected to</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20"/>
          </w:cols>
          <w:pgMar w:left="320" w:top="466" w:right="9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690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66535" cy="569023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260"/>
        <w:spacing w:after="0" w:line="272" w:lineRule="auto"/>
        <w:rPr>
          <w:sz w:val="20"/>
          <w:szCs w:val="20"/>
          <w:color w:val="auto"/>
        </w:rPr>
      </w:pPr>
      <w:r>
        <w:rPr>
          <w:rFonts w:ascii="Arial" w:cs="Arial" w:eastAsia="Arial" w:hAnsi="Arial"/>
          <w:sz w:val="17"/>
          <w:szCs w:val="17"/>
          <w:color w:val="auto"/>
        </w:rPr>
        <w:t>result in favorable tax attributes that will be allocated to us. These tax attributes would not be available to us in the absence of those transactions and are expected to reduce the amount of tax that we would otherwise be required to pay in the future.</w:t>
      </w:r>
    </w:p>
    <w:p>
      <w:pPr>
        <w:spacing w:after="0" w:line="165" w:lineRule="exact"/>
        <w:rPr>
          <w:sz w:val="20"/>
          <w:szCs w:val="20"/>
          <w:color w:val="auto"/>
        </w:rPr>
      </w:pPr>
    </w:p>
    <w:p>
      <w:pPr>
        <w:ind w:left="620" w:right="20" w:firstLine="399"/>
        <w:spacing w:after="0" w:line="253" w:lineRule="auto"/>
        <w:rPr>
          <w:sz w:val="20"/>
          <w:szCs w:val="20"/>
          <w:color w:val="auto"/>
        </w:rPr>
      </w:pPr>
      <w:r>
        <w:rPr>
          <w:rFonts w:ascii="Arial" w:cs="Arial" w:eastAsia="Arial" w:hAnsi="Arial"/>
          <w:sz w:val="17"/>
          <w:szCs w:val="17"/>
          <w:color w:val="auto"/>
        </w:rPr>
        <w:t>In connection with the IPO, we entered into a Tax Receivable Agreement with the TRA Parties. Under the Tax Receivable Agreement, we generally are required to pay to the TRA Parties, in the aggregate, 85% of the amount of cash savings, if any, in U.S. federal, state and local income tax that we actually realize, or in certain circumstances are deemed to realize, as a result of (i) certain favorable tax attributes we acquired from the Blocker Companies, (ii) tax basis adjustments resulting from (a) acquisitions by us of LLC Units from existing holders, including in connection with this offering and (b) future exchanges of LLC Units by Unitholders for Class A common stock or other consideration and (iii) certain payments made under the Tax Receivable Agreement.</w:t>
      </w:r>
    </w:p>
    <w:p>
      <w:pPr>
        <w:spacing w:after="0" w:line="182" w:lineRule="exact"/>
        <w:rPr>
          <w:sz w:val="20"/>
          <w:szCs w:val="20"/>
          <w:color w:val="auto"/>
        </w:rPr>
      </w:pPr>
    </w:p>
    <w:p>
      <w:pPr>
        <w:ind w:left="620" w:firstLine="399"/>
        <w:spacing w:after="0" w:line="269" w:lineRule="auto"/>
        <w:rPr>
          <w:sz w:val="20"/>
          <w:szCs w:val="20"/>
          <w:color w:val="auto"/>
        </w:rPr>
      </w:pPr>
      <w:r>
        <w:rPr>
          <w:rFonts w:ascii="Arial" w:cs="Arial" w:eastAsia="Arial" w:hAnsi="Arial"/>
          <w:sz w:val="16"/>
          <w:szCs w:val="16"/>
          <w:color w:val="auto"/>
        </w:rPr>
        <w:t>Payments under the Tax Receivable Agreement are based on the tax reporting positions we determine, and the IRS or another taxing authority may challenge all or part of the deductions, tax basis increases, net operating losses or other tax attributes subject to the Tax Receivable Agreement, and a court could sustain such challenge. Further, the TRA Parties will not reimburse us for any payments previously made if such tax benefits are subsequently challenged by a taxing authority and are ultimately disallowed, except that any excess payments made to a TRA Party will be netted against future payments otherwise to be made to such TRA Party under the Tax Receivable Agreement, if any, after our determination of such excess. As a result, in such circumstances we could make future payments under the Tax Receivable Agreement that are greater than our actual cash tax savings and may not be able to recoup those payments, which could negatively impact our liquidity. See “Risk Factors—Risks Related to Our Organizational Structure—We will not be reimbursed for any payments made to the TRA Parties under the Tax Receivable Agreement in the event that any tax benefits are disallowed.”</w:t>
      </w:r>
    </w:p>
    <w:p>
      <w:pPr>
        <w:spacing w:after="0" w:line="170" w:lineRule="exact"/>
        <w:rPr>
          <w:sz w:val="20"/>
          <w:szCs w:val="20"/>
          <w:color w:val="auto"/>
        </w:rPr>
      </w:pPr>
    </w:p>
    <w:p>
      <w:pPr>
        <w:ind w:left="620" w:right="240" w:firstLine="399"/>
        <w:spacing w:after="0" w:line="272" w:lineRule="auto"/>
        <w:rPr>
          <w:sz w:val="20"/>
          <w:szCs w:val="20"/>
          <w:color w:val="auto"/>
        </w:rPr>
      </w:pPr>
      <w:r>
        <w:rPr>
          <w:rFonts w:ascii="Arial" w:cs="Arial" w:eastAsia="Arial" w:hAnsi="Arial"/>
          <w:sz w:val="17"/>
          <w:szCs w:val="17"/>
          <w:color w:val="auto"/>
        </w:rPr>
        <w:t>Our obligations under the Tax Receivable Agreement also apply with respect to any person who is issued LLC Units in the future and who becomes a party to the Tax Receivable Agreement.</w:t>
      </w:r>
    </w:p>
    <w:p>
      <w:pPr>
        <w:spacing w:after="0" w:line="165" w:lineRule="exact"/>
        <w:rPr>
          <w:sz w:val="20"/>
          <w:szCs w:val="20"/>
          <w:color w:val="auto"/>
        </w:rPr>
      </w:pPr>
    </w:p>
    <w:p>
      <w:pPr>
        <w:ind w:left="620" w:right="20" w:firstLine="399"/>
        <w:spacing w:after="0" w:line="270" w:lineRule="auto"/>
        <w:rPr>
          <w:sz w:val="20"/>
          <w:szCs w:val="20"/>
          <w:color w:val="auto"/>
        </w:rPr>
      </w:pPr>
      <w:r>
        <w:rPr>
          <w:rFonts w:ascii="Arial" w:cs="Arial" w:eastAsia="Arial" w:hAnsi="Arial"/>
          <w:sz w:val="16"/>
          <w:szCs w:val="16"/>
          <w:color w:val="auto"/>
        </w:rPr>
        <w:t>We are a holding company with no operations of our own and our ability to make payments under the Tax Receivable Agreement will depend on the ability of Definitive OpCo to make distributions to us. Deterioration in the financial condition, earnings, or cash flow of Definitive OpCo and its subsidiaries for any reason could limit or impair their ability to pay such distributions. To the extent that we are unable to make payments under the Tax Receivable Agreement for any reason, such payments generally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26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Sponsors</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Advent</w:t>
      </w:r>
    </w:p>
    <w:p>
      <w:pPr>
        <w:spacing w:after="0" w:line="108" w:lineRule="exact"/>
        <w:rPr>
          <w:sz w:val="20"/>
          <w:szCs w:val="20"/>
          <w:color w:val="auto"/>
        </w:rPr>
      </w:pPr>
    </w:p>
    <w:p>
      <w:pPr>
        <w:ind w:left="620" w:right="20" w:firstLine="399"/>
        <w:spacing w:after="0" w:line="252" w:lineRule="auto"/>
        <w:rPr>
          <w:sz w:val="20"/>
          <w:szCs w:val="20"/>
          <w:color w:val="auto"/>
        </w:rPr>
      </w:pPr>
      <w:r>
        <w:rPr>
          <w:rFonts w:ascii="Arial" w:cs="Arial" w:eastAsia="Arial" w:hAnsi="Arial"/>
          <w:sz w:val="17"/>
          <w:szCs w:val="17"/>
          <w:color w:val="auto"/>
        </w:rPr>
        <w:t>Advent is one of the largest and most experienced global private equity investors. The firm has invested in over 380 private equity transactions in 42 countries, and as of June 30, 2021, had $80.6 billion in assets under management. With 15 offices in 12 countries, Advent has established a globally integrated team of 245 investment professionals across North America, Europe, Latin America and Asia. The firm focuses on investments in five core sectors, including business and financial services; health care; industrial; retail, consumer and leisure; and technology. Advent has a long history of growth investments dating back to its founding in 1984, and in 2019 launched Advent Tech, a dedicated technology-focused fund focused on growth investments and buyouts of leading technology companies globally. After 35 years dedicated to international investing, Advent remains committed to partnering with management teams to deliver sustained revenue and earnings growth for its portfolio companies.</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20"/>
          </w:cols>
          <w:pgMar w:left="320" w:top="466" w:right="9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561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66535" cy="55613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Spectrum Equity</w:t>
      </w:r>
    </w:p>
    <w:p>
      <w:pPr>
        <w:spacing w:after="0" w:line="108" w:lineRule="exact"/>
        <w:rPr>
          <w:sz w:val="20"/>
          <w:szCs w:val="20"/>
          <w:color w:val="auto"/>
        </w:rPr>
      </w:pPr>
    </w:p>
    <w:p>
      <w:pPr>
        <w:ind w:left="620" w:right="200" w:firstLine="399"/>
        <w:spacing w:after="0" w:line="260" w:lineRule="auto"/>
        <w:rPr>
          <w:sz w:val="20"/>
          <w:szCs w:val="20"/>
          <w:color w:val="auto"/>
        </w:rPr>
      </w:pPr>
      <w:r>
        <w:rPr>
          <w:rFonts w:ascii="Arial" w:cs="Arial" w:eastAsia="Arial" w:hAnsi="Arial"/>
          <w:sz w:val="17"/>
          <w:szCs w:val="17"/>
          <w:color w:val="auto"/>
        </w:rPr>
        <w:t>Founded in 1994 with offices in Boston and San Francisco, Spectrum Equity is a leading growth equity firm providing capital and strategic support to innovative Internet, software and information service companies. As of September 30, 2021, the firm has invested in over 165 companies and is currently investing its ninth fund with $1.5 billion in limited partner commitments.</w:t>
      </w:r>
    </w:p>
    <w:p>
      <w:pPr>
        <w:spacing w:after="0" w:line="175" w:lineRule="exact"/>
        <w:rPr>
          <w:sz w:val="20"/>
          <w:szCs w:val="20"/>
          <w:color w:val="auto"/>
        </w:rPr>
      </w:pPr>
    </w:p>
    <w:p>
      <w:pPr>
        <w:ind w:left="620" w:right="280" w:firstLine="399"/>
        <w:spacing w:after="0" w:line="260" w:lineRule="auto"/>
        <w:rPr>
          <w:sz w:val="20"/>
          <w:szCs w:val="20"/>
          <w:color w:val="auto"/>
        </w:rPr>
      </w:pPr>
      <w:r>
        <w:rPr>
          <w:rFonts w:ascii="Arial" w:cs="Arial" w:eastAsia="Arial" w:hAnsi="Arial"/>
          <w:sz w:val="17"/>
          <w:szCs w:val="17"/>
          <w:color w:val="auto"/>
        </w:rPr>
        <w:t>Spectrum Equity seeks to invest in companies which have defensible and sustainable business models with strong recurring revenue, significant operating leverage and structural competitive advantages. Spectrum Equity plays a prominent role in helping its portfolio companies scale their business through active engagement in partnership with management.</w:t>
      </w:r>
    </w:p>
    <w:p>
      <w:pPr>
        <w:spacing w:after="0" w:line="27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22C Capital</w:t>
      </w:r>
    </w:p>
    <w:p>
      <w:pPr>
        <w:spacing w:after="0" w:line="108" w:lineRule="exact"/>
        <w:rPr>
          <w:sz w:val="20"/>
          <w:szCs w:val="20"/>
          <w:color w:val="auto"/>
        </w:rPr>
      </w:pPr>
    </w:p>
    <w:p>
      <w:pPr>
        <w:ind w:left="620" w:right="200" w:firstLine="399"/>
        <w:spacing w:after="0" w:line="293" w:lineRule="auto"/>
        <w:rPr>
          <w:sz w:val="20"/>
          <w:szCs w:val="20"/>
          <w:color w:val="auto"/>
        </w:rPr>
      </w:pPr>
      <w:r>
        <w:rPr>
          <w:rFonts w:ascii="Arial" w:cs="Arial" w:eastAsia="Arial" w:hAnsi="Arial"/>
          <w:sz w:val="15"/>
          <w:szCs w:val="15"/>
          <w:color w:val="auto"/>
        </w:rPr>
        <w:t>22C Capital is a private investment firm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 disciplinary experience building and running market leading data analytics companies, including co-founding and leading Capital IQ.</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Debt Refinancing</w:t>
      </w:r>
    </w:p>
    <w:p>
      <w:pPr>
        <w:spacing w:after="0" w:line="112" w:lineRule="exact"/>
        <w:rPr>
          <w:sz w:val="20"/>
          <w:szCs w:val="20"/>
          <w:color w:val="auto"/>
        </w:rPr>
      </w:pPr>
    </w:p>
    <w:p>
      <w:pPr>
        <w:ind w:left="620" w:right="140" w:firstLine="399"/>
        <w:spacing w:after="0" w:line="272" w:lineRule="auto"/>
        <w:rPr>
          <w:sz w:val="20"/>
          <w:szCs w:val="20"/>
          <w:color w:val="auto"/>
        </w:rPr>
      </w:pPr>
      <w:r>
        <w:rPr>
          <w:rFonts w:ascii="Arial" w:cs="Arial" w:eastAsia="Arial" w:hAnsi="Arial"/>
          <w:sz w:val="16"/>
          <w:szCs w:val="16"/>
          <w:color w:val="auto"/>
        </w:rPr>
        <w:t>On September 17, 2021, DH Holdings entered into a credit agreement (the “Credit Agreement”) with Bank of America, N.A., as administrative agent, the lenders party thereto and the other parties specified therein. The Credit Agreement provides for (i) a $275 million term loan A facility (the “Term Facility”) and (ii) a $75 million revolving credit facility (the “Revolving Credit Facility” and, together with the Term Facility, the “Senior Credit Facilities”), the proceeds of which were used to repay the remaining portion of the indebtedness outstanding under the credit agreement, dated as of July 16, 2019, by and among DH Holdings, the lenders party thereto and Owl Rock Capital Corporation, as administrative agent (the “2019 Credit Agreement”), and to pay related fees and expenses.</w:t>
      </w:r>
    </w:p>
    <w:p>
      <w:pPr>
        <w:spacing w:after="0" w:line="167" w:lineRule="exact"/>
        <w:rPr>
          <w:sz w:val="20"/>
          <w:szCs w:val="20"/>
          <w:color w:val="auto"/>
        </w:rPr>
      </w:pPr>
    </w:p>
    <w:p>
      <w:pPr>
        <w:ind w:left="620" w:firstLine="399"/>
        <w:spacing w:after="0" w:line="277" w:lineRule="auto"/>
        <w:rPr>
          <w:sz w:val="20"/>
          <w:szCs w:val="20"/>
          <w:color w:val="auto"/>
        </w:rPr>
      </w:pPr>
      <w:r>
        <w:rPr>
          <w:rFonts w:ascii="Arial" w:cs="Arial" w:eastAsia="Arial" w:hAnsi="Arial"/>
          <w:sz w:val="16"/>
          <w:szCs w:val="16"/>
          <w:color w:val="auto"/>
        </w:rPr>
        <w:t>The loans under the Senior Credit Facilities mature on September 17, 2026. The Senior Credit Facilities are guaranteed by all of DH Holdings’s wholly-owned domestic restricted subsidiaries and AIDH Buyer, LLC, a Delaware limited liability company (“Holdings”)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164" w:lineRule="exact"/>
        <w:rPr>
          <w:sz w:val="20"/>
          <w:szCs w:val="20"/>
          <w:color w:val="auto"/>
        </w:rPr>
      </w:pPr>
    </w:p>
    <w:p>
      <w:pPr>
        <w:ind w:left="620" w:right="240" w:firstLine="399"/>
        <w:spacing w:after="0" w:line="301" w:lineRule="auto"/>
        <w:rPr>
          <w:sz w:val="20"/>
          <w:szCs w:val="20"/>
          <w:color w:val="auto"/>
        </w:rPr>
      </w:pPr>
      <w:r>
        <w:rPr>
          <w:rFonts w:ascii="Arial" w:cs="Arial" w:eastAsia="Arial" w:hAnsi="Arial"/>
          <w:sz w:val="15"/>
          <w:szCs w:val="15"/>
          <w:color w:val="auto"/>
        </w:rPr>
        <w:t>See “Description of Material Indebtedness—Senior Credit Facilities” and “Management’s Discussion and Analysis of Financial Condition and Results of Operations—Interest Expense” and “Management’s Discussion and Analysis of Financial Condition and Results of Operations— Liquidity and Capital Resources—Debt Obligations.” No assurance can be given that we will be able to complete the debt refinancing on these terms or at all. For an additional description of our Senior Credit Facilities, please see “Description of Material Indebtedness.”</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Corporate Information</w:t>
      </w:r>
    </w:p>
    <w:p>
      <w:pPr>
        <w:spacing w:after="0" w:line="112" w:lineRule="exact"/>
        <w:rPr>
          <w:sz w:val="20"/>
          <w:szCs w:val="20"/>
          <w:color w:val="auto"/>
        </w:rPr>
      </w:pPr>
    </w:p>
    <w:p>
      <w:pPr>
        <w:ind w:left="620" w:right="80" w:firstLine="399"/>
        <w:spacing w:after="0" w:line="272" w:lineRule="auto"/>
        <w:rPr>
          <w:sz w:val="20"/>
          <w:szCs w:val="20"/>
          <w:color w:val="auto"/>
        </w:rPr>
      </w:pPr>
      <w:r>
        <w:rPr>
          <w:rFonts w:ascii="Arial" w:cs="Arial" w:eastAsia="Arial" w:hAnsi="Arial"/>
          <w:sz w:val="17"/>
          <w:szCs w:val="17"/>
          <w:color w:val="auto"/>
        </w:rPr>
        <w:t>Definitive Healthcare Corp. was incorporated in Delaware on May 5, 2021. Our principal executive offices are located at 550 Cochituate Rd, Framingham, Massachusetts 01701, and our telephone number is (508) 720-</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20"/>
          </w:cols>
          <w:pgMar w:left="320" w:top="466" w:right="9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488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66535" cy="548894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20"/>
        <w:spacing w:after="0" w:line="260" w:lineRule="auto"/>
        <w:rPr>
          <w:sz w:val="20"/>
          <w:szCs w:val="20"/>
          <w:color w:val="auto"/>
        </w:rPr>
      </w:pPr>
      <w:r>
        <w:rPr>
          <w:rFonts w:ascii="Arial" w:cs="Arial" w:eastAsia="Arial" w:hAnsi="Arial"/>
          <w:sz w:val="17"/>
          <w:szCs w:val="17"/>
          <w:color w:val="auto"/>
        </w:rPr>
        <w:t>4224. Our corporate website address is www.definitivehc.com. Our website and the information contained on, or that can be accessed through, this website is not deemed to be incorporated by reference in, and is not considered part of, this prospectus. You should not rely on any such information in making your decision whether to purchase our Class A common stock.</w:t>
      </w:r>
    </w:p>
    <w:p>
      <w:pPr>
        <w:spacing w:after="0" w:line="27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12" w:lineRule="exact"/>
        <w:rPr>
          <w:sz w:val="20"/>
          <w:szCs w:val="20"/>
          <w:color w:val="auto"/>
        </w:rPr>
      </w:pPr>
    </w:p>
    <w:p>
      <w:pPr>
        <w:ind w:left="620" w:right="320" w:firstLine="399"/>
        <w:spacing w:after="0" w:line="256" w:lineRule="auto"/>
        <w:rPr>
          <w:sz w:val="20"/>
          <w:szCs w:val="20"/>
          <w:color w:val="auto"/>
        </w:rPr>
      </w:pPr>
      <w:r>
        <w:rPr>
          <w:rFonts w:ascii="Arial" w:cs="Arial" w:eastAsia="Arial" w:hAnsi="Arial"/>
          <w:sz w:val="17"/>
          <w:szCs w:val="17"/>
          <w:color w:val="auto"/>
        </w:rPr>
        <w:t>As a company with less than $1.07 billion in gross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0" w:lineRule="exact"/>
        <w:rPr>
          <w:sz w:val="20"/>
          <w:szCs w:val="20"/>
          <w:color w:val="auto"/>
        </w:rPr>
      </w:pPr>
    </w:p>
    <w:p>
      <w:pPr>
        <w:ind w:left="1000" w:hanging="28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requirement to present only two years of audited financial statements and only two years of related</w:t>
      </w:r>
    </w:p>
    <w:p>
      <w:pPr>
        <w:spacing w:after="0" w:line="121" w:lineRule="exact"/>
        <w:rPr>
          <w:rFonts w:ascii="Arial" w:cs="Arial" w:eastAsia="Arial" w:hAnsi="Arial"/>
          <w:sz w:val="17"/>
          <w:szCs w:val="17"/>
          <w:color w:val="auto"/>
        </w:rPr>
      </w:pPr>
    </w:p>
    <w:p>
      <w:pPr>
        <w:ind w:left="1000" w:hanging="28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w:t>
      </w:r>
    </w:p>
    <w:p>
      <w:pPr>
        <w:spacing w:after="0" w:line="121" w:lineRule="exact"/>
        <w:rPr>
          <w:rFonts w:ascii="Arial" w:cs="Arial" w:eastAsia="Arial" w:hAnsi="Arial"/>
          <w:sz w:val="17"/>
          <w:szCs w:val="17"/>
          <w:color w:val="auto"/>
        </w:rPr>
      </w:pPr>
    </w:p>
    <w:p>
      <w:pPr>
        <w:ind w:left="1000" w:right="80" w:hanging="283"/>
        <w:spacing w:after="0" w:line="272"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system of internal control over financial reporting pursuant to the Sarbanes-Oxley Act of 2002, as amended (the “Sarbanes-Oxley Act”);</w:t>
      </w:r>
    </w:p>
    <w:p>
      <w:pPr>
        <w:spacing w:after="0" w:line="76" w:lineRule="exact"/>
        <w:rPr>
          <w:rFonts w:ascii="Arial" w:cs="Arial" w:eastAsia="Arial" w:hAnsi="Arial"/>
          <w:sz w:val="17"/>
          <w:szCs w:val="17"/>
          <w:color w:val="auto"/>
        </w:rPr>
      </w:pPr>
    </w:p>
    <w:p>
      <w:pPr>
        <w:ind w:left="1000" w:hanging="28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exemption from the adoption of new or revised financial accounting standards until they would apply to private companies;</w:t>
      </w:r>
    </w:p>
    <w:p>
      <w:pPr>
        <w:spacing w:after="0" w:line="121" w:lineRule="exact"/>
        <w:rPr>
          <w:rFonts w:ascii="Arial" w:cs="Arial" w:eastAsia="Arial" w:hAnsi="Arial"/>
          <w:sz w:val="17"/>
          <w:szCs w:val="17"/>
          <w:color w:val="auto"/>
        </w:rPr>
      </w:pPr>
    </w:p>
    <w:p>
      <w:pPr>
        <w:ind w:left="1000" w:right="80" w:hanging="283"/>
        <w:spacing w:after="0" w:line="260"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6" w:lineRule="exact"/>
        <w:rPr>
          <w:rFonts w:ascii="Arial" w:cs="Arial" w:eastAsia="Arial" w:hAnsi="Arial"/>
          <w:sz w:val="17"/>
          <w:szCs w:val="17"/>
          <w:color w:val="auto"/>
        </w:rPr>
      </w:pPr>
    </w:p>
    <w:p>
      <w:pPr>
        <w:ind w:left="1000" w:hanging="283"/>
        <w:spacing w:after="0"/>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 exemption from the requirement to seek non-binding advisory votes on executive compensation and golden parachute arrangements; and</w:t>
      </w:r>
    </w:p>
    <w:p>
      <w:pPr>
        <w:spacing w:after="0" w:line="144" w:lineRule="exact"/>
        <w:rPr>
          <w:rFonts w:ascii="Arial" w:cs="Arial" w:eastAsia="Arial" w:hAnsi="Arial"/>
          <w:sz w:val="15"/>
          <w:szCs w:val="15"/>
          <w:color w:val="auto"/>
        </w:rPr>
      </w:pPr>
    </w:p>
    <w:p>
      <w:pPr>
        <w:ind w:left="1000" w:hanging="28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disclosure about executive compensation arrangements.</w:t>
      </w:r>
    </w:p>
    <w:p>
      <w:pPr>
        <w:spacing w:after="0" w:line="210" w:lineRule="exact"/>
        <w:rPr>
          <w:sz w:val="20"/>
          <w:szCs w:val="20"/>
          <w:color w:val="auto"/>
        </w:rPr>
      </w:pPr>
    </w:p>
    <w:p>
      <w:pPr>
        <w:ind w:left="620" w:firstLine="399"/>
        <w:spacing w:after="0" w:line="290" w:lineRule="auto"/>
        <w:rPr>
          <w:sz w:val="20"/>
          <w:szCs w:val="20"/>
          <w:color w:val="auto"/>
        </w:rPr>
      </w:pPr>
      <w:r>
        <w:rPr>
          <w:rFonts w:ascii="Arial" w:cs="Arial" w:eastAsia="Arial" w:hAnsi="Arial"/>
          <w:sz w:val="15"/>
          <w:szCs w:val="15"/>
          <w:color w:val="auto"/>
        </w:rPr>
        <w:t>We will remain an emerging growth company until the last day of the fiscal year following the fifth anniversary of the completion of our IPO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56" w:lineRule="exact"/>
        <w:rPr>
          <w:sz w:val="20"/>
          <w:szCs w:val="20"/>
          <w:color w:val="auto"/>
        </w:rPr>
      </w:pPr>
    </w:p>
    <w:p>
      <w:pPr>
        <w:ind w:left="620" w:right="20" w:firstLine="399"/>
        <w:spacing w:after="0" w:line="252"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An emerging growth company can, therefore, delay the adoption of certain accounting standards until those standards would otherwise apply to private companies. An emerging growth company can also choose to “opt out” of that extended transition period and comply with new and revised accounting standards on the relevant dates on which adoption of those standards is required for non-emerging growth companies. Section 107 of the JOBS Act provides that a decision to opt out of the extended transition period for complying with new or revised accounting standards is irrevocable.</w:t>
      </w:r>
    </w:p>
    <w:p>
      <w:pPr>
        <w:spacing w:after="0" w:line="28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60"/>
          </w:cols>
          <w:pgMar w:left="320" w:top="466" w:right="101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736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66535" cy="7366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firstLine="399"/>
        <w:spacing w:after="0" w:line="256" w:lineRule="auto"/>
        <w:rPr>
          <w:sz w:val="20"/>
          <w:szCs w:val="20"/>
          <w:color w:val="auto"/>
        </w:rPr>
      </w:pPr>
      <w:r>
        <w:rPr>
          <w:rFonts w:ascii="Arial" w:cs="Arial" w:eastAsia="Arial" w:hAnsi="Arial"/>
          <w:sz w:val="17"/>
          <w:szCs w:val="17"/>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Class A common stock less attractive as a result of our elections, which may cause a less active trading market for our Class A common stock and more volatility in our stock price.</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60"/>
          </w:cols>
          <w:pgMar w:left="320" w:top="466" w:right="101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470" w:type="dxa"/>
        <w:tblCellMar>
          <w:top w:w="0" w:type="dxa"/>
          <w:left w:w="0" w:type="dxa"/>
          <w:bottom w:w="0" w:type="dxa"/>
          <w:right w:w="0" w:type="dxa"/>
        </w:tblCellMar>
      </w:tblPr>
      <w:tr>
        <w:trPr>
          <w:trHeight w:val="383"/>
        </w:trPr>
        <w:tc>
          <w:tcPr>
            <w:tcW w:w="4240" w:type="dxa"/>
            <w:vAlign w:val="bottom"/>
            <w:tcBorders>
              <w:top w:val="single" w:sz="8" w:color="auto"/>
              <w:left w:val="single" w:sz="8" w:color="auto"/>
            </w:tcBorders>
          </w:tcPr>
          <w:p>
            <w:pPr>
              <w:spacing w:after="0"/>
              <w:rPr>
                <w:sz w:val="24"/>
                <w:szCs w:val="24"/>
                <w:color w:val="auto"/>
              </w:rPr>
            </w:pPr>
          </w:p>
        </w:tc>
        <w:tc>
          <w:tcPr>
            <w:tcW w:w="61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THE OFFERING</w:t>
            </w:r>
          </w:p>
        </w:tc>
      </w:tr>
      <w:tr>
        <w:trPr>
          <w:trHeight w:val="431"/>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Definitive Healthcare Corp.</w:t>
            </w:r>
          </w:p>
        </w:tc>
      </w:tr>
      <w:tr>
        <w:trPr>
          <w:trHeight w:val="431"/>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Class A common stock offered by us</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11,000,000 shares of Class A common stock (12,650,000 shares if the underwriters</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exercise their option to purchase additional shares in full).</w:t>
            </w:r>
          </w:p>
        </w:tc>
      </w:tr>
      <w:tr>
        <w:trPr>
          <w:trHeight w:val="419"/>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4"/>
              </w:rPr>
              <w:t>Option to purchase additional shares of Class A common</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The underwriters have an option to purchase an additional 1,650,000 shares of</w:t>
            </w:r>
          </w:p>
        </w:tc>
      </w:tr>
      <w:tr>
        <w:trPr>
          <w:trHeight w:val="203"/>
        </w:trPr>
        <w:tc>
          <w:tcPr>
            <w:tcW w:w="424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stock</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2"/>
              </w:rPr>
              <w:t>Class A common stock from us. The underwriters can exercise this option at any time</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within 30 days from the date of this prospectus.</w:t>
            </w:r>
          </w:p>
        </w:tc>
      </w:tr>
      <w:tr>
        <w:trPr>
          <w:trHeight w:val="419"/>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1"/>
              </w:rPr>
              <w:t>Class A common stock to be outstanding after this offering</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11,000,000 shares of Class A common stock (12,650,000 shares if the underwriters</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exercise their option to purchase additional shares in full) or 155,274,722 shares of</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Class A common stock (155,274,722 shares if the underwriters exercise their option</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to purchase additional shares of Class A common stock in full) if all outstanding LLC</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Units held by the Unitholders and AIDH Management Holdings, LLC were</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redeemed or exchanged for a corresponding number of newly issued shares of</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Class A common stock.</w:t>
            </w:r>
          </w:p>
        </w:tc>
      </w:tr>
      <w:tr>
        <w:trPr>
          <w:trHeight w:val="419"/>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1"/>
              </w:rPr>
              <w:t>Class B common stock to be outstanding after this offering</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58,244,627 shares of Class B common stock (57,515,839 shares if the underwriters</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exercise their option to purchase additional shares in full). We would have no shares</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of Class B common stock outstanding if all outstanding LLC Units held by the</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9"/>
              </w:rPr>
              <w:t>Unitholders were redeemed or exchanged for a corresponding number of newly</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issued shares of Class A common stock.</w:t>
            </w:r>
          </w:p>
        </w:tc>
      </w:tr>
      <w:tr>
        <w:trPr>
          <w:trHeight w:val="419"/>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LLC Units to be held by us after this offering</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6"/>
              </w:rPr>
              <w:t>97,030,095 LLC Units, representing a 62.5% economic interest in Definitive OpCo</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(or 97,758,883 LLC Units, representing a 63.0% economic interest in Definitive</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OpCo, if the underwriters exercise their option to purchase additional shares of</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7"/>
              </w:rPr>
              <w:t>Class A common stock in full). The LLC Units are not entitled to voting interests in</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Definitive OpCo.</w:t>
            </w:r>
          </w:p>
        </w:tc>
      </w:tr>
      <w:tr>
        <w:trPr>
          <w:trHeight w:val="533"/>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Total LLC Units to be outstanding after this offering</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155,274,722 LLC Units (or 155,274,722 LLC Units if the underwriters exercise their</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option to purchase additional shares of Class A common stock in full).</w:t>
            </w:r>
          </w:p>
        </w:tc>
      </w:tr>
      <w:tr>
        <w:trPr>
          <w:trHeight w:val="419"/>
        </w:trPr>
        <w:tc>
          <w:tcPr>
            <w:tcW w:w="42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Use of proceeds</w:t>
            </w: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We estimate that the net proceeds from the sale of our Class A common stock in this</w:t>
            </w:r>
          </w:p>
        </w:tc>
      </w:tr>
      <w:tr>
        <w:trPr>
          <w:trHeight w:val="203"/>
        </w:trPr>
        <w:tc>
          <w:tcPr>
            <w:tcW w:w="424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offering, after deducting the underwriting discounts and estimated offering expenses</w:t>
            </w:r>
          </w:p>
        </w:tc>
      </w:tr>
      <w:tr>
        <w:trPr>
          <w:trHeight w:val="214"/>
        </w:trPr>
        <w:tc>
          <w:tcPr>
            <w:tcW w:w="4240" w:type="dxa"/>
            <w:vAlign w:val="bottom"/>
            <w:tcBorders>
              <w:left w:val="single" w:sz="8" w:color="auto"/>
            </w:tcBorders>
          </w:tcPr>
          <w:p>
            <w:pPr>
              <w:spacing w:after="0"/>
              <w:rPr>
                <w:sz w:val="18"/>
                <w:szCs w:val="18"/>
                <w:color w:val="auto"/>
              </w:rPr>
            </w:pPr>
          </w:p>
        </w:tc>
        <w:tc>
          <w:tcPr>
            <w:tcW w:w="61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payable by us, will be</w:t>
            </w:r>
          </w:p>
        </w:tc>
      </w:tr>
      <w:tr>
        <w:trPr>
          <w:trHeight w:val="149"/>
        </w:trPr>
        <w:tc>
          <w:tcPr>
            <w:tcW w:w="4240" w:type="dxa"/>
            <w:vAlign w:val="bottom"/>
            <w:tcBorders>
              <w:left w:val="single" w:sz="8" w:color="auto"/>
              <w:bottom w:val="single" w:sz="8" w:color="auto"/>
            </w:tcBorders>
          </w:tcPr>
          <w:p>
            <w:pPr>
              <w:spacing w:after="0"/>
              <w:rPr>
                <w:sz w:val="12"/>
                <w:szCs w:val="12"/>
                <w:color w:val="auto"/>
              </w:rPr>
            </w:pPr>
          </w:p>
        </w:tc>
        <w:tc>
          <w:tcPr>
            <w:tcW w:w="6100" w:type="dxa"/>
            <w:vAlign w:val="bottom"/>
            <w:tcBorders>
              <w:bottom w:val="single" w:sz="8" w:color="auto"/>
              <w:right w:val="single" w:sz="8" w:color="auto"/>
            </w:tcBorders>
          </w:tcPr>
          <w:p>
            <w:pPr>
              <w:spacing w:after="0"/>
              <w:rPr>
                <w:sz w:val="12"/>
                <w:szCs w:val="12"/>
                <w:color w:val="auto"/>
              </w:rPr>
            </w:pPr>
          </w:p>
        </w:tc>
      </w:tr>
      <w:tr>
        <w:trPr>
          <w:trHeight w:val="338"/>
        </w:trPr>
        <w:tc>
          <w:tcPr>
            <w:tcW w:w="4240" w:type="dxa"/>
            <w:vAlign w:val="bottom"/>
          </w:tcPr>
          <w:p>
            <w:pPr>
              <w:spacing w:after="0"/>
              <w:rPr>
                <w:sz w:val="24"/>
                <w:szCs w:val="24"/>
                <w:color w:val="auto"/>
              </w:rPr>
            </w:pPr>
          </w:p>
        </w:tc>
        <w:tc>
          <w:tcPr>
            <w:tcW w:w="6100" w:type="dxa"/>
            <w:vAlign w:val="bottom"/>
          </w:tcPr>
          <w:p>
            <w:pPr>
              <w:ind w:left="840"/>
              <w:spacing w:after="0"/>
              <w:rPr>
                <w:sz w:val="20"/>
                <w:szCs w:val="20"/>
                <w:color w:val="auto"/>
              </w:rPr>
            </w:pPr>
            <w:r>
              <w:rPr>
                <w:rFonts w:ascii="Arial" w:cs="Arial" w:eastAsia="Arial" w:hAnsi="Arial"/>
                <w:sz w:val="17"/>
                <w:szCs w:val="17"/>
                <w:color w:val="auto"/>
              </w:rPr>
              <w:t>17</w:t>
            </w:r>
          </w:p>
        </w:tc>
      </w:tr>
    </w:tbl>
    <w:p>
      <w:pPr>
        <w:sectPr>
          <w:pgSz w:w="11900" w:h="16838" w:orient="portrait"/>
          <w:cols w:equalWidth="0" w:num="1">
            <w:col w:w="10800"/>
          </w:cols>
          <w:pgMar w:left="320" w:top="466" w:right="7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470" w:type="dxa"/>
        <w:tblCellMar>
          <w:top w:w="0" w:type="dxa"/>
          <w:left w:w="0" w:type="dxa"/>
          <w:bottom w:w="0" w:type="dxa"/>
          <w:right w:w="0" w:type="dxa"/>
        </w:tblCellMar>
      </w:tblPr>
      <w:tr>
        <w:trPr>
          <w:trHeight w:val="371"/>
        </w:trPr>
        <w:tc>
          <w:tcPr>
            <w:tcW w:w="3180" w:type="dxa"/>
            <w:vAlign w:val="bottom"/>
            <w:tcBorders>
              <w:top w:val="single" w:sz="8" w:color="auto"/>
              <w:left w:val="single" w:sz="8" w:color="auto"/>
            </w:tcBorders>
          </w:tcPr>
          <w:p>
            <w:pPr>
              <w:spacing w:after="0"/>
              <w:rPr>
                <w:sz w:val="24"/>
                <w:szCs w:val="24"/>
                <w:color w:val="auto"/>
              </w:rPr>
            </w:pPr>
          </w:p>
        </w:tc>
        <w:tc>
          <w:tcPr>
            <w:tcW w:w="716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7"/>
                <w:szCs w:val="17"/>
                <w:color w:val="auto"/>
                <w:w w:val="95"/>
              </w:rPr>
              <w:t>approximately $441,616,250 ($508,158,688 if the underwriters exercise their option</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6"/>
              </w:rPr>
              <w:t>to purchase additional shares in full) based on an assumed public offering price of</w:t>
            </w:r>
          </w:p>
        </w:tc>
      </w:tr>
      <w:tr>
        <w:trPr>
          <w:trHeight w:val="214"/>
        </w:trPr>
        <w:tc>
          <w:tcPr>
            <w:tcW w:w="318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$41.90 per share.</w:t>
            </w:r>
          </w:p>
        </w:tc>
      </w:tr>
      <w:tr>
        <w:trPr>
          <w:trHeight w:val="431"/>
        </w:trPr>
        <w:tc>
          <w:tcPr>
            <w:tcW w:w="318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We intend to use the net proceeds from this offering (i) for acquisitions or</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4"/>
              </w:rPr>
              <w:t>investments and general corporate purposes, including purchasing 7,000,000 newly</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issued LLC Units from Definitive OpCo, and (ii) to repurchase an aggregate of</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7"/>
              </w:rPr>
              <w:t>2,233,238 shares of Class A common stock and purchase 1,766,762 LLC Units in</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9"/>
              </w:rPr>
              <w:t>Definitive OpCo from existing holders, including our Sponsors, officers, directors</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9"/>
              </w:rPr>
              <w:t>and their affiliates, in a “synthetic secondary” transaction, at a price per share of</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6"/>
              </w:rPr>
              <w:t>Class A common stock and per LLC Unit in each case, equal to the public offering</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5"/>
              </w:rPr>
              <w:t>price of Class A common stock less the underwriting discounts. Definitive OpCo will</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6"/>
              </w:rPr>
              <w:t>not receive any proceeds from the repurchase of shares of Class A common stock</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5"/>
              </w:rPr>
              <w:t>from existing holders by us or from the purchase of LLC Units from existing holders</w:t>
            </w:r>
          </w:p>
        </w:tc>
      </w:tr>
      <w:tr>
        <w:trPr>
          <w:trHeight w:val="214"/>
        </w:trPr>
        <w:tc>
          <w:tcPr>
            <w:tcW w:w="318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by us.</w:t>
            </w:r>
          </w:p>
        </w:tc>
      </w:tr>
      <w:tr>
        <w:trPr>
          <w:trHeight w:val="419"/>
        </w:trPr>
        <w:tc>
          <w:tcPr>
            <w:tcW w:w="318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9"/>
              </w:rPr>
              <w:t>If the underwriters exercise their option to purchase additional shares of Class A</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common stock in full, we estimate that our additional net proceeds will be</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5"/>
              </w:rPr>
              <w:t>approximately $66,542,438 based on an public offering price of $41.90. We will use</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4"/>
              </w:rPr>
              <w:t>the additional net proceeds we receive pursuant to any exercise of the underwriters’</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7"/>
              </w:rPr>
              <w:t>option to repurchase additional shares of Class A common stock and to purchase</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additional LLC Units from existing holders. As a result, Definitive OpCo will not</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9"/>
              </w:rPr>
              <w:t>receive any additional proceeds from any exercise of the underwriters’ option to</w:t>
            </w:r>
          </w:p>
        </w:tc>
      </w:tr>
      <w:tr>
        <w:trPr>
          <w:trHeight w:val="214"/>
        </w:trPr>
        <w:tc>
          <w:tcPr>
            <w:tcW w:w="318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purchase additional shares of Class A common stock.</w:t>
            </w:r>
          </w:p>
        </w:tc>
      </w:tr>
      <w:tr>
        <w:trPr>
          <w:trHeight w:val="431"/>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Definitive Healthcare Corp.</w:t>
            </w:r>
          </w:p>
        </w:tc>
      </w:tr>
      <w:tr>
        <w:trPr>
          <w:trHeight w:val="431"/>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Tax Receivable Agreement</w:t>
            </w: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8"/>
              </w:rPr>
              <w:t>We are party to the Tax Receivable Agreement with the TRA Parties (as defined</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2"/>
              </w:rPr>
              <w:t>herein). Under the Tax Receivable Agreement, we generally are required to pay to the</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8"/>
              </w:rPr>
              <w:t>TRA Parties 85% of the amount of cash savings, if any, in U.S. federal, state and</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6"/>
              </w:rPr>
              <w:t>local income tax that we actually realize (or in some circumstances are deemed to</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7"/>
              </w:rPr>
              <w:t>realize) as a result of (i) certain favorable tax attributes acquired from the Blocker</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7"/>
              </w:rPr>
              <w:t>Companies; (ii) tax basis adjustments resulting from (a) acquisitions by us of LLC</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6"/>
              </w:rPr>
              <w:t>Units from existing holders, including in connection with this offering and (b) future</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exchanges of LLC Units by Unitholders for Class A common stock or other</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w w:val="94"/>
              </w:rPr>
              <w:t>consideration and (iii) certain payments made under the Tax Receivable Agreement.</w:t>
            </w:r>
          </w:p>
        </w:tc>
      </w:tr>
      <w:tr>
        <w:trPr>
          <w:trHeight w:val="203"/>
        </w:trPr>
        <w:tc>
          <w:tcPr>
            <w:tcW w:w="3180" w:type="dxa"/>
            <w:vAlign w:val="bottom"/>
            <w:tcBorders>
              <w:left w:val="single" w:sz="8" w:color="auto"/>
            </w:tcBorders>
          </w:tcPr>
          <w:p>
            <w:pPr>
              <w:spacing w:after="0"/>
              <w:rPr>
                <w:sz w:val="17"/>
                <w:szCs w:val="17"/>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We retain the benefit of the remaining 15% of these tax savings. See “—</w:t>
            </w:r>
          </w:p>
        </w:tc>
      </w:tr>
      <w:tr>
        <w:trPr>
          <w:trHeight w:val="214"/>
        </w:trPr>
        <w:tc>
          <w:tcPr>
            <w:tcW w:w="318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1160"/>
              <w:spacing w:after="0"/>
              <w:rPr>
                <w:sz w:val="20"/>
                <w:szCs w:val="20"/>
                <w:color w:val="auto"/>
              </w:rPr>
            </w:pPr>
            <w:r>
              <w:rPr>
                <w:rFonts w:ascii="Arial" w:cs="Arial" w:eastAsia="Arial" w:hAnsi="Arial"/>
                <w:sz w:val="17"/>
                <w:szCs w:val="17"/>
                <w:color w:val="auto"/>
              </w:rPr>
              <w:t>Organizational Structure.”</w:t>
            </w:r>
          </w:p>
        </w:tc>
      </w:tr>
      <w:tr>
        <w:trPr>
          <w:trHeight w:val="149"/>
        </w:trPr>
        <w:tc>
          <w:tcPr>
            <w:tcW w:w="3180" w:type="dxa"/>
            <w:vAlign w:val="bottom"/>
            <w:tcBorders>
              <w:left w:val="single" w:sz="8" w:color="auto"/>
              <w:bottom w:val="single" w:sz="8" w:color="auto"/>
            </w:tcBorders>
          </w:tcPr>
          <w:p>
            <w:pPr>
              <w:spacing w:after="0"/>
              <w:rPr>
                <w:sz w:val="12"/>
                <w:szCs w:val="12"/>
                <w:color w:val="auto"/>
              </w:rPr>
            </w:pPr>
          </w:p>
        </w:tc>
        <w:tc>
          <w:tcPr>
            <w:tcW w:w="7160" w:type="dxa"/>
            <w:vAlign w:val="bottom"/>
            <w:tcBorders>
              <w:bottom w:val="single" w:sz="8" w:color="auto"/>
              <w:right w:val="single" w:sz="8" w:color="auto"/>
            </w:tcBorders>
          </w:tcPr>
          <w:p>
            <w:pPr>
              <w:spacing w:after="0"/>
              <w:rPr>
                <w:sz w:val="12"/>
                <w:szCs w:val="12"/>
                <w:color w:val="auto"/>
              </w:rPr>
            </w:pPr>
          </w:p>
        </w:tc>
      </w:tr>
      <w:tr>
        <w:trPr>
          <w:trHeight w:val="338"/>
        </w:trPr>
        <w:tc>
          <w:tcPr>
            <w:tcW w:w="3180" w:type="dxa"/>
            <w:vAlign w:val="bottom"/>
          </w:tcPr>
          <w:p>
            <w:pPr>
              <w:spacing w:after="0"/>
              <w:rPr>
                <w:sz w:val="24"/>
                <w:szCs w:val="24"/>
                <w:color w:val="auto"/>
              </w:rPr>
            </w:pPr>
          </w:p>
        </w:tc>
        <w:tc>
          <w:tcPr>
            <w:tcW w:w="7160" w:type="dxa"/>
            <w:vAlign w:val="bottom"/>
          </w:tcPr>
          <w:p>
            <w:pPr>
              <w:ind w:left="1900"/>
              <w:spacing w:after="0"/>
              <w:rPr>
                <w:sz w:val="20"/>
                <w:szCs w:val="20"/>
                <w:color w:val="auto"/>
              </w:rPr>
            </w:pPr>
            <w:r>
              <w:rPr>
                <w:rFonts w:ascii="Arial" w:cs="Arial" w:eastAsia="Arial" w:hAnsi="Arial"/>
                <w:sz w:val="17"/>
                <w:szCs w:val="17"/>
                <w:color w:val="auto"/>
              </w:rPr>
              <w:t>18</w:t>
            </w:r>
          </w:p>
        </w:tc>
      </w:tr>
    </w:tbl>
    <w:p>
      <w:pPr>
        <w:sectPr>
          <w:pgSz w:w="11900" w:h="16838" w:orient="portrait"/>
          <w:cols w:equalWidth="0" w:num="1">
            <w:col w:w="10800"/>
          </w:cols>
          <w:pgMar w:left="320" w:top="466" w:right="7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210820</wp:posOffset>
            </wp:positionV>
            <wp:extent cx="6566535" cy="5835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66535" cy="5835015"/>
                    </a:xfrm>
                    <a:prstGeom prst="rect">
                      <a:avLst/>
                    </a:prstGeom>
                    <a:noFill/>
                  </pic:spPr>
                </pic:pic>
              </a:graphicData>
            </a:graphic>
          </wp:anchor>
        </w:drawing>
      </w:r>
    </w:p>
    <w:p>
      <w:pPr>
        <w:sectPr>
          <w:pgSz w:w="11900" w:h="16838" w:orient="portrait"/>
          <w:cols w:equalWidth="0" w:num="1">
            <w:col w:w="10600"/>
          </w:cols>
          <w:pgMar w:left="320" w:top="466" w:right="97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both"/>
        <w:ind w:right="100"/>
        <w:spacing w:after="0" w:line="260" w:lineRule="auto"/>
        <w:rPr>
          <w:sz w:val="20"/>
          <w:szCs w:val="20"/>
          <w:color w:val="auto"/>
        </w:rPr>
      </w:pPr>
      <w:r>
        <w:rPr>
          <w:rFonts w:ascii="Arial" w:cs="Arial" w:eastAsia="Arial" w:hAnsi="Arial"/>
          <w:sz w:val="17"/>
          <w:szCs w:val="17"/>
          <w:color w:val="auto"/>
        </w:rPr>
        <w:t>We do not anticipate paying any dividends on our Class A common stock or Class B common stock for the foreseeable future; however, we may change this policy in the future. See “Dividend Policy.”</w:t>
      </w:r>
    </w:p>
    <w:p>
      <w:pPr>
        <w:spacing w:after="0" w:line="200" w:lineRule="exact"/>
        <w:rPr>
          <w:sz w:val="20"/>
          <w:szCs w:val="20"/>
          <w:color w:val="auto"/>
        </w:rPr>
      </w:pPr>
    </w:p>
    <w:p>
      <w:pPr>
        <w:sectPr>
          <w:pgSz w:w="11900" w:h="16838" w:orient="portrait"/>
          <w:cols w:equalWidth="0" w:num="2">
            <w:col w:w="4080" w:space="720"/>
            <w:col w:w="5800"/>
          </w:cols>
          <w:pgMar w:left="320" w:top="466" w:right="979" w:bottom="1440" w:gutter="0" w:footer="0" w:header="0"/>
          <w:type w:val="continuous"/>
        </w:sectPr>
      </w:pPr>
    </w:p>
    <w:p>
      <w:pPr>
        <w:spacing w:after="0" w:line="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Voting Rights</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7"/>
          <w:szCs w:val="17"/>
          <w:color w:val="auto"/>
        </w:rPr>
        <w:t>Each share of our Class A common stock entitles its holder to one vote for each share of Class A common stock held of record on all matters to be voted on by stockholders generally.</w:t>
      </w:r>
    </w:p>
    <w:p>
      <w:pPr>
        <w:spacing w:after="0" w:line="200" w:lineRule="exact"/>
        <w:rPr>
          <w:sz w:val="20"/>
          <w:szCs w:val="20"/>
          <w:color w:val="auto"/>
        </w:rPr>
      </w:pPr>
    </w:p>
    <w:p>
      <w:pPr>
        <w:sectPr>
          <w:pgSz w:w="11900" w:h="16838" w:orient="portrait"/>
          <w:cols w:equalWidth="0" w:num="2">
            <w:col w:w="4080" w:space="720"/>
            <w:col w:w="5800"/>
          </w:cols>
          <w:pgMar w:left="320" w:top="466" w:right="979" w:bottom="1440" w:gutter="0" w:footer="0" w:header="0"/>
          <w:type w:val="continuous"/>
        </w:sectPr>
      </w:pPr>
    </w:p>
    <w:p>
      <w:pPr>
        <w:spacing w:after="0" w:line="1" w:lineRule="exact"/>
        <w:rPr>
          <w:sz w:val="20"/>
          <w:szCs w:val="20"/>
          <w:color w:val="auto"/>
        </w:rPr>
      </w:pPr>
    </w:p>
    <w:p>
      <w:pPr>
        <w:ind w:left="4800" w:right="20"/>
        <w:spacing w:after="0" w:line="253" w:lineRule="auto"/>
        <w:rPr>
          <w:sz w:val="20"/>
          <w:szCs w:val="20"/>
          <w:color w:val="auto"/>
        </w:rPr>
      </w:pPr>
      <w:r>
        <w:rPr>
          <w:rFonts w:ascii="Arial" w:cs="Arial" w:eastAsia="Arial" w:hAnsi="Arial"/>
          <w:sz w:val="17"/>
          <w:szCs w:val="17"/>
          <w:color w:val="auto"/>
        </w:rPr>
        <w:t>Each share of our Class B common stock entitles its holder to one vote for each share of Class B common stock held of record on all matters on which stockholders of Definitive Healthcare Corp. are entitled to vote generally. The shares of Class B common stock representing the voting interests of 2,768,850 LLC Units subject to time-based vesting will not entitle the holder thereof to vote such shares until the underlying LLC Units vest.</w:t>
      </w:r>
    </w:p>
    <w:p>
      <w:pPr>
        <w:spacing w:after="0" w:line="207" w:lineRule="exact"/>
        <w:rPr>
          <w:sz w:val="20"/>
          <w:szCs w:val="20"/>
          <w:color w:val="auto"/>
        </w:rPr>
      </w:pPr>
    </w:p>
    <w:p>
      <w:pPr>
        <w:ind w:left="4800" w:right="140"/>
        <w:spacing w:after="0" w:line="256" w:lineRule="auto"/>
        <w:rPr>
          <w:sz w:val="20"/>
          <w:szCs w:val="20"/>
          <w:color w:val="auto"/>
        </w:rPr>
      </w:pPr>
      <w:r>
        <w:rPr>
          <w:rFonts w:ascii="Arial" w:cs="Arial" w:eastAsia="Arial" w:hAnsi="Arial"/>
          <w:sz w:val="17"/>
          <w:szCs w:val="17"/>
          <w:color w:val="auto"/>
        </w:rPr>
        <w:t>Holders of outstanding shares of our Class A common stock and Class B common stock vote as a single class on all matters on which stockholders are entitled to vote generally, except as otherwise required by law. See “Description of Capital Stock— Common Stock.”</w:t>
      </w:r>
    </w:p>
    <w:p>
      <w:pPr>
        <w:sectPr>
          <w:pgSz w:w="11900" w:h="16838" w:orient="portrait"/>
          <w:cols w:equalWidth="0" w:num="1">
            <w:col w:w="10600"/>
          </w:cols>
          <w:pgMar w:left="320" w:top="466" w:right="979" w:bottom="1440" w:gutter="0" w:footer="0" w:header="0"/>
          <w:type w:val="continuous"/>
        </w:sectPr>
      </w:pPr>
    </w:p>
    <w:p>
      <w:pPr>
        <w:spacing w:after="0" w:line="20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5"/>
          <w:szCs w:val="15"/>
          <w:color w:val="auto"/>
        </w:rPr>
        <w:t>Investing in our Class A common stock involves a high degree of risk. See the “Risk Factors” section of this prospectus beginning on page 28 for a discussion of factors you should carefully consider before investing in our Class A common stock.</w:t>
      </w:r>
    </w:p>
    <w:p>
      <w:pPr>
        <w:spacing w:after="0" w:line="200" w:lineRule="exact"/>
        <w:rPr>
          <w:sz w:val="20"/>
          <w:szCs w:val="20"/>
          <w:color w:val="auto"/>
        </w:rPr>
      </w:pPr>
    </w:p>
    <w:p>
      <w:pPr>
        <w:sectPr>
          <w:pgSz w:w="11900" w:h="16838" w:orient="portrait"/>
          <w:cols w:equalWidth="0" w:num="2">
            <w:col w:w="4080" w:space="720"/>
            <w:col w:w="5800"/>
          </w:cols>
          <w:pgMar w:left="320" w:top="466" w:right="979" w:bottom="1440" w:gutter="0" w:footer="0" w:header="0"/>
          <w:type w:val="continuous"/>
        </w:sectPr>
      </w:pPr>
    </w:p>
    <w:p>
      <w:pPr>
        <w:spacing w:after="0" w:line="7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Listing</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Our Class A common stock is listed on Nasdaq under the symbol “DH.”</w:t>
      </w:r>
    </w:p>
    <w:p>
      <w:pPr>
        <w:spacing w:after="0" w:line="200" w:lineRule="exact"/>
        <w:rPr>
          <w:sz w:val="20"/>
          <w:szCs w:val="20"/>
          <w:color w:val="auto"/>
        </w:rPr>
      </w:pPr>
    </w:p>
    <w:p>
      <w:pPr>
        <w:sectPr>
          <w:pgSz w:w="11900" w:h="16838" w:orient="portrait"/>
          <w:cols w:equalWidth="0" w:num="2">
            <w:col w:w="4080" w:space="720"/>
            <w:col w:w="5800"/>
          </w:cols>
          <w:pgMar w:left="320" w:top="466" w:right="979" w:bottom="1440" w:gutter="0" w:footer="0" w:header="0"/>
          <w:type w:val="continuous"/>
        </w:sectPr>
      </w:pPr>
    </w:p>
    <w:p>
      <w:pPr>
        <w:spacing w:after="0" w:line="4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Except as otherwise indicated, the number of shares of our Class A common stock outstanding after this offering:</w:t>
      </w:r>
    </w:p>
    <w:p>
      <w:pPr>
        <w:spacing w:after="0" w:line="121" w:lineRule="exact"/>
        <w:rPr>
          <w:sz w:val="20"/>
          <w:szCs w:val="20"/>
          <w:color w:val="auto"/>
        </w:rPr>
      </w:pPr>
    </w:p>
    <w:p>
      <w:pPr>
        <w:ind w:left="1400" w:right="120" w:hanging="379"/>
        <w:spacing w:after="0" w:line="272" w:lineRule="auto"/>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excludes 58,244,627 shares of Class A common stock reserved for issuance upon exchange of LLC Units held by the Unitholders on a one-for-one basis;</w:t>
      </w:r>
    </w:p>
    <w:p>
      <w:pPr>
        <w:spacing w:after="0" w:line="76" w:lineRule="exact"/>
        <w:rPr>
          <w:rFonts w:ascii="Arial" w:cs="Arial" w:eastAsia="Arial" w:hAnsi="Arial"/>
          <w:sz w:val="17"/>
          <w:szCs w:val="17"/>
          <w:color w:val="auto"/>
        </w:rPr>
      </w:pPr>
    </w:p>
    <w:p>
      <w:pPr>
        <w:ind w:left="1400" w:right="40" w:hanging="379"/>
        <w:spacing w:after="0" w:line="272" w:lineRule="auto"/>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excludes an aggregate of 1,498,173 shares of our Class A common stock available for issuance under our employee stock purchase plan Definitive Healthcare Corp. 2021 Employee Stock Purchase Plan (the “ESPP”);</w:t>
      </w:r>
    </w:p>
    <w:p>
      <w:pPr>
        <w:spacing w:after="0" w:line="76" w:lineRule="exact"/>
        <w:rPr>
          <w:rFonts w:ascii="Arial" w:cs="Arial" w:eastAsia="Arial" w:hAnsi="Arial"/>
          <w:sz w:val="17"/>
          <w:szCs w:val="17"/>
          <w:color w:val="auto"/>
        </w:rPr>
      </w:pPr>
    </w:p>
    <w:p>
      <w:pPr>
        <w:ind w:left="1400" w:right="560" w:hanging="379"/>
        <w:spacing w:after="0" w:line="272" w:lineRule="auto"/>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excludes an aggregate of 8,989,039 shares of our Class A common stock available for future equity awards under our Definitive Healthcare Corp. 2021 Equity Incentive Plan (the “2021 Plan”); and</w:t>
      </w:r>
    </w:p>
    <w:p>
      <w:pPr>
        <w:spacing w:after="0" w:line="76" w:lineRule="exact"/>
        <w:rPr>
          <w:rFonts w:ascii="Arial" w:cs="Arial" w:eastAsia="Arial" w:hAnsi="Arial"/>
          <w:sz w:val="17"/>
          <w:szCs w:val="17"/>
          <w:color w:val="auto"/>
        </w:rPr>
      </w:pPr>
    </w:p>
    <w:p>
      <w:pPr>
        <w:ind w:left="1400" w:hanging="379"/>
        <w:spacing w:after="0"/>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assumes no exercise of the underwriters’ option to purchase additional shares of Class A common stock.</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21" w:lineRule="exact"/>
        <w:rPr>
          <w:sz w:val="20"/>
          <w:szCs w:val="20"/>
          <w:color w:val="auto"/>
        </w:rPr>
      </w:pPr>
    </w:p>
    <w:p>
      <w:pPr>
        <w:ind w:left="1400" w:right="320" w:hanging="379"/>
        <w:spacing w:after="0" w:line="272" w:lineRule="auto"/>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gives effect to this offering (which includes our acquisition of LLC Units from existing holders and repurchase of shares of Class A common stock from certain stockholders); and</w:t>
      </w:r>
    </w:p>
    <w:p>
      <w:pPr>
        <w:spacing w:after="0" w:line="76" w:lineRule="exact"/>
        <w:rPr>
          <w:rFonts w:ascii="Arial" w:cs="Arial" w:eastAsia="Arial" w:hAnsi="Arial"/>
          <w:sz w:val="17"/>
          <w:szCs w:val="17"/>
          <w:color w:val="auto"/>
        </w:rPr>
      </w:pPr>
    </w:p>
    <w:p>
      <w:pPr>
        <w:ind w:left="1400" w:hanging="379"/>
        <w:spacing w:after="0"/>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assumes the underwriters’ option to purchase additional shares of Class A common stock has not been exercised.</w:t>
      </w: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00"/>
          </w:cols>
          <w:pgMar w:left="320" w:top="466" w:right="979" w:bottom="1440" w:gutter="0" w:footer="0" w:header="0"/>
          <w:type w:val="continuous"/>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4787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66535" cy="4787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firstLine="399"/>
        <w:spacing w:after="0" w:line="303" w:lineRule="auto"/>
        <w:rPr>
          <w:sz w:val="20"/>
          <w:szCs w:val="20"/>
          <w:color w:val="auto"/>
        </w:rPr>
      </w:pPr>
      <w:r>
        <w:rPr>
          <w:rFonts w:ascii="Arial" w:cs="Arial" w:eastAsia="Arial" w:hAnsi="Arial"/>
          <w:sz w:val="16"/>
          <w:szCs w:val="16"/>
          <w:color w:val="auto"/>
        </w:rPr>
        <w:t>Unless otherwise indicated or the context otherwise requires, references in this prospectus to the exercise of the underwriters’ option to purchase additional shares of Class A common stock gives effect to the use of the net proceeds therefrom.</w:t>
      </w: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140"/>
          </w:cols>
          <w:pgMar w:left="320" w:top="466" w:right="14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4596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66535" cy="459613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auto"/>
        </w:rPr>
        <w:t>SUMMARY HISTORICAL AND PRO FORMA CONSOLIDATED FINANCIAL AND OTHER DATA</w:t>
      </w:r>
    </w:p>
    <w:p>
      <w:pPr>
        <w:spacing w:after="0" w:line="214" w:lineRule="exact"/>
        <w:rPr>
          <w:sz w:val="20"/>
          <w:szCs w:val="20"/>
          <w:color w:val="auto"/>
        </w:rPr>
      </w:pPr>
    </w:p>
    <w:p>
      <w:pPr>
        <w:ind w:left="620" w:right="260" w:firstLine="399"/>
        <w:spacing w:after="0" w:line="272" w:lineRule="auto"/>
        <w:rPr>
          <w:sz w:val="20"/>
          <w:szCs w:val="20"/>
          <w:color w:val="auto"/>
        </w:rPr>
      </w:pPr>
      <w:r>
        <w:rPr>
          <w:rFonts w:ascii="Arial" w:cs="Arial" w:eastAsia="Arial" w:hAnsi="Arial"/>
          <w:sz w:val="17"/>
          <w:szCs w:val="17"/>
          <w:color w:val="auto"/>
        </w:rPr>
        <w:t>The following tables set forth the summary historical consolidated financial and other data for Definitive OpCo and its subsidiaries for the periods and as of the dates presented.</w:t>
      </w:r>
    </w:p>
    <w:p>
      <w:pPr>
        <w:spacing w:after="0" w:line="165" w:lineRule="exact"/>
        <w:rPr>
          <w:sz w:val="20"/>
          <w:szCs w:val="20"/>
          <w:color w:val="auto"/>
        </w:rPr>
      </w:pPr>
    </w:p>
    <w:p>
      <w:pPr>
        <w:ind w:left="620" w:right="20" w:firstLine="399"/>
        <w:spacing w:after="0" w:line="287" w:lineRule="auto"/>
        <w:rPr>
          <w:sz w:val="20"/>
          <w:szCs w:val="20"/>
          <w:color w:val="auto"/>
        </w:rPr>
      </w:pPr>
      <w:r>
        <w:rPr>
          <w:rFonts w:ascii="Arial" w:cs="Arial" w:eastAsia="Arial" w:hAnsi="Arial"/>
          <w:sz w:val="15"/>
          <w:szCs w:val="15"/>
          <w:color w:val="auto"/>
        </w:rPr>
        <w:t>The statements of operations for the years ended December 31, 2020 and 2019 (Successor Company) and for the periods from July 16, 2019 to December 31, 2019 (Successor Company) and January 1, 2019 to July 15, 2019 (Predecessor Company) and balance sheet data as of December 31, 2020 and 2019 (Successor Company) have been derived from AIDH TopCo, LLC’s audited consolidated financial statements and the related notes thereto included elsewhere in this prospectus. On July 16, 2019, AIDH Buyer, LLC , an affiliate of Advent, acquired 100% of the issued and outstanding stock of the Company. AIDH Buyer, LLC, a Delaware limited liability company, is a wholly owned subsidiary of AIDH TopCo, LLC. As a result of these transactions, the Company elected to apply purchase accounting for the change in control in its consolidated stand-alone financial statements, effective July 16, 2019 (the “Change of Control Date”), which resulted in a new basis of accounting and the Company becoming a new entity for financial reporting purposes. References to “Successor” or “Successor Company” relate to the financial position and results of operations of the Company after the Change of Control Date. References to “Predecessor” or “Predecessor Company” refer to the financial position and results of operations of the Company on or before the Change of Control Date. As a result, our results of operations for the year ended December 31, 2020 are not directly comparable to our results of operations for the year ended December 31, 2019.</w:t>
      </w:r>
    </w:p>
    <w:p>
      <w:pPr>
        <w:spacing w:after="0" w:line="163" w:lineRule="exact"/>
        <w:rPr>
          <w:sz w:val="20"/>
          <w:szCs w:val="20"/>
          <w:color w:val="auto"/>
        </w:rPr>
      </w:pPr>
    </w:p>
    <w:p>
      <w:pPr>
        <w:jc w:val="both"/>
        <w:ind w:left="620" w:right="340" w:firstLine="399"/>
        <w:spacing w:after="0" w:line="260" w:lineRule="auto"/>
        <w:rPr>
          <w:sz w:val="20"/>
          <w:szCs w:val="20"/>
          <w:color w:val="auto"/>
        </w:rPr>
      </w:pPr>
      <w:r>
        <w:rPr>
          <w:rFonts w:ascii="Arial" w:cs="Arial" w:eastAsia="Arial" w:hAnsi="Arial"/>
          <w:sz w:val="17"/>
          <w:szCs w:val="17"/>
          <w:color w:val="auto"/>
        </w:rPr>
        <w:t>Definitive Healthcare Corp. is a holding company, and its sole material asset is controlling equity interest in Definitive OpCo. Definitive Healthcare Corp., through Definitive OpCo, operates and conducts our business. Definitive OpCo is considered our predecessor for accounting purposes and its consolidated financial statements will be our historical financial statements.</w:t>
      </w:r>
    </w:p>
    <w:p>
      <w:pPr>
        <w:spacing w:after="0" w:line="175" w:lineRule="exact"/>
        <w:rPr>
          <w:sz w:val="20"/>
          <w:szCs w:val="20"/>
          <w:color w:val="auto"/>
        </w:rPr>
      </w:pPr>
    </w:p>
    <w:p>
      <w:pPr>
        <w:ind w:left="620" w:firstLine="399"/>
        <w:spacing w:after="0" w:line="269" w:lineRule="auto"/>
        <w:rPr>
          <w:sz w:val="20"/>
          <w:szCs w:val="20"/>
          <w:color w:val="auto"/>
        </w:rPr>
      </w:pPr>
      <w:r>
        <w:rPr>
          <w:rFonts w:ascii="Arial" w:cs="Arial" w:eastAsia="Arial" w:hAnsi="Arial"/>
          <w:sz w:val="16"/>
          <w:szCs w:val="16"/>
          <w:color w:val="auto"/>
        </w:rPr>
        <w:t>The summary unaudited pro forma combined and consolidated financial data of Definitive Healthcare Corp. presented below have been derived from our unaudited pro forma combined and consolidated financial statements included elsewhere in this prospectus. The summary unaudited pro forma combined and consolidated statement of operations data for the year ended December 31, 2020 and the nine months ended September 30, 2021 give effect to (i) the Reorganization Transactions and (ii) this offering, each as if they had occurred on January 1, 2020. The summary unaudited combined and consolidated pro forma financial data is presented for illustrative purposes only and is not necessarily indicative of the results of operations or financial position that would have occurred if the relevant transactions had been consummated on the dates indicated, nor is it indicative of future operating results or financial position. See “Unaudited Pro Forma Consolidated Financial Information” and “Prospectus Summary—Organizational Structure.”</w:t>
      </w:r>
    </w:p>
    <w:p>
      <w:pPr>
        <w:spacing w:after="0" w:line="174" w:lineRule="exact"/>
        <w:rPr>
          <w:sz w:val="20"/>
          <w:szCs w:val="20"/>
          <w:color w:val="auto"/>
        </w:rPr>
      </w:pPr>
    </w:p>
    <w:p>
      <w:pPr>
        <w:ind w:left="620" w:right="120" w:firstLine="399"/>
        <w:spacing w:after="0" w:line="256" w:lineRule="auto"/>
        <w:rPr>
          <w:sz w:val="20"/>
          <w:szCs w:val="20"/>
          <w:color w:val="auto"/>
        </w:rPr>
      </w:pPr>
      <w:r>
        <w:rPr>
          <w:rFonts w:ascii="Arial" w:cs="Arial" w:eastAsia="Arial" w:hAnsi="Arial"/>
          <w:sz w:val="17"/>
          <w:szCs w:val="17"/>
          <w:color w:val="auto"/>
        </w:rPr>
        <w:t>Our historical results are not necessarily indicative of future operating results. You should read the information set forth below together with “Prospectus Summary—Organizational Structure,” “Unaudited Pro Forma Combined and Consolidated Financial Information,” “Management’s Discussion and Analysis of Financial Condition and Results of Operations,” “Capitalization” and our consolidated financial statements and the related notes thereto included elsewhere in this prospectus.</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20"/>
          </w:cols>
          <w:pgMar w:left="320" w:top="465" w:right="9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4733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66535" cy="47332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Results of Operations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6"/>
              </w:rPr>
              <w:t>Definitive OpCo,</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80" w:type="dxa"/>
            <w:vAlign w:val="bottom"/>
            <w:tcBorders>
              <w:right w:val="single" w:sz="8" w:color="auto"/>
            </w:tcBorders>
            <w:gridSpan w:val="14"/>
            <w:vMerge w:val="restart"/>
          </w:tcPr>
          <w:p>
            <w:pPr>
              <w:jc w:val="center"/>
              <w:ind w:right="400"/>
              <w:spacing w:after="0"/>
              <w:rPr>
                <w:sz w:val="20"/>
                <w:szCs w:val="20"/>
                <w:color w:val="auto"/>
              </w:rPr>
            </w:pPr>
            <w:r>
              <w:rPr>
                <w:rFonts w:ascii="Arial" w:cs="Arial" w:eastAsia="Arial" w:hAnsi="Arial"/>
                <w:sz w:val="13"/>
                <w:szCs w:val="13"/>
                <w:b w:val="1"/>
                <w:bCs w:val="1"/>
                <w:color w:val="auto"/>
                <w:w w:val="99"/>
              </w:rPr>
              <w:t>Definitive OpCo (AIDH TopCo, LLC)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rPr>
              <w:t>LLC)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80" w:type="dxa"/>
            <w:vAlign w:val="bottom"/>
            <w:tcBorders>
              <w:right w:val="single" w:sz="8" w:color="auto"/>
            </w:tcBorders>
            <w:gridSpan w:val="14"/>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9"/>
              </w:rPr>
              <w:t>Predecessor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6"/>
              </w:rPr>
              <w:t>Definitive Healthcare Corp.</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3"/>
                <w:szCs w:val="13"/>
                <w:b w:val="1"/>
                <w:bCs w:val="1"/>
                <w:color w:val="auto"/>
                <w:w w:val="90"/>
              </w:rPr>
              <w:t>Successor Company</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4"/>
              </w:rPr>
              <w:t>Company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0"/>
              </w:rPr>
              <w:t>Fiscal Year</w:t>
            </w:r>
          </w:p>
        </w:tc>
        <w:tc>
          <w:tcPr>
            <w:tcW w:w="100" w:type="dxa"/>
            <w:vAlign w:val="bottom"/>
          </w:tcPr>
          <w:p>
            <w:pPr>
              <w:spacing w:after="0"/>
              <w:rPr>
                <w:sz w:val="12"/>
                <w:szCs w:val="12"/>
                <w:color w:val="auto"/>
              </w:rPr>
            </w:pPr>
          </w:p>
        </w:tc>
        <w:tc>
          <w:tcPr>
            <w:tcW w:w="1120" w:type="dxa"/>
            <w:vAlign w:val="bottom"/>
            <w:tcBorders>
              <w:right w:val="single" w:sz="8" w:color="auto"/>
            </w:tcBorders>
            <w:gridSpan w:val="3"/>
            <w:vMerge w:val="restart"/>
          </w:tcPr>
          <w:p>
            <w:pPr>
              <w:jc w:val="center"/>
              <w:ind w:right="340"/>
              <w:spacing w:after="0"/>
              <w:rPr>
                <w:sz w:val="20"/>
                <w:szCs w:val="20"/>
                <w:color w:val="auto"/>
              </w:rPr>
            </w:pPr>
            <w:r>
              <w:rPr>
                <w:rFonts w:ascii="Arial" w:cs="Arial" w:eastAsia="Arial" w:hAnsi="Arial"/>
                <w:sz w:val="13"/>
                <w:szCs w:val="13"/>
                <w:b w:val="1"/>
                <w:bCs w:val="1"/>
                <w:color w:val="auto"/>
                <w:w w:val="95"/>
              </w:rPr>
              <w:t>Period from</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center"/>
              <w:ind w:left="473"/>
              <w:spacing w:after="0" w:line="145" w:lineRule="exact"/>
              <w:rPr>
                <w:sz w:val="20"/>
                <w:szCs w:val="20"/>
                <w:color w:val="auto"/>
              </w:rPr>
            </w:pPr>
            <w:r>
              <w:rPr>
                <w:rFonts w:ascii="Arial" w:cs="Arial" w:eastAsia="Arial" w:hAnsi="Arial"/>
                <w:sz w:val="13"/>
                <w:szCs w:val="13"/>
                <w:b w:val="1"/>
                <w:bCs w:val="1"/>
                <w:color w:val="auto"/>
                <w:w w:val="98"/>
              </w:rPr>
              <w:t>Pro Forma</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540" w:type="dxa"/>
            <w:vAlign w:val="bottom"/>
            <w:gridSpan w:val="6"/>
            <w:vMerge w:val="restart"/>
          </w:tcPr>
          <w:p>
            <w:pPr>
              <w:jc w:val="right"/>
              <w:ind w:right="500"/>
              <w:spacing w:after="0"/>
              <w:rPr>
                <w:sz w:val="20"/>
                <w:szCs w:val="20"/>
                <w:color w:val="auto"/>
              </w:rPr>
            </w:pPr>
            <w:r>
              <w:rPr>
                <w:rFonts w:ascii="Arial" w:cs="Arial" w:eastAsia="Arial" w:hAnsi="Arial"/>
                <w:sz w:val="13"/>
                <w:szCs w:val="13"/>
                <w:b w:val="1"/>
                <w:bCs w:val="1"/>
                <w:color w:val="auto"/>
              </w:rPr>
              <w:t>Nine Months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right w:val="single" w:sz="8" w:color="auto"/>
            </w:tcBorders>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9"/>
                <w:szCs w:val="9"/>
                <w:color w:val="auto"/>
              </w:rPr>
            </w:pPr>
          </w:p>
        </w:tc>
        <w:tc>
          <w:tcPr>
            <w:tcW w:w="820" w:type="dxa"/>
            <w:vAlign w:val="bottom"/>
            <w:gridSpan w:val="2"/>
          </w:tcPr>
          <w:p>
            <w:pPr>
              <w:jc w:val="center"/>
              <w:spacing w:after="0" w:line="112" w:lineRule="exact"/>
              <w:rPr>
                <w:sz w:val="20"/>
                <w:szCs w:val="20"/>
                <w:color w:val="auto"/>
              </w:rPr>
            </w:pPr>
            <w:r>
              <w:rPr>
                <w:rFonts w:ascii="Arial" w:cs="Arial" w:eastAsia="Arial" w:hAnsi="Arial"/>
                <w:sz w:val="12"/>
                <w:szCs w:val="12"/>
                <w:b w:val="1"/>
                <w:bCs w:val="1"/>
                <w:color w:val="auto"/>
              </w:rPr>
              <w:t>Nine Months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5"/>
              </w:rPr>
              <w:t>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4"/>
              </w:rPr>
              <w:t>July 16,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4"/>
              </w:rPr>
              <w:t>January 1, to</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8"/>
              </w:rPr>
              <w:t>ended</w:t>
            </w:r>
          </w:p>
        </w:tc>
        <w:tc>
          <w:tcPr>
            <w:tcW w:w="0" w:type="dxa"/>
            <w:vAlign w:val="bottom"/>
          </w:tcPr>
          <w:p>
            <w:pPr>
              <w:spacing w:after="0"/>
              <w:rPr>
                <w:sz w:val="1"/>
                <w:szCs w:val="1"/>
                <w:color w:val="auto"/>
              </w:rPr>
            </w:pPr>
          </w:p>
        </w:tc>
      </w:tr>
      <w:tr>
        <w:trPr>
          <w:trHeight w:val="160"/>
        </w:trPr>
        <w:tc>
          <w:tcPr>
            <w:tcW w:w="276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w w:val="95"/>
              </w:rPr>
              <w:t>Ended September 30,</w:t>
            </w:r>
          </w:p>
        </w:tc>
        <w:tc>
          <w:tcPr>
            <w:tcW w:w="10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3"/>
                <w:szCs w:val="13"/>
                <w:color w:val="auto"/>
              </w:rPr>
            </w:pPr>
          </w:p>
        </w:tc>
        <w:tc>
          <w:tcPr>
            <w:tcW w:w="112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July 15,</w:t>
            </w:r>
          </w:p>
        </w:tc>
        <w:tc>
          <w:tcPr>
            <w:tcW w:w="1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19"/>
        </w:trPr>
        <w:tc>
          <w:tcPr>
            <w:tcW w:w="27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93"/>
              <w:spacing w:after="0" w:line="107" w:lineRule="exact"/>
              <w:rPr>
                <w:sz w:val="20"/>
                <w:szCs w:val="20"/>
                <w:color w:val="auto"/>
              </w:rPr>
            </w:pPr>
            <w:r>
              <w:rPr>
                <w:rFonts w:ascii="Arial" w:cs="Arial" w:eastAsia="Arial" w:hAnsi="Arial"/>
                <w:sz w:val="12"/>
                <w:szCs w:val="12"/>
                <w:b w:val="1"/>
                <w:bCs w:val="1"/>
                <w:color w:val="auto"/>
              </w:rPr>
              <w:t>2021</w:t>
            </w:r>
            <w:r>
              <w:rPr>
                <w:rFonts w:ascii="Arial" w:cs="Arial" w:eastAsia="Arial" w:hAnsi="Arial"/>
                <w:sz w:val="8"/>
                <w:szCs w:val="8"/>
                <w:b w:val="1"/>
                <w:bCs w:val="1"/>
                <w:color w:val="auto"/>
              </w:rPr>
              <w:t>(1)</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73"/>
              <w:spacing w:after="0" w:line="107"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13"/>
              <w:spacing w:after="0" w:line="107" w:lineRule="exact"/>
              <w:rPr>
                <w:sz w:val="20"/>
                <w:szCs w:val="20"/>
                <w:color w:val="auto"/>
              </w:rPr>
            </w:pPr>
            <w:r>
              <w:rPr>
                <w:rFonts w:ascii="Arial" w:cs="Arial" w:eastAsia="Arial" w:hAnsi="Arial"/>
                <w:sz w:val="12"/>
                <w:szCs w:val="12"/>
                <w:b w:val="1"/>
                <w:bCs w:val="1"/>
                <w:color w:val="auto"/>
                <w:w w:val="97"/>
              </w:rPr>
              <w:t>2020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3"/>
              <w:spacing w:after="0" w:line="107" w:lineRule="exact"/>
              <w:rPr>
                <w:sz w:val="20"/>
                <w:szCs w:val="20"/>
                <w:color w:val="auto"/>
              </w:rPr>
            </w:pPr>
            <w:r>
              <w:rPr>
                <w:rFonts w:ascii="Arial" w:cs="Arial" w:eastAsia="Arial" w:hAnsi="Arial"/>
                <w:sz w:val="12"/>
                <w:szCs w:val="12"/>
                <w:b w:val="1"/>
                <w:bCs w:val="1"/>
                <w:color w:val="auto"/>
              </w:rPr>
              <w:t>2019</w:t>
            </w:r>
          </w:p>
        </w:tc>
        <w:tc>
          <w:tcPr>
            <w:tcW w:w="3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3"/>
              <w:spacing w:after="0" w:line="107" w:lineRule="exact"/>
              <w:rPr>
                <w:sz w:val="20"/>
                <w:szCs w:val="20"/>
                <w:color w:val="auto"/>
              </w:rPr>
            </w:pPr>
            <w:r>
              <w:rPr>
                <w:rFonts w:ascii="Arial" w:cs="Arial" w:eastAsia="Arial" w:hAnsi="Arial"/>
                <w:sz w:val="12"/>
                <w:szCs w:val="12"/>
                <w:b w:val="1"/>
                <w:bCs w:val="1"/>
                <w:color w:val="auto"/>
                <w:w w:val="97"/>
              </w:rPr>
              <w:t>2019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93"/>
              <w:spacing w:after="0" w:line="107"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53"/>
              <w:spacing w:after="0" w:line="107"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119,841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84,659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jc w:val="center"/>
              <w:spacing w:after="0" w:line="118"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118,317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40,045</w:t>
            </w:r>
          </w:p>
        </w:tc>
        <w:tc>
          <w:tcPr>
            <w:tcW w:w="32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45,458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118,317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119,841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tcPr>
          <w:p>
            <w:pPr>
              <w:spacing w:after="0" w:line="139" w:lineRule="exact"/>
              <w:rPr>
                <w:sz w:val="20"/>
                <w:szCs w:val="20"/>
                <w:color w:val="auto"/>
              </w:rPr>
            </w:pPr>
            <w:r>
              <w:rPr>
                <w:rFonts w:ascii="Arial" w:cs="Arial" w:eastAsia="Arial" w:hAnsi="Arial"/>
                <w:sz w:val="13"/>
                <w:szCs w:val="13"/>
                <w:color w:val="auto"/>
              </w:rPr>
              <w:t>Cost of revenue: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Cost of revenue exclusive of amortization</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shown below</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4,668</w:t>
            </w:r>
          </w:p>
        </w:tc>
        <w:tc>
          <w:tcPr>
            <w:tcW w:w="32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Amortization</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15,896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14,278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8,614</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15,896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240"/>
              <w:spacing w:after="0" w:line="139" w:lineRule="exact"/>
              <w:rPr>
                <w:sz w:val="20"/>
                <w:szCs w:val="20"/>
                <w:color w:val="auto"/>
              </w:rPr>
            </w:pPr>
            <w:r>
              <w:rPr>
                <w:rFonts w:ascii="Arial" w:cs="Arial" w:eastAsia="Arial" w:hAnsi="Arial"/>
                <w:sz w:val="13"/>
                <w:szCs w:val="13"/>
                <w:b w:val="1"/>
                <w:bCs w:val="1"/>
                <w:color w:val="auto"/>
              </w:rPr>
              <w:t>Total cost of revenue</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29,791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22,154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30,468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13,282</w:t>
            </w: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5,328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30,468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29,791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380"/>
              <w:spacing w:after="0" w:line="145" w:lineRule="exact"/>
              <w:rPr>
                <w:sz w:val="20"/>
                <w:szCs w:val="20"/>
                <w:color w:val="auto"/>
              </w:rPr>
            </w:pPr>
            <w:r>
              <w:rPr>
                <w:rFonts w:ascii="Arial" w:cs="Arial" w:eastAsia="Arial" w:hAnsi="Arial"/>
                <w:sz w:val="13"/>
                <w:szCs w:val="13"/>
                <w:b w:val="1"/>
                <w:bCs w:val="1"/>
                <w:color w:val="auto"/>
              </w:rPr>
              <w:t>Gross profit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auto"/>
              </w:rPr>
              <w:t>90,050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3"/>
                <w:szCs w:val="13"/>
                <w:color w:val="auto"/>
              </w:rPr>
              <w:t>62,505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87,849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26,763</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40,130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87,849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auto"/>
              </w:rPr>
              <w:t>90,050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Operating expenses:</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Sales and marketing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39,003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39" w:lineRule="exact"/>
              <w:rPr>
                <w:sz w:val="20"/>
                <w:szCs w:val="20"/>
                <w:color w:val="auto"/>
              </w:rPr>
            </w:pPr>
            <w:r>
              <w:rPr>
                <w:rFonts w:ascii="Arial" w:cs="Arial" w:eastAsia="Arial" w:hAnsi="Arial"/>
                <w:sz w:val="13"/>
                <w:szCs w:val="13"/>
                <w:color w:val="auto"/>
              </w:rPr>
              <w:t>23,542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34,332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10,814</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16,039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34,332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39,003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rPr>
              <w:t>Product development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12,817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7,566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11,062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3,484</w:t>
            </w: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3,961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11,062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12,817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18,891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39" w:lineRule="exact"/>
              <w:rPr>
                <w:sz w:val="20"/>
                <w:szCs w:val="20"/>
                <w:color w:val="auto"/>
              </w:rPr>
            </w:pPr>
            <w:r>
              <w:rPr>
                <w:rFonts w:ascii="Arial" w:cs="Arial" w:eastAsia="Arial" w:hAnsi="Arial"/>
                <w:sz w:val="13"/>
                <w:szCs w:val="13"/>
                <w:color w:val="auto"/>
              </w:rPr>
              <w:t>8,105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12,927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6,365</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3,979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12,927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18,891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28,814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30,037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40,197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22,459</w:t>
            </w: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1,967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40,197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28,814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Transaction expenses</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748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3,776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14,703</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17,124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12,791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240"/>
              <w:spacing w:after="0" w:line="139" w:lineRule="exact"/>
              <w:rPr>
                <w:sz w:val="20"/>
                <w:szCs w:val="20"/>
                <w:color w:val="auto"/>
              </w:rPr>
            </w:pPr>
            <w:r>
              <w:rPr>
                <w:rFonts w:ascii="Arial" w:cs="Arial" w:eastAsia="Arial" w:hAnsi="Arial"/>
                <w:sz w:val="13"/>
                <w:szCs w:val="13"/>
                <w:b w:val="1"/>
                <w:bCs w:val="1"/>
                <w:color w:val="auto"/>
              </w:rPr>
              <w:t>Total operating expenses</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102,857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69,998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102,294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57,825</w:t>
            </w: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27,097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115,642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112,316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240"/>
              <w:spacing w:after="0" w:line="145" w:lineRule="exact"/>
              <w:rPr>
                <w:sz w:val="20"/>
                <w:szCs w:val="20"/>
                <w:color w:val="auto"/>
              </w:rPr>
            </w:pPr>
            <w:r>
              <w:rPr>
                <w:rFonts w:ascii="Arial" w:cs="Arial" w:eastAsia="Arial" w:hAnsi="Arial"/>
                <w:sz w:val="13"/>
                <w:szCs w:val="13"/>
                <w:color w:val="auto"/>
              </w:rPr>
              <w:t>(Loss) income from operations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auto"/>
              </w:rPr>
              <w:t>(12,807)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3"/>
                <w:szCs w:val="13"/>
                <w:color w:val="auto"/>
              </w:rPr>
              <w:t>(7,493)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(14,445)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(31,062)</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13,033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(27,793)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auto"/>
              </w:rPr>
              <w:t>(22,266)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Other expense, net: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Foreign currency transaction gain (loss)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143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(222)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auto"/>
              </w:rPr>
              <w:t>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rPr>
              <w:t>Interest expense, net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(23,956)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w w:val="94"/>
              </w:rPr>
              <w:t>(27,802)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(36,490)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(18,204)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(7,393)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(5,454)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40" w:type="dxa"/>
            <w:vAlign w:val="bottom"/>
            <w:gridSpan w:val="2"/>
          </w:tcPr>
          <w:p>
            <w:pPr>
              <w:ind w:left="100"/>
              <w:spacing w:after="0"/>
              <w:rPr>
                <w:sz w:val="20"/>
                <w:szCs w:val="20"/>
                <w:color w:val="auto"/>
              </w:rPr>
            </w:pPr>
            <w:r>
              <w:rPr>
                <w:rFonts w:ascii="Arial" w:cs="Arial" w:eastAsia="Arial" w:hAnsi="Arial"/>
                <w:sz w:val="13"/>
                <w:szCs w:val="13"/>
                <w:color w:val="auto"/>
              </w:rPr>
              <w:t>Loss on extinguishment of debt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(9,873)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(9,873)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ind w:left="240"/>
              <w:spacing w:after="0" w:line="139" w:lineRule="exact"/>
              <w:rPr>
                <w:sz w:val="20"/>
                <w:szCs w:val="20"/>
                <w:color w:val="auto"/>
              </w:rPr>
            </w:pPr>
            <w:r>
              <w:rPr>
                <w:rFonts w:ascii="Arial" w:cs="Arial" w:eastAsia="Arial" w:hAnsi="Arial"/>
                <w:sz w:val="13"/>
                <w:szCs w:val="13"/>
                <w:b w:val="1"/>
                <w:bCs w:val="1"/>
                <w:color w:val="auto"/>
              </w:rPr>
              <w:t>Total other expense, net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(33,686)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w w:val="94"/>
              </w:rPr>
              <w:t>(27,802)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(36,712)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80"/>
              <w:spacing w:after="0" w:line="139" w:lineRule="exact"/>
              <w:rPr>
                <w:sz w:val="20"/>
                <w:szCs w:val="20"/>
                <w:color w:val="auto"/>
              </w:rPr>
            </w:pPr>
            <w:r>
              <w:rPr>
                <w:rFonts w:ascii="Arial" w:cs="Arial" w:eastAsia="Arial" w:hAnsi="Arial"/>
                <w:sz w:val="13"/>
                <w:szCs w:val="13"/>
                <w:color w:val="auto"/>
              </w:rPr>
              <w:t>(18,204)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(17,488)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(5,311)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240"/>
              <w:spacing w:after="0" w:line="145" w:lineRule="exact"/>
              <w:rPr>
                <w:sz w:val="20"/>
                <w:szCs w:val="20"/>
                <w:color w:val="auto"/>
              </w:rPr>
            </w:pPr>
            <w:r>
              <w:rPr>
                <w:rFonts w:ascii="Arial" w:cs="Arial" w:eastAsia="Arial" w:hAnsi="Arial"/>
                <w:sz w:val="13"/>
                <w:szCs w:val="13"/>
                <w:b w:val="1"/>
                <w:bCs w:val="1"/>
                <w:color w:val="auto"/>
              </w:rPr>
              <w:t>(Loss) income before income taxes</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(46,493)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86"/>
              </w:rPr>
              <w:t>(35,295)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(51,157)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(49,266)</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12,868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(45,281)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(27,577)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Income tax expense</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380"/>
              <w:spacing w:after="0" w:line="145" w:lineRule="exact"/>
              <w:rPr>
                <w:sz w:val="20"/>
                <w:szCs w:val="20"/>
                <w:color w:val="auto"/>
              </w:rPr>
            </w:pPr>
            <w:r>
              <w:rPr>
                <w:rFonts w:ascii="Arial" w:cs="Arial" w:eastAsia="Arial" w:hAnsi="Arial"/>
                <w:sz w:val="13"/>
                <w:szCs w:val="13"/>
                <w:b w:val="1"/>
                <w:bCs w:val="1"/>
                <w:color w:val="auto"/>
              </w:rPr>
              <w:t>Net (loss) income</w:t>
            </w:r>
          </w:p>
        </w:tc>
        <w:tc>
          <w:tcPr>
            <w:tcW w:w="1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(46,493)</w:t>
            </w:r>
          </w:p>
        </w:tc>
        <w:tc>
          <w:tcPr>
            <w:tcW w:w="2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w w:val="94"/>
              </w:rPr>
              <w:t>(35,295)</w:t>
            </w:r>
          </w:p>
        </w:tc>
        <w:tc>
          <w:tcPr>
            <w:tcW w:w="180" w:type="dxa"/>
            <w:vAlign w:val="bottom"/>
            <w:gridSpan w:val="2"/>
          </w:tcPr>
          <w:p>
            <w:pPr>
              <w:jc w:val="center"/>
              <w:ind w:left="13"/>
              <w:spacing w:after="0" w:line="145"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(51,157)</w:t>
            </w:r>
          </w:p>
        </w:tc>
        <w:tc>
          <w:tcPr>
            <w:tcW w:w="1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gridSpan w:val="2"/>
          </w:tcPr>
          <w:p>
            <w:pPr>
              <w:jc w:val="right"/>
              <w:ind w:right="280"/>
              <w:spacing w:after="0" w:line="145" w:lineRule="exact"/>
              <w:rPr>
                <w:sz w:val="20"/>
                <w:szCs w:val="20"/>
                <w:color w:val="auto"/>
              </w:rPr>
            </w:pPr>
            <w:r>
              <w:rPr>
                <w:rFonts w:ascii="Arial" w:cs="Arial" w:eastAsia="Arial" w:hAnsi="Arial"/>
                <w:sz w:val="13"/>
                <w:szCs w:val="13"/>
                <w:color w:val="auto"/>
              </w:rPr>
              <w:t>(49,266)</w:t>
            </w:r>
          </w:p>
        </w:tc>
        <w:tc>
          <w:tcPr>
            <w:tcW w:w="2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3"/>
                <w:szCs w:val="13"/>
                <w:color w:val="auto"/>
              </w:rPr>
              <w:t>12,868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(45,281)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5"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(27,577)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shd w:val="clear" w:color="auto" w:fill="CCEEFF"/>
          </w:tcPr>
          <w:p>
            <w:pPr>
              <w:spacing w:after="0" w:line="130" w:lineRule="exact"/>
              <w:rPr>
                <w:sz w:val="20"/>
                <w:szCs w:val="20"/>
                <w:color w:val="auto"/>
              </w:rPr>
            </w:pPr>
            <w:r>
              <w:rPr>
                <w:rFonts w:ascii="Arial" w:cs="Arial" w:eastAsia="Arial" w:hAnsi="Arial"/>
                <w:sz w:val="13"/>
                <w:szCs w:val="13"/>
                <w:color w:val="auto"/>
              </w:rPr>
              <w:t>Net loss attributable to noncontrolling interests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(5,172)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tcBorders>
              <w:right w:val="single" w:sz="8" w:color="auto"/>
            </w:tcBorders>
            <w:gridSpan w:val="2"/>
            <w:shd w:val="clear" w:color="auto" w:fill="CCEEFF"/>
          </w:tcPr>
          <w:p>
            <w:pPr>
              <w:jc w:val="right"/>
              <w:ind w:right="400"/>
              <w:spacing w:after="0" w:line="13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(16,471)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3"/>
                <w:szCs w:val="13"/>
                <w:color w:val="auto"/>
              </w:rPr>
              <w:t>(10,032)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ind w:left="240"/>
              <w:spacing w:after="0" w:line="126" w:lineRule="exact"/>
              <w:rPr>
                <w:sz w:val="20"/>
                <w:szCs w:val="20"/>
                <w:color w:val="auto"/>
              </w:rPr>
            </w:pPr>
            <w:r>
              <w:rPr>
                <w:rFonts w:ascii="Arial" w:cs="Arial" w:eastAsia="Arial" w:hAnsi="Arial"/>
                <w:sz w:val="13"/>
                <w:szCs w:val="13"/>
                <w:color w:val="auto"/>
                <w:w w:val="98"/>
              </w:rPr>
              <w:t>Net loss attributable to Definitive Healthcare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gridSpan w:val="2"/>
          </w:tcPr>
          <w:p>
            <w:pPr>
              <w:ind w:left="380"/>
              <w:spacing w:after="0"/>
              <w:rPr>
                <w:sz w:val="20"/>
                <w:szCs w:val="20"/>
                <w:color w:val="auto"/>
              </w:rPr>
            </w:pPr>
            <w:r>
              <w:rPr>
                <w:rFonts w:ascii="Arial" w:cs="Arial" w:eastAsia="Arial" w:hAnsi="Arial"/>
                <w:sz w:val="13"/>
                <w:szCs w:val="13"/>
                <w:color w:val="auto"/>
              </w:rPr>
              <w:t>Corp.</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(7,978)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(28,810)</w:t>
            </w:r>
          </w:p>
        </w:tc>
        <w:tc>
          <w:tcPr>
            <w:tcW w:w="140" w:type="dxa"/>
            <w:vAlign w:val="bottom"/>
          </w:tcPr>
          <w:p>
            <w:pPr>
              <w:spacing w:after="0"/>
              <w:rPr>
                <w:sz w:val="13"/>
                <w:szCs w:val="13"/>
                <w:color w:val="auto"/>
              </w:rPr>
            </w:pPr>
          </w:p>
        </w:tc>
        <w:tc>
          <w:tcPr>
            <w:tcW w:w="3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(17,545)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274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Basic and diluted net loss per share</w:t>
            </w:r>
            <w:r>
              <w:rPr>
                <w:rFonts w:ascii="Arial" w:cs="Arial" w:eastAsia="Arial" w:hAnsi="Arial"/>
                <w:sz w:val="9"/>
                <w:szCs w:val="9"/>
                <w:color w:val="auto"/>
              </w:rPr>
              <w:t>(2)</w:t>
            </w:r>
          </w:p>
        </w:tc>
        <w:tc>
          <w:tcPr>
            <w:tcW w:w="14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(0.09)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(0.30)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(0.18)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gridSpan w:val="2"/>
          </w:tcPr>
          <w:p>
            <w:pPr>
              <w:spacing w:after="0" w:line="121" w:lineRule="exact"/>
              <w:rPr>
                <w:sz w:val="20"/>
                <w:szCs w:val="20"/>
                <w:color w:val="auto"/>
              </w:rPr>
            </w:pPr>
            <w:r>
              <w:rPr>
                <w:rFonts w:ascii="Arial" w:cs="Arial" w:eastAsia="Arial" w:hAnsi="Arial"/>
                <w:sz w:val="13"/>
                <w:szCs w:val="13"/>
                <w:color w:val="auto"/>
              </w:rPr>
              <w:t>Shares used in basic and diluted per share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gridSpan w:val="2"/>
          </w:tcPr>
          <w:p>
            <w:pPr>
              <w:ind w:left="100"/>
              <w:spacing w:after="0"/>
              <w:rPr>
                <w:sz w:val="20"/>
                <w:szCs w:val="20"/>
                <w:color w:val="auto"/>
              </w:rPr>
            </w:pPr>
            <w:r>
              <w:rPr>
                <w:rFonts w:ascii="Arial" w:cs="Arial" w:eastAsia="Arial" w:hAnsi="Arial"/>
                <w:sz w:val="13"/>
                <w:szCs w:val="13"/>
                <w:color w:val="auto"/>
              </w:rPr>
              <w:t>calculation</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88,263,333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97,030,095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97,030,095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020" w:right="80" w:hanging="392"/>
        <w:spacing w:after="0" w:line="233" w:lineRule="auto"/>
        <w:tabs>
          <w:tab w:leader="none" w:pos="10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Amounts for the period from January 1, 2020 through September 15, 2021 herein represent the historical operations of Definitive OpCo. The amounts as of September 30, 2021 and for the period from September 16, 2021 reflect the consolidated operations of Definitive Healthcare Corp. and its consolidated subsidiaries.</w:t>
      </w:r>
    </w:p>
    <w:p>
      <w:pPr>
        <w:ind w:left="1020" w:right="440" w:hanging="392"/>
        <w:spacing w:after="0"/>
        <w:tabs>
          <w:tab w:leader="none" w:pos="10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Basic and diluted net loss per share of Class A common stock is applicable only for the period from September 15, 2021 through September 30, 2021, which is the period following the IPO and related Reorganization Transactions.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20"/>
          </w:cols>
          <w:pgMar w:left="320" w:top="466" w:right="9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6461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66535" cy="646176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5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w w:val="95"/>
              </w:rPr>
              <w:t>Definitive Healthcare Corp.</w:t>
            </w:r>
          </w:p>
        </w:tc>
        <w:tc>
          <w:tcPr>
            <w:tcW w:w="0" w:type="dxa"/>
            <w:vAlign w:val="bottom"/>
          </w:tcPr>
          <w:p>
            <w:pPr>
              <w:spacing w:after="0"/>
              <w:rPr>
                <w:sz w:val="1"/>
                <w:szCs w:val="1"/>
                <w:color w:val="auto"/>
              </w:rPr>
            </w:pPr>
          </w:p>
        </w:tc>
      </w:tr>
      <w:tr>
        <w:trPr>
          <w:trHeight w:val="132"/>
        </w:trPr>
        <w:tc>
          <w:tcPr>
            <w:tcW w:w="57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80" w:type="dxa"/>
            <w:vAlign w:val="bottom"/>
            <w:tcBorders>
              <w:top w:val="single" w:sz="8" w:color="auto"/>
              <w:bottom w:val="single" w:sz="8" w:color="auto"/>
            </w:tcBorders>
            <w:gridSpan w:val="4"/>
          </w:tcPr>
          <w:p>
            <w:pPr>
              <w:jc w:val="right"/>
              <w:ind w:right="67"/>
              <w:spacing w:after="0" w:line="132" w:lineRule="exact"/>
              <w:rPr>
                <w:sz w:val="20"/>
                <w:szCs w:val="20"/>
                <w:color w:val="auto"/>
              </w:rPr>
            </w:pPr>
            <w:r>
              <w:rPr>
                <w:rFonts w:ascii="Arial" w:cs="Arial" w:eastAsia="Arial" w:hAnsi="Arial"/>
                <w:sz w:val="13"/>
                <w:szCs w:val="13"/>
                <w:b w:val="1"/>
                <w:bCs w:val="1"/>
                <w:color w:val="auto"/>
                <w:w w:val="96"/>
              </w:rPr>
              <w:t>As of September 30, 2021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5740" w:type="dxa"/>
            <w:vAlign w:val="bottom"/>
            <w:vMerge w:val="restart"/>
          </w:tcPr>
          <w:p>
            <w:pPr>
              <w:spacing w:after="0"/>
              <w:rPr>
                <w:sz w:val="20"/>
                <w:szCs w:val="20"/>
                <w:color w:val="auto"/>
              </w:rPr>
            </w:pPr>
            <w:r>
              <w:rPr>
                <w:rFonts w:ascii="Arial" w:cs="Arial" w:eastAsia="Arial" w:hAnsi="Arial"/>
                <w:sz w:val="13"/>
                <w:szCs w:val="13"/>
                <w:color w:val="auto"/>
              </w:rPr>
              <w:t>(in thousands)</w:t>
            </w:r>
          </w:p>
        </w:tc>
        <w:tc>
          <w:tcPr>
            <w:tcW w:w="2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ind w:right="107"/>
              <w:spacing w:after="0"/>
              <w:rPr>
                <w:sz w:val="20"/>
                <w:szCs w:val="20"/>
                <w:color w:val="auto"/>
              </w:rPr>
            </w:pPr>
            <w:r>
              <w:rPr>
                <w:rFonts w:ascii="Arial" w:cs="Arial" w:eastAsia="Arial" w:hAnsi="Arial"/>
                <w:sz w:val="13"/>
                <w:szCs w:val="13"/>
                <w:b w:val="1"/>
                <w:bCs w:val="1"/>
                <w:color w:val="auto"/>
              </w:rPr>
              <w:t>Actual</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ind w:right="247"/>
              <w:spacing w:after="0" w:line="112" w:lineRule="exact"/>
              <w:rPr>
                <w:sz w:val="20"/>
                <w:szCs w:val="20"/>
                <w:color w:val="auto"/>
              </w:rPr>
            </w:pPr>
            <w:r>
              <w:rPr>
                <w:rFonts w:ascii="Arial" w:cs="Arial" w:eastAsia="Arial" w:hAnsi="Arial"/>
                <w:sz w:val="12"/>
                <w:szCs w:val="12"/>
                <w:b w:val="1"/>
                <w:bCs w:val="1"/>
                <w:color w:val="auto"/>
              </w:rPr>
              <w:t>As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74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Adjusted</w:t>
            </w:r>
            <w:r>
              <w:rPr>
                <w:rFonts w:ascii="Arial" w:cs="Arial" w:eastAsia="Arial" w:hAnsi="Arial"/>
                <w:sz w:val="9"/>
                <w:szCs w:val="9"/>
                <w:b w:val="1"/>
                <w:bCs w:val="1"/>
                <w:color w:val="auto"/>
                <w:w w:val="89"/>
              </w:rPr>
              <w:t>(1)</w:t>
            </w:r>
          </w:p>
        </w:tc>
        <w:tc>
          <w:tcPr>
            <w:tcW w:w="0" w:type="dxa"/>
            <w:vAlign w:val="bottom"/>
          </w:tcPr>
          <w:p>
            <w:pPr>
              <w:spacing w:after="0"/>
              <w:rPr>
                <w:sz w:val="1"/>
                <w:szCs w:val="1"/>
                <w:color w:val="auto"/>
              </w:rPr>
            </w:pPr>
          </w:p>
        </w:tc>
      </w:tr>
      <w:tr>
        <w:trPr>
          <w:trHeight w:val="183"/>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 (at end of period)</w:t>
            </w:r>
          </w:p>
        </w:tc>
        <w:tc>
          <w:tcPr>
            <w:tcW w:w="2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2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189,752</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472,053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1,869,799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2,152,100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Term loan, net of current portion</w:t>
            </w: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265,388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265,388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218,290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231,861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40" w:type="dxa"/>
            <w:vAlign w:val="bottom"/>
          </w:tcPr>
          <w:p>
            <w:pPr>
              <w:spacing w:after="0"/>
              <w:rPr>
                <w:sz w:val="20"/>
                <w:szCs w:val="20"/>
                <w:color w:val="auto"/>
              </w:rPr>
            </w:pPr>
            <w:r>
              <w:rPr>
                <w:rFonts w:ascii="Arial" w:cs="Arial" w:eastAsia="Arial" w:hAnsi="Arial"/>
                <w:sz w:val="15"/>
                <w:szCs w:val="15"/>
                <w:color w:val="auto"/>
              </w:rPr>
              <w:t>Total liabilities and members’ capital</w:t>
            </w:r>
          </w:p>
        </w:tc>
        <w:tc>
          <w:tcPr>
            <w:tcW w:w="2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1,869,799</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2,152,100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020" w:hanging="392"/>
        <w:spacing w:after="0"/>
        <w:tabs>
          <w:tab w:leader="none" w:pos="10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the cash and cash equivalents after giving effect to the use of proceeds as described in “Use of Proceeds.”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w w:val="96"/>
              </w:rPr>
              <w:t>Definitive OpCo</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4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6"/>
          </w:tcPr>
          <w:p>
            <w:pPr>
              <w:jc w:val="center"/>
              <w:ind w:right="160"/>
              <w:spacing w:after="0" w:line="139" w:lineRule="exact"/>
              <w:rPr>
                <w:sz w:val="20"/>
                <w:szCs w:val="20"/>
                <w:color w:val="auto"/>
              </w:rPr>
            </w:pPr>
            <w:r>
              <w:rPr>
                <w:rFonts w:ascii="Arial" w:cs="Arial" w:eastAsia="Arial" w:hAnsi="Arial"/>
                <w:sz w:val="13"/>
                <w:szCs w:val="13"/>
                <w:b w:val="1"/>
                <w:bCs w:val="1"/>
                <w:color w:val="auto"/>
              </w:rPr>
              <w:t>(AIDH TopCo, LLC)</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0"/>
              </w:rPr>
              <w:t>(Successor Company)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80" w:type="dxa"/>
            <w:vAlign w:val="bottom"/>
            <w:tcBorders>
              <w:top w:val="single" w:sz="8" w:color="auto"/>
            </w:tcBorders>
            <w:gridSpan w:val="5"/>
            <w:vMerge w:val="restart"/>
          </w:tcPr>
          <w:p>
            <w:pPr>
              <w:jc w:val="right"/>
              <w:ind w:right="540"/>
              <w:spacing w:after="0"/>
              <w:rPr>
                <w:sz w:val="20"/>
                <w:szCs w:val="20"/>
                <w:color w:val="auto"/>
              </w:rPr>
            </w:pPr>
            <w:r>
              <w:rPr>
                <w:rFonts w:ascii="Arial" w:cs="Arial" w:eastAsia="Arial" w:hAnsi="Arial"/>
                <w:sz w:val="13"/>
                <w:szCs w:val="13"/>
                <w:b w:val="1"/>
                <w:bCs w:val="1"/>
                <w:color w:val="auto"/>
              </w:rPr>
              <w:t>Nine Months Ended</w:t>
            </w: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220"/>
              <w:spacing w:after="0" w:line="112" w:lineRule="exact"/>
              <w:rPr>
                <w:sz w:val="20"/>
                <w:szCs w:val="20"/>
                <w:color w:val="auto"/>
              </w:rPr>
            </w:pPr>
            <w:r>
              <w:rPr>
                <w:rFonts w:ascii="Arial" w:cs="Arial" w:eastAsia="Arial" w:hAnsi="Arial"/>
                <w:sz w:val="12"/>
                <w:szCs w:val="12"/>
                <w:b w:val="1"/>
                <w:bCs w:val="1"/>
                <w:color w:val="auto"/>
              </w:rPr>
              <w:t>Fiscal Year</w:t>
            </w: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spacing w:after="0" w:line="112" w:lineRule="exact"/>
              <w:rPr>
                <w:sz w:val="20"/>
                <w:szCs w:val="20"/>
                <w:color w:val="auto"/>
              </w:rPr>
            </w:pPr>
            <w:r>
              <w:rPr>
                <w:rFonts w:ascii="Arial" w:cs="Arial" w:eastAsia="Arial" w:hAnsi="Arial"/>
                <w:sz w:val="12"/>
                <w:szCs w:val="12"/>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27"/>
              <w:spacing w:after="0" w:line="112"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5"/>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4"/>
              </w:rPr>
              <w:t>July 16, to</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4"/>
              </w:rPr>
              <w:t>January 1, to</w:t>
            </w:r>
          </w:p>
        </w:tc>
        <w:tc>
          <w:tcPr>
            <w:tcW w:w="0" w:type="dxa"/>
            <w:vAlign w:val="bottom"/>
          </w:tcPr>
          <w:p>
            <w:pPr>
              <w:spacing w:after="0"/>
              <w:rPr>
                <w:sz w:val="1"/>
                <w:szCs w:val="1"/>
                <w:color w:val="auto"/>
              </w:rPr>
            </w:pPr>
          </w:p>
        </w:tc>
      </w:tr>
      <w:tr>
        <w:trPr>
          <w:trHeight w:val="160"/>
        </w:trPr>
        <w:tc>
          <w:tcPr>
            <w:tcW w:w="3600" w:type="dxa"/>
            <w:vAlign w:val="bottom"/>
            <w:gridSpan w:val="3"/>
            <w:vMerge w:val="restart"/>
          </w:tcPr>
          <w:p>
            <w:pPr>
              <w:spacing w:after="0"/>
              <w:rPr>
                <w:sz w:val="20"/>
                <w:szCs w:val="20"/>
                <w:color w:val="auto"/>
              </w:rPr>
            </w:pPr>
            <w:r>
              <w:rPr>
                <w:rFonts w:ascii="Arial" w:cs="Arial" w:eastAsia="Arial" w:hAnsi="Arial"/>
                <w:sz w:val="13"/>
                <w:szCs w:val="13"/>
                <w:color w:val="auto"/>
              </w:rPr>
              <w:t>($ in thousands)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3"/>
                <w:szCs w:val="13"/>
                <w:color w:val="auto"/>
              </w:rPr>
            </w:pPr>
          </w:p>
        </w:tc>
        <w:tc>
          <w:tcPr>
            <w:tcW w:w="10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92"/>
              </w:rPr>
              <w:t>December 31,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July 15,</w:t>
            </w:r>
          </w:p>
        </w:tc>
        <w:tc>
          <w:tcPr>
            <w:tcW w:w="0" w:type="dxa"/>
            <w:vAlign w:val="bottom"/>
          </w:tcPr>
          <w:p>
            <w:pPr>
              <w:spacing w:after="0"/>
              <w:rPr>
                <w:sz w:val="1"/>
                <w:szCs w:val="1"/>
                <w:color w:val="auto"/>
              </w:rPr>
            </w:pPr>
          </w:p>
        </w:tc>
      </w:tr>
      <w:tr>
        <w:trPr>
          <w:trHeight w:val="145"/>
        </w:trPr>
        <w:tc>
          <w:tcPr>
            <w:tcW w:w="36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03"/>
              <w:spacing w:after="0" w:line="145"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3"/>
              <w:spacing w:after="0" w:line="145" w:lineRule="exact"/>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61"/>
              <w:spacing w:after="0" w:line="145" w:lineRule="exact"/>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21"/>
              <w:spacing w:after="0" w:line="145" w:lineRule="exact"/>
              <w:rPr>
                <w:sz w:val="20"/>
                <w:szCs w:val="20"/>
                <w:color w:val="auto"/>
              </w:rPr>
            </w:pPr>
            <w:r>
              <w:rPr>
                <w:rFonts w:ascii="Arial" w:cs="Arial" w:eastAsia="Arial" w:hAnsi="Arial"/>
                <w:sz w:val="13"/>
                <w:szCs w:val="13"/>
                <w:b w:val="1"/>
                <w:bCs w:val="1"/>
                <w:color w:val="auto"/>
                <w:w w:val="89"/>
              </w:rPr>
              <w:t>2019</w:t>
            </w:r>
          </w:p>
        </w:tc>
        <w:tc>
          <w:tcPr>
            <w:tcW w:w="2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47"/>
              <w:spacing w:after="0" w:line="145" w:lineRule="exact"/>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Cash provided by (used in):</w:t>
            </w: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Operating activities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20,993</w:t>
            </w:r>
          </w:p>
        </w:tc>
        <w:tc>
          <w:tcPr>
            <w:tcW w:w="2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$14,544</w:t>
            </w:r>
          </w:p>
        </w:tc>
        <w:tc>
          <w:tcPr>
            <w:tcW w:w="28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23,217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(7,133)</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7"/>
                <w:szCs w:val="17"/>
                <w:color w:val="auto"/>
              </w:rPr>
              <w:t>Investing activities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(5,662)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(7,996)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(23,862)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(1,109,368)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Financing activities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149,695</w:t>
            </w: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19,516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16,655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1,125,119</w:t>
            </w:r>
          </w:p>
        </w:tc>
        <w:tc>
          <w:tcPr>
            <w:tcW w:w="2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w w:val="97"/>
              </w:rPr>
              <w:t>Change in cash and cash equivalents (excluding</w:t>
            </w:r>
          </w:p>
        </w:tc>
        <w:tc>
          <w:tcPr>
            <w:tcW w:w="3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exchange rate changes)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165,026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26,064</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20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20" w:right="160" w:hanging="492"/>
        <w:spacing w:after="0" w:line="311"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Cash flows used in investing activities includes purchases of property, equipment, and other assets of $5.7 million and $1.1 million for the nine months ended September 30, 2021 and 2020, respectively, and $1.4 million, $1.2 million, and $0.7 million, in the periods ended December 31, 2020, July 16, 2019 to December 31, 2019 (Successor), and January 1, 2019 to July 15, 2019 (Predecessor), respectively.</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80" w:type="dxa"/>
            <w:vAlign w:val="bottom"/>
            <w:gridSpan w:val="4"/>
            <w:vMerge w:val="restart"/>
          </w:tcPr>
          <w:p>
            <w:pPr>
              <w:jc w:val="center"/>
              <w:ind w:right="540"/>
              <w:spacing w:after="0"/>
              <w:rPr>
                <w:sz w:val="20"/>
                <w:szCs w:val="20"/>
                <w:color w:val="auto"/>
              </w:rPr>
            </w:pPr>
            <w:r>
              <w:rPr>
                <w:rFonts w:ascii="Arial" w:cs="Arial" w:eastAsia="Arial" w:hAnsi="Arial"/>
                <w:sz w:val="13"/>
                <w:szCs w:val="13"/>
                <w:b w:val="1"/>
                <w:bCs w:val="1"/>
                <w:color w:val="auto"/>
                <w:w w:val="96"/>
              </w:rPr>
              <w:t>Definitive OpCo</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5"/>
          </w:tcPr>
          <w:p>
            <w:pPr>
              <w:jc w:val="center"/>
              <w:ind w:left="33"/>
              <w:spacing w:after="0" w:line="139" w:lineRule="exact"/>
              <w:rPr>
                <w:sz w:val="20"/>
                <w:szCs w:val="20"/>
                <w:color w:val="auto"/>
              </w:rPr>
            </w:pPr>
            <w:r>
              <w:rPr>
                <w:rFonts w:ascii="Arial" w:cs="Arial" w:eastAsia="Arial" w:hAnsi="Arial"/>
                <w:sz w:val="13"/>
                <w:szCs w:val="13"/>
                <w:b w:val="1"/>
                <w:bCs w:val="1"/>
                <w:color w:val="auto"/>
              </w:rPr>
              <w:t>(AIDH TopCo, LLC)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center"/>
              <w:ind w:left="33"/>
              <w:spacing w:after="0"/>
              <w:rPr>
                <w:sz w:val="20"/>
                <w:szCs w:val="20"/>
                <w:color w:val="auto"/>
              </w:rPr>
            </w:pPr>
            <w:r>
              <w:rPr>
                <w:rFonts w:ascii="Arial" w:cs="Arial" w:eastAsia="Arial" w:hAnsi="Arial"/>
                <w:sz w:val="13"/>
                <w:szCs w:val="13"/>
                <w:b w:val="1"/>
                <w:bCs w:val="1"/>
                <w:color w:val="auto"/>
                <w:w w:val="90"/>
              </w:rPr>
              <w:t>Successor Company</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Predecessor Company</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gridSpan w:val="5"/>
          </w:tcPr>
          <w:p>
            <w:pPr>
              <w:jc w:val="right"/>
              <w:ind w:right="593"/>
              <w:spacing w:after="0" w:line="132" w:lineRule="exact"/>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1"/>
                <w:szCs w:val="11"/>
                <w:color w:val="auto"/>
              </w:rPr>
            </w:pPr>
          </w:p>
        </w:tc>
        <w:tc>
          <w:tcPr>
            <w:tcW w:w="1160" w:type="dxa"/>
            <w:vAlign w:val="bottom"/>
            <w:gridSpan w:val="2"/>
          </w:tcPr>
          <w:p>
            <w:pPr>
              <w:jc w:val="center"/>
              <w:ind w:right="360"/>
              <w:spacing w:after="0" w:line="132" w:lineRule="exact"/>
              <w:rPr>
                <w:sz w:val="20"/>
                <w:szCs w:val="20"/>
                <w:color w:val="auto"/>
              </w:rPr>
            </w:pPr>
            <w:r>
              <w:rPr>
                <w:rFonts w:ascii="Arial" w:cs="Arial" w:eastAsia="Arial" w:hAnsi="Arial"/>
                <w:sz w:val="13"/>
                <w:szCs w:val="13"/>
                <w:b w:val="1"/>
                <w:bCs w:val="1"/>
                <w:color w:val="auto"/>
                <w:w w:val="91"/>
              </w:rPr>
              <w:t>Year ended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Borders>
              <w:right w:val="single" w:sz="8" w:color="auto"/>
            </w:tcBorders>
            <w:gridSpan w:val="2"/>
          </w:tcPr>
          <w:p>
            <w:pPr>
              <w:jc w:val="center"/>
              <w:ind w:right="720"/>
              <w:spacing w:after="0" w:line="132" w:lineRule="exact"/>
              <w:rPr>
                <w:sz w:val="20"/>
                <w:szCs w:val="20"/>
                <w:color w:val="auto"/>
              </w:rPr>
            </w:pPr>
            <w:r>
              <w:rPr>
                <w:rFonts w:ascii="Arial" w:cs="Arial" w:eastAsia="Arial" w:hAnsi="Arial"/>
                <w:sz w:val="13"/>
                <w:szCs w:val="13"/>
                <w:b w:val="1"/>
                <w:bCs w:val="1"/>
                <w:color w:val="auto"/>
                <w:w w:val="95"/>
              </w:rPr>
              <w:t>Period from</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320"/>
              <w:spacing w:after="0" w:line="132" w:lineRule="exact"/>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39"/>
        </w:trPr>
        <w:tc>
          <w:tcPr>
            <w:tcW w:w="2660" w:type="dxa"/>
            <w:vAlign w:val="bottom"/>
            <w:vMerge w:val="restart"/>
          </w:tcPr>
          <w:p>
            <w:pPr>
              <w:spacing w:after="0"/>
              <w:rPr>
                <w:sz w:val="20"/>
                <w:szCs w:val="20"/>
                <w:color w:val="auto"/>
              </w:rPr>
            </w:pPr>
            <w:r>
              <w:rPr>
                <w:rFonts w:ascii="Arial" w:cs="Arial" w:eastAsia="Arial" w:hAnsi="Arial"/>
                <w:sz w:val="13"/>
                <w:szCs w:val="13"/>
                <w:color w:val="auto"/>
              </w:rPr>
              <w:t>($ in thousands)</w:t>
            </w:r>
          </w:p>
        </w:tc>
        <w:tc>
          <w:tcPr>
            <w:tcW w:w="220" w:type="dxa"/>
            <w:vAlign w:val="bottom"/>
          </w:tcPr>
          <w:p>
            <w:pPr>
              <w:spacing w:after="0"/>
              <w:rPr>
                <w:sz w:val="12"/>
                <w:szCs w:val="12"/>
                <w:color w:val="auto"/>
              </w:rPr>
            </w:pPr>
          </w:p>
        </w:tc>
        <w:tc>
          <w:tcPr>
            <w:tcW w:w="2140" w:type="dxa"/>
            <w:vAlign w:val="bottom"/>
            <w:gridSpan w:val="5"/>
          </w:tcPr>
          <w:p>
            <w:pPr>
              <w:jc w:val="right"/>
              <w:ind w:right="773"/>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right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w w:val="93"/>
              </w:rPr>
              <w:t>July 16, 2019 to</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45"/>
        </w:trPr>
        <w:tc>
          <w:tcPr>
            <w:tcW w:w="2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ind w:right="113"/>
              <w:spacing w:after="0" w:line="145" w:lineRule="exact"/>
              <w:rPr>
                <w:sz w:val="20"/>
                <w:szCs w:val="20"/>
                <w:color w:val="auto"/>
              </w:rPr>
            </w:pPr>
            <w:r>
              <w:rPr>
                <w:rFonts w:ascii="Arial" w:cs="Arial" w:eastAsia="Arial" w:hAnsi="Arial"/>
                <w:sz w:val="13"/>
                <w:szCs w:val="13"/>
                <w:b w:val="1"/>
                <w:bCs w:val="1"/>
                <w:color w:val="auto"/>
              </w:rPr>
              <w:t>2021</w:t>
            </w: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340"/>
              <w:spacing w:after="0" w:line="145" w:lineRule="exact"/>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2"/>
                <w:szCs w:val="12"/>
                <w:color w:val="auto"/>
              </w:rPr>
            </w:pPr>
          </w:p>
        </w:tc>
        <w:tc>
          <w:tcPr>
            <w:tcW w:w="960" w:type="dxa"/>
            <w:vAlign w:val="bottom"/>
            <w:gridSpan w:val="2"/>
          </w:tcPr>
          <w:p>
            <w:pPr>
              <w:jc w:val="center"/>
              <w:ind w:left="77"/>
              <w:spacing w:after="0" w:line="145" w:lineRule="exact"/>
              <w:rPr>
                <w:sz w:val="20"/>
                <w:szCs w:val="20"/>
                <w:color w:val="auto"/>
              </w:rPr>
            </w:pPr>
            <w:r>
              <w:rPr>
                <w:rFonts w:ascii="Arial" w:cs="Arial" w:eastAsia="Arial" w:hAnsi="Arial"/>
                <w:sz w:val="13"/>
                <w:szCs w:val="13"/>
                <w:b w:val="1"/>
                <w:bCs w:val="1"/>
                <w:color w:val="auto"/>
                <w:w w:val="96"/>
              </w:rPr>
              <w:t>2020</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Borders>
              <w:right w:val="single" w:sz="8" w:color="auto"/>
            </w:tcBorders>
            <w:gridSpan w:val="3"/>
          </w:tcPr>
          <w:p>
            <w:pPr>
              <w:jc w:val="center"/>
              <w:ind w:right="620"/>
              <w:spacing w:after="0" w:line="145" w:lineRule="exact"/>
              <w:rPr>
                <w:sz w:val="20"/>
                <w:szCs w:val="20"/>
                <w:color w:val="auto"/>
              </w:rPr>
            </w:pPr>
            <w:r>
              <w:rPr>
                <w:rFonts w:ascii="Arial" w:cs="Arial" w:eastAsia="Arial" w:hAnsi="Arial"/>
                <w:sz w:val="13"/>
                <w:szCs w:val="13"/>
                <w:b w:val="1"/>
                <w:bCs w:val="1"/>
                <w:color w:val="auto"/>
                <w:w w:val="93"/>
              </w:rPr>
              <w:t>December 31, 2019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00"/>
              <w:spacing w:after="0" w:line="145" w:lineRule="exact"/>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83"/>
        </w:trPr>
        <w:tc>
          <w:tcPr>
            <w:tcW w:w="2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Other Financial Data</w:t>
            </w:r>
            <w:r>
              <w:rPr>
                <w:rFonts w:ascii="Arial" w:cs="Arial" w:eastAsia="Arial" w:hAnsi="Arial"/>
                <w:sz w:val="21"/>
                <w:szCs w:val="21"/>
                <w:b w:val="1"/>
                <w:bCs w:val="1"/>
                <w:color w:val="auto"/>
                <w:vertAlign w:val="superscript"/>
              </w:rPr>
              <w:t>(1)</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right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rPr>
                <w:sz w:val="20"/>
                <w:szCs w:val="20"/>
                <w:color w:val="auto"/>
              </w:rPr>
            </w:pPr>
            <w:r>
              <w:rPr>
                <w:rFonts w:ascii="Arial" w:cs="Arial" w:eastAsia="Arial" w:hAnsi="Arial"/>
                <w:sz w:val="17"/>
                <w:szCs w:val="17"/>
                <w:color w:val="auto"/>
              </w:rPr>
              <w:t>Net (Loss) Income</w:t>
            </w:r>
          </w:p>
        </w:tc>
        <w:tc>
          <w:tcPr>
            <w:tcW w:w="1220" w:type="dxa"/>
            <w:vAlign w:val="bottom"/>
            <w:gridSpan w:val="3"/>
          </w:tcPr>
          <w:p>
            <w:pPr>
              <w:jc w:val="right"/>
              <w:ind w:right="300"/>
              <w:spacing w:after="0"/>
              <w:rPr>
                <w:sz w:val="20"/>
                <w:szCs w:val="20"/>
                <w:color w:val="auto"/>
              </w:rPr>
            </w:pPr>
            <w:r>
              <w:rPr>
                <w:rFonts w:ascii="Arial" w:cs="Arial" w:eastAsia="Arial" w:hAnsi="Arial"/>
                <w:sz w:val="17"/>
                <w:szCs w:val="17"/>
                <w:color w:val="auto"/>
              </w:rPr>
              <w:t>$ (46,493)</w:t>
            </w:r>
          </w:p>
        </w:tc>
        <w:tc>
          <w:tcPr>
            <w:tcW w:w="1140" w:type="dxa"/>
            <w:vAlign w:val="bottom"/>
            <w:gridSpan w:val="3"/>
          </w:tcPr>
          <w:p>
            <w:pPr>
              <w:jc w:val="right"/>
              <w:ind w:right="233"/>
              <w:spacing w:after="0"/>
              <w:rPr>
                <w:sz w:val="20"/>
                <w:szCs w:val="20"/>
                <w:color w:val="auto"/>
              </w:rPr>
            </w:pPr>
            <w:r>
              <w:rPr>
                <w:rFonts w:ascii="Arial" w:cs="Arial" w:eastAsia="Arial" w:hAnsi="Arial"/>
                <w:sz w:val="17"/>
                <w:szCs w:val="17"/>
                <w:color w:val="auto"/>
              </w:rPr>
              <w:t>$(35,295)</w:t>
            </w:r>
          </w:p>
        </w:tc>
        <w:tc>
          <w:tcPr>
            <w:tcW w:w="1320" w:type="dxa"/>
            <w:vAlign w:val="bottom"/>
            <w:gridSpan w:val="3"/>
          </w:tcPr>
          <w:p>
            <w:pPr>
              <w:jc w:val="right"/>
              <w:ind w:right="320"/>
              <w:spacing w:after="0"/>
              <w:rPr>
                <w:sz w:val="20"/>
                <w:szCs w:val="20"/>
                <w:color w:val="auto"/>
              </w:rPr>
            </w:pPr>
            <w:r>
              <w:rPr>
                <w:rFonts w:ascii="Arial" w:cs="Arial" w:eastAsia="Arial" w:hAnsi="Arial"/>
                <w:sz w:val="17"/>
                <w:szCs w:val="17"/>
                <w:color w:val="auto"/>
              </w:rPr>
              <w:t>$  (51,157)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(49,266)</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Reported gross profit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90,050</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62,505</w:t>
            </w:r>
          </w:p>
        </w:tc>
        <w:tc>
          <w:tcPr>
            <w:tcW w:w="3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87,849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26,763</w:t>
            </w:r>
          </w:p>
        </w:tc>
        <w:tc>
          <w:tcPr>
            <w:tcW w:w="6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rPr>
                <w:sz w:val="20"/>
                <w:szCs w:val="20"/>
                <w:color w:val="auto"/>
              </w:rPr>
            </w:pPr>
            <w:r>
              <w:rPr>
                <w:rFonts w:ascii="Arial" w:cs="Arial" w:eastAsia="Arial" w:hAnsi="Arial"/>
                <w:sz w:val="17"/>
                <w:szCs w:val="17"/>
                <w:color w:val="auto"/>
                <w:w w:val="99"/>
              </w:rPr>
              <w:t>(Loss) Income from operations</w:t>
            </w:r>
          </w:p>
        </w:tc>
        <w:tc>
          <w:tcPr>
            <w:tcW w:w="1220" w:type="dxa"/>
            <w:vAlign w:val="bottom"/>
            <w:gridSpan w:val="3"/>
          </w:tcPr>
          <w:p>
            <w:pPr>
              <w:jc w:val="right"/>
              <w:ind w:right="300"/>
              <w:spacing w:after="0"/>
              <w:rPr>
                <w:sz w:val="20"/>
                <w:szCs w:val="20"/>
                <w:color w:val="auto"/>
              </w:rPr>
            </w:pPr>
            <w:r>
              <w:rPr>
                <w:rFonts w:ascii="Arial" w:cs="Arial" w:eastAsia="Arial" w:hAnsi="Arial"/>
                <w:sz w:val="17"/>
                <w:szCs w:val="17"/>
                <w:color w:val="auto"/>
              </w:rPr>
              <w:t>(12,807)</w:t>
            </w:r>
          </w:p>
        </w:tc>
        <w:tc>
          <w:tcPr>
            <w:tcW w:w="1140" w:type="dxa"/>
            <w:vAlign w:val="bottom"/>
            <w:gridSpan w:val="3"/>
          </w:tcPr>
          <w:p>
            <w:pPr>
              <w:jc w:val="right"/>
              <w:ind w:right="233"/>
              <w:spacing w:after="0"/>
              <w:rPr>
                <w:sz w:val="20"/>
                <w:szCs w:val="20"/>
                <w:color w:val="auto"/>
              </w:rPr>
            </w:pPr>
            <w:r>
              <w:rPr>
                <w:rFonts w:ascii="Arial" w:cs="Arial" w:eastAsia="Arial" w:hAnsi="Arial"/>
                <w:sz w:val="17"/>
                <w:szCs w:val="17"/>
                <w:color w:val="auto"/>
              </w:rPr>
              <w:t>(7,493)</w:t>
            </w:r>
          </w:p>
        </w:tc>
        <w:tc>
          <w:tcPr>
            <w:tcW w:w="1320" w:type="dxa"/>
            <w:vAlign w:val="bottom"/>
            <w:gridSpan w:val="3"/>
          </w:tcPr>
          <w:p>
            <w:pPr>
              <w:jc w:val="right"/>
              <w:ind w:right="320"/>
              <w:spacing w:after="0"/>
              <w:rPr>
                <w:sz w:val="20"/>
                <w:szCs w:val="20"/>
                <w:color w:val="auto"/>
              </w:rPr>
            </w:pPr>
            <w:r>
              <w:rPr>
                <w:rFonts w:ascii="Arial" w:cs="Arial" w:eastAsia="Arial" w:hAnsi="Arial"/>
                <w:sz w:val="17"/>
                <w:szCs w:val="17"/>
                <w:color w:val="auto"/>
              </w:rPr>
              <w:t>(14,445)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(31,062)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Revenue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119,841</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84,659</w:t>
            </w:r>
          </w:p>
        </w:tc>
        <w:tc>
          <w:tcPr>
            <w:tcW w:w="3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118,317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6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line="202" w:lineRule="exact"/>
              <w:rPr>
                <w:sz w:val="20"/>
                <w:szCs w:val="20"/>
                <w:color w:val="auto"/>
              </w:rPr>
            </w:pPr>
            <w:r>
              <w:rPr>
                <w:rFonts w:ascii="Arial" w:cs="Arial" w:eastAsia="Arial" w:hAnsi="Arial"/>
                <w:sz w:val="17"/>
                <w:szCs w:val="17"/>
                <w:color w:val="auto"/>
              </w:rPr>
              <w:t>Adjusted EBITDA</w:t>
            </w:r>
            <w:r>
              <w:rPr>
                <w:rFonts w:ascii="Arial" w:cs="Arial" w:eastAsia="Arial" w:hAnsi="Arial"/>
                <w:sz w:val="23"/>
                <w:szCs w:val="23"/>
                <w:color w:val="auto"/>
                <w:vertAlign w:val="superscript"/>
              </w:rPr>
              <w:t>(2)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42,886</w:t>
            </w:r>
          </w:p>
        </w:tc>
        <w:tc>
          <w:tcPr>
            <w:tcW w:w="360" w:type="dxa"/>
            <w:vAlign w:val="bottom"/>
          </w:tcPr>
          <w:p>
            <w:pPr>
              <w:spacing w:after="0"/>
              <w:rPr>
                <w:sz w:val="17"/>
                <w:szCs w:val="17"/>
                <w:color w:val="auto"/>
              </w:rPr>
            </w:pPr>
          </w:p>
        </w:tc>
        <w:tc>
          <w:tcPr>
            <w:tcW w:w="780" w:type="dxa"/>
            <w:vAlign w:val="bottom"/>
            <w:gridSpan w:val="2"/>
          </w:tcPr>
          <w:p>
            <w:pPr>
              <w:ind w:left="320"/>
              <w:spacing w:after="0"/>
              <w:rPr>
                <w:sz w:val="20"/>
                <w:szCs w:val="20"/>
                <w:color w:val="auto"/>
              </w:rPr>
            </w:pPr>
            <w:r>
              <w:rPr>
                <w:rFonts w:ascii="Arial" w:cs="Arial" w:eastAsia="Arial" w:hAnsi="Arial"/>
                <w:sz w:val="17"/>
                <w:szCs w:val="17"/>
                <w:color w:val="auto"/>
                <w:w w:val="84"/>
              </w:rPr>
              <w:t>40,704</w:t>
            </w:r>
          </w:p>
        </w:tc>
        <w:tc>
          <w:tcPr>
            <w:tcW w:w="360" w:type="dxa"/>
            <w:vAlign w:val="bottom"/>
          </w:tcPr>
          <w:p>
            <w:pPr>
              <w:spacing w:after="0"/>
              <w:rPr>
                <w:sz w:val="17"/>
                <w:szCs w:val="17"/>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7"/>
                <w:szCs w:val="17"/>
                <w:color w:val="auto"/>
              </w:rPr>
              <w:t>53,505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18,651</w:t>
            </w:r>
          </w:p>
        </w:tc>
        <w:tc>
          <w:tcPr>
            <w:tcW w:w="6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23,656</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line="202" w:lineRule="exact"/>
              <w:rPr>
                <w:sz w:val="20"/>
                <w:szCs w:val="20"/>
                <w:color w:val="auto"/>
              </w:rPr>
            </w:pPr>
            <w:r>
              <w:rPr>
                <w:rFonts w:ascii="Arial" w:cs="Arial" w:eastAsia="Arial" w:hAnsi="Arial"/>
                <w:sz w:val="17"/>
                <w:szCs w:val="17"/>
                <w:color w:val="auto"/>
              </w:rPr>
              <w:t>Adjusted Gross Profit</w:t>
            </w:r>
            <w:r>
              <w:rPr>
                <w:rFonts w:ascii="Arial" w:cs="Arial" w:eastAsia="Arial" w:hAnsi="Arial"/>
                <w:sz w:val="23"/>
                <w:szCs w:val="23"/>
                <w:color w:val="auto"/>
                <w:vertAlign w:val="superscript"/>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105,254</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76,726</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107,080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35,393</w:t>
            </w:r>
          </w:p>
        </w:tc>
        <w:tc>
          <w:tcPr>
            <w:tcW w:w="6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line="202" w:lineRule="exact"/>
              <w:rPr>
                <w:sz w:val="20"/>
                <w:szCs w:val="20"/>
                <w:color w:val="auto"/>
              </w:rPr>
            </w:pPr>
            <w:r>
              <w:rPr>
                <w:rFonts w:ascii="Arial" w:cs="Arial" w:eastAsia="Arial" w:hAnsi="Arial"/>
                <w:sz w:val="17"/>
                <w:szCs w:val="17"/>
                <w:color w:val="auto"/>
              </w:rPr>
              <w:t>Net (Loss) Income Margin</w:t>
            </w:r>
            <w:r>
              <w:rPr>
                <w:rFonts w:ascii="Arial" w:cs="Arial" w:eastAsia="Arial" w:hAnsi="Arial"/>
                <w:sz w:val="23"/>
                <w:szCs w:val="23"/>
                <w:color w:val="auto"/>
                <w:vertAlign w:val="superscript"/>
              </w:rPr>
              <w:t>(4)</w:t>
            </w: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(39)%</w:t>
            </w:r>
          </w:p>
        </w:tc>
        <w:tc>
          <w:tcPr>
            <w:tcW w:w="1140" w:type="dxa"/>
            <w:vAlign w:val="bottom"/>
            <w:gridSpan w:val="3"/>
          </w:tcPr>
          <w:p>
            <w:pPr>
              <w:jc w:val="right"/>
              <w:ind w:right="93"/>
              <w:spacing w:after="0"/>
              <w:rPr>
                <w:sz w:val="20"/>
                <w:szCs w:val="20"/>
                <w:color w:val="auto"/>
              </w:rPr>
            </w:pPr>
            <w:r>
              <w:rPr>
                <w:rFonts w:ascii="Arial" w:cs="Arial" w:eastAsia="Arial" w:hAnsi="Arial"/>
                <w:sz w:val="17"/>
                <w:szCs w:val="17"/>
                <w:color w:val="auto"/>
              </w:rPr>
              <w:t>(42)%</w:t>
            </w:r>
          </w:p>
        </w:tc>
        <w:tc>
          <w:tcPr>
            <w:tcW w:w="1320" w:type="dxa"/>
            <w:vAlign w:val="bottom"/>
            <w:gridSpan w:val="3"/>
          </w:tcPr>
          <w:p>
            <w:pPr>
              <w:jc w:val="right"/>
              <w:ind w:right="180"/>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(123)%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line="202" w:lineRule="exact"/>
              <w:rPr>
                <w:sz w:val="20"/>
                <w:szCs w:val="20"/>
                <w:color w:val="auto"/>
              </w:rPr>
            </w:pPr>
            <w:r>
              <w:rPr>
                <w:rFonts w:ascii="Arial" w:cs="Arial" w:eastAsia="Arial" w:hAnsi="Arial"/>
                <w:sz w:val="17"/>
                <w:szCs w:val="17"/>
                <w:color w:val="auto"/>
              </w:rPr>
              <w:t>Gross Margin</w:t>
            </w:r>
            <w:r>
              <w:rPr>
                <w:rFonts w:ascii="Arial" w:cs="Arial" w:eastAsia="Arial" w:hAnsi="Arial"/>
                <w:sz w:val="23"/>
                <w:szCs w:val="23"/>
                <w:color w:val="auto"/>
                <w:vertAlign w:val="superscript"/>
              </w:rPr>
              <w:t>(5)</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75%</w:t>
            </w:r>
          </w:p>
        </w:tc>
        <w:tc>
          <w:tcPr>
            <w:tcW w:w="1140" w:type="dxa"/>
            <w:vAlign w:val="bottom"/>
            <w:gridSpan w:val="3"/>
            <w:shd w:val="clear" w:color="auto" w:fill="CCEEFF"/>
          </w:tcPr>
          <w:p>
            <w:pPr>
              <w:jc w:val="right"/>
              <w:ind w:right="153"/>
              <w:spacing w:after="0"/>
              <w:rPr>
                <w:sz w:val="20"/>
                <w:szCs w:val="20"/>
                <w:color w:val="auto"/>
              </w:rPr>
            </w:pPr>
            <w:r>
              <w:rPr>
                <w:rFonts w:ascii="Arial" w:cs="Arial" w:eastAsia="Arial" w:hAnsi="Arial"/>
                <w:sz w:val="17"/>
                <w:szCs w:val="17"/>
                <w:color w:val="auto"/>
              </w:rPr>
              <w:t>74%</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line="202" w:lineRule="exact"/>
              <w:rPr>
                <w:sz w:val="20"/>
                <w:szCs w:val="20"/>
                <w:color w:val="auto"/>
              </w:rPr>
            </w:pPr>
            <w:r>
              <w:rPr>
                <w:rFonts w:ascii="Arial" w:cs="Arial" w:eastAsia="Arial" w:hAnsi="Arial"/>
                <w:sz w:val="17"/>
                <w:szCs w:val="17"/>
                <w:color w:val="auto"/>
              </w:rPr>
              <w:t>Adjusted Gross Margin</w:t>
            </w:r>
            <w:r>
              <w:rPr>
                <w:rFonts w:ascii="Arial" w:cs="Arial" w:eastAsia="Arial" w:hAnsi="Arial"/>
                <w:sz w:val="23"/>
                <w:szCs w:val="23"/>
                <w:color w:val="auto"/>
                <w:vertAlign w:val="superscript"/>
              </w:rPr>
              <w:t>(6)</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88%</w:t>
            </w:r>
          </w:p>
        </w:tc>
        <w:tc>
          <w:tcPr>
            <w:tcW w:w="1140" w:type="dxa"/>
            <w:vAlign w:val="bottom"/>
            <w:gridSpan w:val="3"/>
          </w:tcPr>
          <w:p>
            <w:pPr>
              <w:jc w:val="right"/>
              <w:ind w:right="153"/>
              <w:spacing w:after="0"/>
              <w:rPr>
                <w:sz w:val="20"/>
                <w:szCs w:val="20"/>
                <w:color w:val="auto"/>
              </w:rPr>
            </w:pPr>
            <w:r>
              <w:rPr>
                <w:rFonts w:ascii="Arial" w:cs="Arial" w:eastAsia="Arial" w:hAnsi="Arial"/>
                <w:sz w:val="17"/>
                <w:szCs w:val="17"/>
                <w:color w:val="auto"/>
              </w:rPr>
              <w:t>91%</w:t>
            </w:r>
          </w:p>
        </w:tc>
        <w:tc>
          <w:tcPr>
            <w:tcW w:w="1320" w:type="dxa"/>
            <w:vAlign w:val="bottom"/>
            <w:gridSpan w:val="3"/>
          </w:tcPr>
          <w:p>
            <w:pPr>
              <w:jc w:val="right"/>
              <w:ind w:right="220"/>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7"/>
                <w:szCs w:val="17"/>
                <w:color w:val="auto"/>
              </w:rPr>
              <w:t>88%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line="202" w:lineRule="exact"/>
              <w:rPr>
                <w:sz w:val="20"/>
                <w:szCs w:val="20"/>
                <w:color w:val="auto"/>
              </w:rPr>
            </w:pPr>
            <w:r>
              <w:rPr>
                <w:rFonts w:ascii="Arial" w:cs="Arial" w:eastAsia="Arial" w:hAnsi="Arial"/>
                <w:sz w:val="17"/>
                <w:szCs w:val="17"/>
                <w:color w:val="auto"/>
              </w:rPr>
              <w:t>Adjusted Operating Income</w:t>
            </w:r>
            <w:r>
              <w:rPr>
                <w:rFonts w:ascii="Arial" w:cs="Arial" w:eastAsia="Arial" w:hAnsi="Arial"/>
                <w:sz w:val="23"/>
                <w:szCs w:val="23"/>
                <w:color w:val="auto"/>
                <w:vertAlign w:val="superscript"/>
              </w:rPr>
              <w:t>(7)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40,922</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39,784</w:t>
            </w:r>
          </w:p>
        </w:tc>
        <w:tc>
          <w:tcPr>
            <w:tcW w:w="3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52,139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18,183</w:t>
            </w:r>
          </w:p>
        </w:tc>
        <w:tc>
          <w:tcPr>
            <w:tcW w:w="6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23,233</w:t>
            </w:r>
          </w:p>
        </w:tc>
        <w:tc>
          <w:tcPr>
            <w:tcW w:w="0" w:type="dxa"/>
            <w:vAlign w:val="bottom"/>
          </w:tcPr>
          <w:p>
            <w:pPr>
              <w:spacing w:after="0"/>
              <w:rPr>
                <w:sz w:val="1"/>
                <w:szCs w:val="1"/>
                <w:color w:val="auto"/>
              </w:rPr>
            </w:pPr>
          </w:p>
        </w:tc>
      </w:tr>
      <w:tr>
        <w:trPr>
          <w:trHeight w:val="203"/>
        </w:trPr>
        <w:tc>
          <w:tcPr>
            <w:tcW w:w="2660" w:type="dxa"/>
            <w:vAlign w:val="bottom"/>
          </w:tcPr>
          <w:p>
            <w:pPr>
              <w:ind w:left="340"/>
              <w:spacing w:after="0" w:line="202" w:lineRule="exact"/>
              <w:rPr>
                <w:sz w:val="20"/>
                <w:szCs w:val="20"/>
                <w:color w:val="auto"/>
              </w:rPr>
            </w:pPr>
            <w:r>
              <w:rPr>
                <w:rFonts w:ascii="Arial" w:cs="Arial" w:eastAsia="Arial" w:hAnsi="Arial"/>
                <w:sz w:val="17"/>
                <w:szCs w:val="17"/>
                <w:color w:val="auto"/>
              </w:rPr>
              <w:t>Adjusted EBITDA Margin</w:t>
            </w:r>
            <w:r>
              <w:rPr>
                <w:rFonts w:ascii="Arial" w:cs="Arial" w:eastAsia="Arial" w:hAnsi="Arial"/>
                <w:sz w:val="23"/>
                <w:szCs w:val="23"/>
                <w:color w:val="auto"/>
                <w:vertAlign w:val="superscript"/>
              </w:rPr>
              <w:t>(8)</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36%</w:t>
            </w:r>
          </w:p>
        </w:tc>
        <w:tc>
          <w:tcPr>
            <w:tcW w:w="1140" w:type="dxa"/>
            <w:vAlign w:val="bottom"/>
            <w:gridSpan w:val="3"/>
          </w:tcPr>
          <w:p>
            <w:pPr>
              <w:jc w:val="right"/>
              <w:ind w:right="153"/>
              <w:spacing w:after="0"/>
              <w:rPr>
                <w:sz w:val="20"/>
                <w:szCs w:val="20"/>
                <w:color w:val="auto"/>
              </w:rPr>
            </w:pPr>
            <w:r>
              <w:rPr>
                <w:rFonts w:ascii="Arial" w:cs="Arial" w:eastAsia="Arial" w:hAnsi="Arial"/>
                <w:sz w:val="17"/>
                <w:szCs w:val="17"/>
                <w:color w:val="auto"/>
              </w:rPr>
              <w:t>48%</w:t>
            </w:r>
          </w:p>
        </w:tc>
        <w:tc>
          <w:tcPr>
            <w:tcW w:w="1320" w:type="dxa"/>
            <w:vAlign w:val="bottom"/>
            <w:gridSpan w:val="3"/>
          </w:tcPr>
          <w:p>
            <w:pPr>
              <w:jc w:val="right"/>
              <w:ind w:right="220"/>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7"/>
                <w:szCs w:val="17"/>
                <w:color w:val="auto"/>
              </w:rPr>
              <w:t>47%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340"/>
              <w:spacing w:after="0" w:line="202" w:lineRule="exact"/>
              <w:rPr>
                <w:sz w:val="20"/>
                <w:szCs w:val="20"/>
                <w:color w:val="auto"/>
              </w:rPr>
            </w:pPr>
            <w:r>
              <w:rPr>
                <w:rFonts w:ascii="Arial" w:cs="Arial" w:eastAsia="Arial" w:hAnsi="Arial"/>
                <w:sz w:val="17"/>
                <w:szCs w:val="17"/>
                <w:color w:val="auto"/>
              </w:rPr>
              <w:t>Adjusted Net Income (Loss)</w:t>
            </w:r>
            <w:r>
              <w:rPr>
                <w:rFonts w:ascii="Arial" w:cs="Arial" w:eastAsia="Arial" w:hAnsi="Arial"/>
                <w:sz w:val="23"/>
                <w:szCs w:val="23"/>
                <w:color w:val="auto"/>
                <w:vertAlign w:val="superscript"/>
              </w:rPr>
              <w:t>(9)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6,805</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11,982</w:t>
            </w:r>
          </w:p>
        </w:tc>
        <w:tc>
          <w:tcPr>
            <w:tcW w:w="3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15,427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23,068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120" w:right="300" w:hanging="492"/>
        <w:spacing w:after="0" w:line="272" w:lineRule="auto"/>
        <w:tabs>
          <w:tab w:leader="none" w:pos="11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Adjusted EBITDA, Adjusted Gross Profit, Adjusted Gross Margin, Adjusted Operating Income and Adjusted Net Income (Loss) are not defined under GAAP. Our use of the terms EBITDA and Adjusted</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20"/>
          </w:cols>
          <w:pgMar w:left="320" w:top="466" w:right="9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2795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66535" cy="279527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120" w:right="100"/>
        <w:spacing w:after="0" w:line="283" w:lineRule="auto"/>
        <w:rPr>
          <w:sz w:val="20"/>
          <w:szCs w:val="20"/>
          <w:color w:val="auto"/>
        </w:rPr>
      </w:pPr>
      <w:r>
        <w:rPr>
          <w:rFonts w:ascii="Arial" w:cs="Arial" w:eastAsia="Arial" w:hAnsi="Arial"/>
          <w:sz w:val="15"/>
          <w:szCs w:val="15"/>
          <w:color w:val="auto"/>
        </w:rPr>
        <w:t>EBITDA may not be comparable to similarly titled measures of other companies in our industry and are not measures of performance calculated in accordance with GAAP. Our presentation of Adjusted EBITDA, Adjusted Gross Profit, Adjusted Gross Margin, Adjusted (Loss) Operating Income and Adjusted Net Income (Loss) are intended as supplemental measures of our performance that are not required by, or presented in accordance with, GAAP. These measures should not be considered as alternatives to income (loss) from operations, net income (loss), earnings per share or any other performance measures derived in accordance with GAAP, or as measures of operating cash flows or liquidity. See “Non-GAAP Financial Measures” for a discussion of our results of operations for definitions and a reconciliation of our net (loss) income to Adjusted EBITDA, our gross profit to Adjusted Gross Profit and Adjusted Gross Margin, our (loss) income from operations to Adjusted Operating Income and our (loss) income to Adjusted Net Income (Loss).</w:t>
      </w:r>
    </w:p>
    <w:p>
      <w:pPr>
        <w:spacing w:after="0" w:line="6" w:lineRule="exact"/>
        <w:rPr>
          <w:sz w:val="20"/>
          <w:szCs w:val="20"/>
          <w:color w:val="auto"/>
        </w:rPr>
      </w:pPr>
    </w:p>
    <w:p>
      <w:pPr>
        <w:ind w:left="1120" w:right="80" w:hanging="492"/>
        <w:spacing w:after="0" w:line="281"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Adjusted EBITDA is defined as earnings before (i) debt-related costs, including interest expense and (ii) interest income, (iii) provision for taxes and (iv) depreciation and amortization. Management further adjusts EBITDA in its presentation of Adjusted EBITDA to exclude</w:t>
      </w:r>
    </w:p>
    <w:p>
      <w:pPr>
        <w:spacing w:after="0" w:line="1"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6"/>
          <w:szCs w:val="16"/>
          <w:color w:val="auto"/>
        </w:rPr>
        <w:t>(i) other (income) expense, (ii) stock-based compensation, (iii) acquisition-related expenses and (iv) other non-recurring expenses.</w:t>
      </w:r>
    </w:p>
    <w:p>
      <w:pPr>
        <w:spacing w:after="0" w:line="18" w:lineRule="exact"/>
        <w:rPr>
          <w:rFonts w:ascii="Arial" w:cs="Arial" w:eastAsia="Arial" w:hAnsi="Arial"/>
          <w:sz w:val="15"/>
          <w:szCs w:val="15"/>
          <w:color w:val="auto"/>
        </w:rPr>
      </w:pPr>
    </w:p>
    <w:p>
      <w:pPr>
        <w:ind w:left="1120" w:hanging="492"/>
        <w:spacing w:after="0"/>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Adjusted Gross Profit is defined as revenue less cost of revenue (excluding acquisition-related amortization and equity compensation costs).</w:t>
      </w:r>
    </w:p>
    <w:p>
      <w:pPr>
        <w:spacing w:after="0" w:line="30" w:lineRule="exact"/>
        <w:rPr>
          <w:rFonts w:ascii="Arial" w:cs="Arial" w:eastAsia="Arial" w:hAnsi="Arial"/>
          <w:sz w:val="15"/>
          <w:szCs w:val="15"/>
          <w:color w:val="auto"/>
        </w:rPr>
      </w:pPr>
    </w:p>
    <w:p>
      <w:pPr>
        <w:ind w:left="1120" w:hanging="492"/>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Net (Loss) Income Margin is defined as net (loss) income as a percentage of revenue for the applicable period.</w:t>
      </w:r>
    </w:p>
    <w:p>
      <w:pPr>
        <w:spacing w:after="0" w:line="7" w:lineRule="exact"/>
        <w:rPr>
          <w:rFonts w:ascii="Arial" w:cs="Arial" w:eastAsia="Arial" w:hAnsi="Arial"/>
          <w:sz w:val="17"/>
          <w:szCs w:val="17"/>
          <w:color w:val="auto"/>
        </w:rPr>
      </w:pPr>
    </w:p>
    <w:p>
      <w:pPr>
        <w:ind w:left="1120" w:hanging="492"/>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Gross Margin is defined as reported gross profit as a percentage of revenue for the applicable period.</w:t>
      </w:r>
    </w:p>
    <w:p>
      <w:pPr>
        <w:spacing w:after="0" w:line="7" w:lineRule="exact"/>
        <w:rPr>
          <w:rFonts w:ascii="Arial" w:cs="Arial" w:eastAsia="Arial" w:hAnsi="Arial"/>
          <w:sz w:val="17"/>
          <w:szCs w:val="17"/>
          <w:color w:val="auto"/>
        </w:rPr>
      </w:pPr>
    </w:p>
    <w:p>
      <w:pPr>
        <w:ind w:left="1120" w:hanging="492"/>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Adjusted Gross Margin is defined as Adjusted Gross Profit as a percentage of revenue for the applicable period.</w:t>
      </w:r>
    </w:p>
    <w:p>
      <w:pPr>
        <w:spacing w:after="0" w:line="7" w:lineRule="exact"/>
        <w:rPr>
          <w:rFonts w:ascii="Arial" w:cs="Arial" w:eastAsia="Arial" w:hAnsi="Arial"/>
          <w:sz w:val="17"/>
          <w:szCs w:val="17"/>
          <w:color w:val="auto"/>
        </w:rPr>
      </w:pPr>
    </w:p>
    <w:p>
      <w:pPr>
        <w:ind w:left="1120" w:right="60" w:hanging="492"/>
        <w:spacing w:after="0" w:line="248"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Adjusted Operating Income is defined as (loss) income from operations plus (i) acquisition-related depreciation and amortization (ii) stock-based compensation, (iii) acquisition-related expenses and (iv) other non-recurring adjustments.</w:t>
      </w:r>
    </w:p>
    <w:p>
      <w:pPr>
        <w:spacing w:after="0" w:line="1" w:lineRule="exact"/>
        <w:rPr>
          <w:rFonts w:ascii="Arial" w:cs="Arial" w:eastAsia="Arial" w:hAnsi="Arial"/>
          <w:sz w:val="17"/>
          <w:szCs w:val="17"/>
          <w:color w:val="auto"/>
        </w:rPr>
      </w:pPr>
    </w:p>
    <w:p>
      <w:pPr>
        <w:ind w:left="1120" w:hanging="492"/>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Adjusted EBITDA Margin is calculated by dividing Adjusted EBITDA by revenue for the applicable period.</w:t>
      </w:r>
    </w:p>
    <w:p>
      <w:pPr>
        <w:spacing w:after="0" w:line="7" w:lineRule="exact"/>
        <w:rPr>
          <w:rFonts w:ascii="Arial" w:cs="Arial" w:eastAsia="Arial" w:hAnsi="Arial"/>
          <w:sz w:val="17"/>
          <w:szCs w:val="17"/>
          <w:color w:val="auto"/>
        </w:rPr>
      </w:pPr>
    </w:p>
    <w:p>
      <w:pPr>
        <w:ind w:left="1120" w:right="20" w:hanging="492"/>
        <w:spacing w:after="0" w:line="257"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Adjusted Net (Loss) Income is defined as (loss) income from operations plus (i) acquisition-related depreciation and amortization (ii) stock-based compensation, (iii) acquisition-related expenses and (iv) other non-recurring adjustments.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00"/>
          </w:cols>
          <w:pgMar w:left="320" w:top="466" w:right="9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4371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66535" cy="437134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80" w:firstLine="399"/>
        <w:spacing w:after="0" w:line="272" w:lineRule="auto"/>
        <w:rPr>
          <w:sz w:val="20"/>
          <w:szCs w:val="20"/>
          <w:color w:val="auto"/>
        </w:rPr>
      </w:pPr>
      <w:r>
        <w:rPr>
          <w:rFonts w:ascii="Arial" w:cs="Arial" w:eastAsia="Arial" w:hAnsi="Arial"/>
          <w:sz w:val="17"/>
          <w:szCs w:val="17"/>
          <w:color w:val="auto"/>
        </w:rPr>
        <w:t>The following table provides a reconciliation of EBITDA and Adjusted EBITDA to net income (loss), their most directly comparable GAAP measure, for each of the periods presented:</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Adjusted EBITDA</w:t>
      </w:r>
    </w:p>
    <w:p>
      <w:pPr>
        <w:spacing w:after="0" w:line="26"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3"/>
                <w:szCs w:val="13"/>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3"/>
                <w:szCs w:val="13"/>
                <w:b w:val="1"/>
                <w:bCs w:val="1"/>
                <w:color w:val="auto"/>
                <w:w w:val="95"/>
              </w:rPr>
              <w:t>Period from</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Period from</w:t>
            </w:r>
          </w:p>
        </w:tc>
        <w:tc>
          <w:tcPr>
            <w:tcW w:w="0" w:type="dxa"/>
            <w:vAlign w:val="bottom"/>
          </w:tcPr>
          <w:p>
            <w:pPr>
              <w:spacing w:after="0"/>
              <w:rPr>
                <w:sz w:val="1"/>
                <w:szCs w:val="1"/>
                <w:color w:val="auto"/>
              </w:rPr>
            </w:pPr>
          </w:p>
        </w:tc>
      </w:tr>
      <w:tr>
        <w:trPr>
          <w:trHeight w:val="112"/>
        </w:trPr>
        <w:tc>
          <w:tcPr>
            <w:tcW w:w="268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400" w:type="dxa"/>
            <w:vAlign w:val="bottom"/>
          </w:tcPr>
          <w:p>
            <w:pPr>
              <w:spacing w:after="0"/>
              <w:rPr>
                <w:sz w:val="9"/>
                <w:szCs w:val="9"/>
                <w:color w:val="auto"/>
              </w:rPr>
            </w:pPr>
          </w:p>
        </w:tc>
        <w:tc>
          <w:tcPr>
            <w:tcW w:w="1260" w:type="dxa"/>
            <w:vAlign w:val="bottom"/>
            <w:tcBorders>
              <w:top w:val="single" w:sz="8" w:color="auto"/>
            </w:tcBorders>
            <w:gridSpan w:val="3"/>
          </w:tcPr>
          <w:p>
            <w:pPr>
              <w:spacing w:after="0" w:line="112" w:lineRule="exact"/>
              <w:rPr>
                <w:sz w:val="20"/>
                <w:szCs w:val="20"/>
                <w:color w:val="auto"/>
              </w:rPr>
            </w:pPr>
            <w:r>
              <w:rPr>
                <w:rFonts w:ascii="Arial" w:cs="Arial" w:eastAsia="Arial" w:hAnsi="Arial"/>
                <w:sz w:val="12"/>
                <w:szCs w:val="12"/>
                <w:b w:val="1"/>
                <w:bCs w:val="1"/>
                <w:color w:val="auto"/>
              </w:rPr>
              <w:t>September 30,</w:t>
            </w:r>
          </w:p>
        </w:tc>
        <w:tc>
          <w:tcPr>
            <w:tcW w:w="820" w:type="dxa"/>
            <w:vAlign w:val="bottom"/>
            <w:tcBorders>
              <w:top w:val="single" w:sz="8" w:color="auto"/>
            </w:tcBorders>
            <w:gridSpan w:val="2"/>
          </w:tcPr>
          <w:p>
            <w:pPr>
              <w:spacing w:after="0" w:line="112" w:lineRule="exact"/>
              <w:rPr>
                <w:sz w:val="20"/>
                <w:szCs w:val="20"/>
                <w:color w:val="auto"/>
              </w:rPr>
            </w:pPr>
            <w:r>
              <w:rPr>
                <w:rFonts w:ascii="Arial" w:cs="Arial" w:eastAsia="Arial" w:hAnsi="Arial"/>
                <w:sz w:val="12"/>
                <w:szCs w:val="12"/>
                <w:b w:val="1"/>
                <w:bCs w:val="1"/>
                <w:color w:val="auto"/>
                <w:w w:val="97"/>
              </w:rPr>
              <w:t>September 30,</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3"/>
          </w:tcPr>
          <w:p>
            <w:pPr>
              <w:spacing w:after="0" w:line="112" w:lineRule="exact"/>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Borders>
              <w:right w:val="single" w:sz="8" w:color="auto"/>
            </w:tcBorders>
            <w:gridSpan w:val="2"/>
          </w:tcPr>
          <w:p>
            <w:pPr>
              <w:jc w:val="center"/>
              <w:ind w:right="660"/>
              <w:spacing w:after="0" w:line="112" w:lineRule="exact"/>
              <w:rPr>
                <w:sz w:val="20"/>
                <w:szCs w:val="20"/>
                <w:color w:val="auto"/>
              </w:rPr>
            </w:pPr>
            <w:r>
              <w:rPr>
                <w:rFonts w:ascii="Arial" w:cs="Arial" w:eastAsia="Arial" w:hAnsi="Arial"/>
                <w:sz w:val="12"/>
                <w:szCs w:val="12"/>
                <w:b w:val="1"/>
                <w:bCs w:val="1"/>
                <w:color w:val="auto"/>
              </w:rPr>
              <w:t>July 16, 2019 to</w:t>
            </w:r>
          </w:p>
        </w:tc>
        <w:tc>
          <w:tcPr>
            <w:tcW w:w="220" w:type="dxa"/>
            <w:vAlign w:val="bottom"/>
          </w:tcPr>
          <w:p>
            <w:pPr>
              <w:spacing w:after="0"/>
              <w:rPr>
                <w:sz w:val="9"/>
                <w:szCs w:val="9"/>
                <w:color w:val="auto"/>
              </w:rPr>
            </w:pPr>
          </w:p>
        </w:tc>
        <w:tc>
          <w:tcPr>
            <w:tcW w:w="1280" w:type="dxa"/>
            <w:vAlign w:val="bottom"/>
            <w:gridSpan w:val="3"/>
          </w:tcPr>
          <w:p>
            <w:pPr>
              <w:ind w:left="20"/>
              <w:spacing w:after="0" w:line="112" w:lineRule="exact"/>
              <w:rPr>
                <w:sz w:val="20"/>
                <w:szCs w:val="20"/>
                <w:color w:val="auto"/>
              </w:rPr>
            </w:pPr>
            <w:r>
              <w:rPr>
                <w:rFonts w:ascii="Arial" w:cs="Arial" w:eastAsia="Arial" w:hAnsi="Arial"/>
                <w:sz w:val="12"/>
                <w:szCs w:val="12"/>
                <w:b w:val="1"/>
                <w:bCs w:val="1"/>
                <w:color w:val="auto"/>
              </w:rPr>
              <w:t>January 1, 2019 to</w:t>
            </w:r>
          </w:p>
        </w:tc>
        <w:tc>
          <w:tcPr>
            <w:tcW w:w="0" w:type="dxa"/>
            <w:vAlign w:val="bottom"/>
          </w:tcPr>
          <w:p>
            <w:pPr>
              <w:spacing w:after="0"/>
              <w:rPr>
                <w:sz w:val="1"/>
                <w:szCs w:val="1"/>
                <w:color w:val="auto"/>
              </w:rPr>
            </w:pPr>
          </w:p>
        </w:tc>
      </w:tr>
      <w:tr>
        <w:trPr>
          <w:trHeight w:val="160"/>
        </w:trPr>
        <w:tc>
          <w:tcPr>
            <w:tcW w:w="26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8"/>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3"/>
                <w:szCs w:val="13"/>
                <w:b w:val="1"/>
                <w:bCs w:val="1"/>
                <w:color w:val="auto"/>
                <w:w w:val="92"/>
              </w:rPr>
              <w:t>December 31, 2019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7"/>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(46,493)</w:t>
            </w:r>
          </w:p>
        </w:tc>
        <w:tc>
          <w:tcPr>
            <w:tcW w:w="4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(35,295)</w:t>
            </w: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(51,157)</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560" w:type="dxa"/>
            <w:vAlign w:val="bottom"/>
            <w:tcBorders>
              <w:top w:val="single" w:sz="8" w:color="CCEEFF"/>
              <w:right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23,956</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27,802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36,490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18,204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5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Loss from extinguishment of debt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9,873</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intangible assets</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43,517</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43,498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58,428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30,617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EBITDA</w:t>
            </w: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8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32,046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36,822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44,913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5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15,498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line="203" w:lineRule="exact"/>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23"/>
                <w:szCs w:val="23"/>
                <w:color w:val="auto"/>
                <w:vertAlign w:val="superscript"/>
              </w:rPr>
              <w:t>(a)</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(143)</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spacing w:after="0" w:line="202" w:lineRule="exact"/>
              <w:rPr>
                <w:sz w:val="20"/>
                <w:szCs w:val="20"/>
                <w:color w:val="auto"/>
              </w:rPr>
            </w:pPr>
            <w:r>
              <w:rPr>
                <w:rFonts w:ascii="Arial" w:cs="Arial" w:eastAsia="Arial" w:hAnsi="Arial"/>
                <w:sz w:val="17"/>
                <w:szCs w:val="17"/>
                <w:color w:val="auto"/>
              </w:rPr>
              <w:t xml:space="preserve">Equity compensation costs </w:t>
            </w:r>
            <w:r>
              <w:rPr>
                <w:rFonts w:ascii="Arial" w:cs="Arial" w:eastAsia="Arial" w:hAnsi="Arial"/>
                <w:sz w:val="23"/>
                <w:szCs w:val="23"/>
                <w:color w:val="auto"/>
                <w:vertAlign w:val="superscript"/>
              </w:rPr>
              <w:t>(b)</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4,338</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1,330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1,747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744</w:t>
            </w:r>
          </w:p>
        </w:tc>
        <w:tc>
          <w:tcPr>
            <w:tcW w:w="5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line="202" w:lineRule="exact"/>
              <w:rPr>
                <w:sz w:val="20"/>
                <w:szCs w:val="20"/>
                <w:color w:val="auto"/>
              </w:rPr>
            </w:pPr>
            <w:r>
              <w:rPr>
                <w:rFonts w:ascii="Arial" w:cs="Arial" w:eastAsia="Arial" w:hAnsi="Arial"/>
                <w:sz w:val="17"/>
                <w:szCs w:val="17"/>
                <w:color w:val="auto"/>
              </w:rPr>
              <w:t xml:space="preserve">Acquisition related expenses </w:t>
            </w:r>
            <w:r>
              <w:rPr>
                <w:rFonts w:ascii="Arial" w:cs="Arial" w:eastAsia="Arial" w:hAnsi="Arial"/>
                <w:sz w:val="23"/>
                <w:szCs w:val="23"/>
                <w:color w:val="auto"/>
                <w:vertAlign w:val="superscript"/>
              </w:rPr>
              <w:t>(c)</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3,332</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14,703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60" w:type="dxa"/>
            <w:vAlign w:val="bottom"/>
            <w:gridSpan w:val="2"/>
          </w:tcPr>
          <w:p>
            <w:pPr>
              <w:spacing w:after="0" w:line="188" w:lineRule="exact"/>
              <w:rPr>
                <w:sz w:val="20"/>
                <w:szCs w:val="20"/>
                <w:color w:val="auto"/>
              </w:rPr>
            </w:pPr>
            <w:r>
              <w:rPr>
                <w:rFonts w:ascii="Arial" w:cs="Arial" w:eastAsia="Arial" w:hAnsi="Arial"/>
                <w:sz w:val="17"/>
                <w:szCs w:val="17"/>
                <w:color w:val="auto"/>
              </w:rPr>
              <w:t>Non-recurring and one-time</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gridSpan w:val="2"/>
          </w:tcPr>
          <w:p>
            <w:pPr>
              <w:ind w:left="140"/>
              <w:spacing w:after="0" w:line="218"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3"/>
                <w:szCs w:val="23"/>
                <w:color w:val="auto"/>
                <w:vertAlign w:val="superscript"/>
              </w:rPr>
              <w:t>(d)</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3,313</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3,193</w:t>
            </w:r>
          </w:p>
        </w:tc>
        <w:tc>
          <w:tcPr>
            <w:tcW w:w="5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Adjusted EBITDA</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42,886</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40,704</w:t>
            </w:r>
          </w:p>
        </w:tc>
        <w:tc>
          <w:tcPr>
            <w:tcW w:w="3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53,505</w:t>
            </w:r>
          </w:p>
        </w:tc>
        <w:tc>
          <w:tcPr>
            <w:tcW w:w="3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18,651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119,841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84,659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118,317</w:t>
            </w:r>
          </w:p>
        </w:tc>
        <w:tc>
          <w:tcPr>
            <w:tcW w:w="3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40,045</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Adjusted EBITDA Margin</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20" w:hanging="39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8" w:lineRule="exact"/>
        <w:rPr>
          <w:rFonts w:ascii="Arial" w:cs="Arial" w:eastAsia="Arial" w:hAnsi="Arial"/>
          <w:sz w:val="17"/>
          <w:szCs w:val="17"/>
          <w:color w:val="auto"/>
        </w:rPr>
      </w:pPr>
    </w:p>
    <w:p>
      <w:pPr>
        <w:ind w:left="1020" w:right="140" w:hanging="392"/>
        <w:spacing w:after="0" w:line="24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Equity compensation costs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20" w:right="640" w:hanging="392"/>
        <w:spacing w:after="0" w:line="24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Acquisition related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20" w:right="20" w:hanging="392"/>
        <w:spacing w:after="0" w:line="250"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20"/>
          </w:cols>
          <w:pgMar w:left="320" w:top="466" w:right="9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5835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66535" cy="583501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20" w:right="780" w:firstLine="399"/>
        <w:spacing w:after="0" w:line="272" w:lineRule="auto"/>
        <w:rPr>
          <w:sz w:val="20"/>
          <w:szCs w:val="20"/>
          <w:color w:val="auto"/>
        </w:rPr>
      </w:pPr>
      <w:r>
        <w:rPr>
          <w:rFonts w:ascii="Arial" w:cs="Arial" w:eastAsia="Arial" w:hAnsi="Arial"/>
          <w:sz w:val="17"/>
          <w:szCs w:val="17"/>
          <w:color w:val="auto"/>
        </w:rPr>
        <w:t>The following table provides a reconciliation of Adjusted Gross Profit and Adjusted Gross Margin to gross profit, its most directly comparable GAAP measure, for each of the periods presented:</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4"/>
            <w:vMerge w:val="restart"/>
          </w:tcPr>
          <w:p>
            <w:pPr>
              <w:jc w:val="center"/>
              <w:ind w:left="207"/>
              <w:spacing w:after="0"/>
              <w:rPr>
                <w:sz w:val="20"/>
                <w:szCs w:val="20"/>
                <w:color w:val="auto"/>
              </w:rPr>
            </w:pPr>
            <w:r>
              <w:rPr>
                <w:rFonts w:ascii="Arial" w:cs="Arial" w:eastAsia="Arial" w:hAnsi="Arial"/>
                <w:sz w:val="13"/>
                <w:szCs w:val="13"/>
                <w:b w:val="1"/>
                <w:bCs w:val="1"/>
                <w:color w:val="auto"/>
                <w:w w:val="96"/>
              </w:rPr>
              <w:t>Definitive OpCo</w:t>
            </w: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jc w:val="center"/>
              <w:ind w:left="207"/>
              <w:spacing w:after="0" w:line="139" w:lineRule="exact"/>
              <w:rPr>
                <w:sz w:val="20"/>
                <w:szCs w:val="20"/>
                <w:color w:val="auto"/>
              </w:rPr>
            </w:pPr>
            <w:r>
              <w:rPr>
                <w:rFonts w:ascii="Arial" w:cs="Arial" w:eastAsia="Arial" w:hAnsi="Arial"/>
                <w:sz w:val="13"/>
                <w:szCs w:val="13"/>
                <w:b w:val="1"/>
                <w:bCs w:val="1"/>
                <w:color w:val="auto"/>
              </w:rPr>
              <w:t>(AIDH TopCo, LLC)</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jc w:val="center"/>
              <w:ind w:left="227"/>
              <w:spacing w:after="0"/>
              <w:rPr>
                <w:sz w:val="20"/>
                <w:szCs w:val="20"/>
                <w:color w:val="auto"/>
              </w:rPr>
            </w:pPr>
            <w:r>
              <w:rPr>
                <w:rFonts w:ascii="Arial" w:cs="Arial" w:eastAsia="Arial" w:hAnsi="Arial"/>
                <w:sz w:val="13"/>
                <w:szCs w:val="13"/>
                <w:b w:val="1"/>
                <w:bCs w:val="1"/>
                <w:color w:val="auto"/>
                <w:w w:val="90"/>
              </w:rPr>
              <w:t>Successor Company</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0"/>
              </w:rPr>
              <w:t>Predecessor Company</w:t>
            </w:r>
          </w:p>
        </w:tc>
        <w:tc>
          <w:tcPr>
            <w:tcW w:w="0" w:type="dxa"/>
            <w:vAlign w:val="bottom"/>
          </w:tcPr>
          <w:p>
            <w:pPr>
              <w:spacing w:after="0"/>
              <w:rPr>
                <w:sz w:val="1"/>
                <w:szCs w:val="1"/>
                <w:color w:val="auto"/>
              </w:rPr>
            </w:pPr>
          </w:p>
        </w:tc>
      </w:tr>
      <w:tr>
        <w:trPr>
          <w:trHeight w:val="124"/>
        </w:trPr>
        <w:tc>
          <w:tcPr>
            <w:tcW w:w="10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gridSpan w:val="6"/>
          </w:tcPr>
          <w:p>
            <w:pPr>
              <w:jc w:val="right"/>
              <w:ind w:right="860"/>
              <w:spacing w:after="0" w:line="124" w:lineRule="exact"/>
              <w:rPr>
                <w:sz w:val="20"/>
                <w:szCs w:val="20"/>
                <w:color w:val="auto"/>
              </w:rPr>
            </w:pPr>
            <w:r>
              <w:rPr>
                <w:rFonts w:ascii="Arial" w:cs="Arial" w:eastAsia="Arial" w:hAnsi="Arial"/>
                <w:sz w:val="13"/>
                <w:szCs w:val="13"/>
                <w:b w:val="1"/>
                <w:bCs w:val="1"/>
                <w:color w:val="auto"/>
              </w:rPr>
              <w:t>Nine Months Ended</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ind w:left="80"/>
              <w:spacing w:after="0" w:line="124" w:lineRule="exact"/>
              <w:rPr>
                <w:sz w:val="20"/>
                <w:szCs w:val="20"/>
                <w:color w:val="auto"/>
              </w:rPr>
            </w:pPr>
            <w:r>
              <w:rPr>
                <w:rFonts w:ascii="Arial" w:cs="Arial" w:eastAsia="Arial" w:hAnsi="Arial"/>
                <w:sz w:val="13"/>
                <w:szCs w:val="13"/>
                <w:b w:val="1"/>
                <w:bCs w:val="1"/>
                <w:color w:val="auto"/>
              </w:rPr>
              <w:t>Year ended</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146"/>
              <w:spacing w:after="0" w:line="124" w:lineRule="exact"/>
              <w:rPr>
                <w:sz w:val="20"/>
                <w:szCs w:val="20"/>
                <w:color w:val="auto"/>
              </w:rPr>
            </w:pPr>
            <w:r>
              <w:rPr>
                <w:rFonts w:ascii="Arial" w:cs="Arial" w:eastAsia="Arial" w:hAnsi="Arial"/>
                <w:sz w:val="13"/>
                <w:szCs w:val="13"/>
                <w:b w:val="1"/>
                <w:bCs w:val="1"/>
                <w:color w:val="auto"/>
              </w:rPr>
              <w:t>Period from</w:t>
            </w:r>
          </w:p>
        </w:tc>
        <w:tc>
          <w:tcPr>
            <w:tcW w:w="3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47"/>
              <w:spacing w:after="0" w:line="124" w:lineRule="exact"/>
              <w:rPr>
                <w:sz w:val="20"/>
                <w:szCs w:val="20"/>
                <w:color w:val="auto"/>
              </w:rPr>
            </w:pPr>
            <w:r>
              <w:rPr>
                <w:rFonts w:ascii="Arial" w:cs="Arial" w:eastAsia="Arial" w:hAnsi="Arial"/>
                <w:sz w:val="13"/>
                <w:szCs w:val="13"/>
                <w:b w:val="1"/>
                <w:bCs w:val="1"/>
                <w:color w:val="auto"/>
                <w:w w:val="95"/>
              </w:rPr>
              <w:t>Period from</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460" w:type="dxa"/>
            <w:vAlign w:val="bottom"/>
            <w:gridSpan w:val="2"/>
            <w:vMerge w:val="restart"/>
          </w:tcPr>
          <w:p>
            <w:pPr>
              <w:spacing w:after="0"/>
              <w:rPr>
                <w:sz w:val="20"/>
                <w:szCs w:val="20"/>
                <w:color w:val="auto"/>
              </w:rPr>
            </w:pPr>
            <w:r>
              <w:rPr>
                <w:rFonts w:ascii="Arial" w:cs="Arial" w:eastAsia="Arial" w:hAnsi="Arial"/>
                <w:sz w:val="13"/>
                <w:szCs w:val="13"/>
                <w:color w:val="auto"/>
              </w:rPr>
              <w:t>(in thousands)</w:t>
            </w:r>
          </w:p>
        </w:tc>
        <w:tc>
          <w:tcPr>
            <w:tcW w:w="380" w:type="dxa"/>
            <w:vAlign w:val="bottom"/>
          </w:tcPr>
          <w:p>
            <w:pPr>
              <w:spacing w:after="0"/>
              <w:rPr>
                <w:sz w:val="12"/>
                <w:szCs w:val="12"/>
                <w:color w:val="auto"/>
              </w:rPr>
            </w:pPr>
          </w:p>
        </w:tc>
        <w:tc>
          <w:tcPr>
            <w:tcW w:w="11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2"/>
                <w:szCs w:val="12"/>
                <w:color w:val="auto"/>
              </w:rPr>
            </w:pPr>
          </w:p>
        </w:tc>
        <w:tc>
          <w:tcPr>
            <w:tcW w:w="11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2"/>
                <w:szCs w:val="12"/>
                <w:color w:val="auto"/>
              </w:rPr>
            </w:pPr>
          </w:p>
        </w:tc>
        <w:tc>
          <w:tcPr>
            <w:tcW w:w="10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right w:val="single" w:sz="8" w:color="auto"/>
            </w:tcBorders>
            <w:gridSpan w:val="2"/>
          </w:tcPr>
          <w:p>
            <w:pPr>
              <w:jc w:val="right"/>
              <w:ind w:right="46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24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3"/>
                <w:szCs w:val="13"/>
                <w:color w:val="auto"/>
              </w:rPr>
            </w:pPr>
          </w:p>
        </w:tc>
        <w:tc>
          <w:tcPr>
            <w:tcW w:w="1000" w:type="dxa"/>
            <w:vAlign w:val="bottom"/>
            <w:gridSpan w:val="3"/>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2019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83"/>
        </w:trPr>
        <w:tc>
          <w:tcPr>
            <w:tcW w:w="2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Reported gross profit</w:t>
            </w: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90,050</w:t>
            </w: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62,505</w:t>
            </w: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87,849</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26,763</w:t>
            </w:r>
          </w:p>
        </w:tc>
        <w:tc>
          <w:tcPr>
            <w:tcW w:w="360" w:type="dxa"/>
            <w:vAlign w:val="bottom"/>
            <w:tcBorders>
              <w:top w:val="single" w:sz="8" w:color="CCEEFF"/>
              <w:right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40,130</w:t>
            </w: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6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60" w:type="dxa"/>
            <w:vAlign w:val="bottom"/>
            <w:gridSpan w:val="2"/>
          </w:tcPr>
          <w:p>
            <w:pPr>
              <w:ind w:left="140"/>
              <w:spacing w:after="0"/>
              <w:rPr>
                <w:sz w:val="20"/>
                <w:szCs w:val="20"/>
                <w:color w:val="auto"/>
              </w:rPr>
            </w:pPr>
            <w:r>
              <w:rPr>
                <w:rFonts w:ascii="Arial" w:cs="Arial" w:eastAsia="Arial" w:hAnsi="Arial"/>
                <w:sz w:val="15"/>
                <w:szCs w:val="15"/>
                <w:color w:val="auto"/>
              </w:rPr>
              <w:t>resulting from acquisition-related</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gridSpan w:val="2"/>
          </w:tcPr>
          <w:p>
            <w:pPr>
              <w:ind w:left="140"/>
              <w:spacing w:after="0" w:line="198" w:lineRule="exact"/>
              <w:rPr>
                <w:sz w:val="20"/>
                <w:szCs w:val="20"/>
                <w:color w:val="auto"/>
              </w:rPr>
            </w:pPr>
            <w:r>
              <w:rPr>
                <w:rFonts w:ascii="Arial" w:cs="Arial" w:eastAsia="Arial" w:hAnsi="Arial"/>
                <w:sz w:val="15"/>
                <w:szCs w:val="15"/>
                <w:color w:val="auto"/>
                <w:w w:val="93"/>
              </w:rPr>
              <w:t xml:space="preserve">purchase accounting adjustments </w:t>
            </w:r>
            <w:r>
              <w:rPr>
                <w:rFonts w:ascii="Arial" w:cs="Arial" w:eastAsia="Arial" w:hAnsi="Arial"/>
                <w:sz w:val="21"/>
                <w:szCs w:val="21"/>
                <w:color w:val="auto"/>
                <w:w w:val="93"/>
                <w:vertAlign w:val="superscript"/>
              </w:rPr>
              <w:t>(a)</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15,125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14,175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19,169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8,602</w:t>
            </w:r>
          </w:p>
        </w:tc>
        <w:tc>
          <w:tcPr>
            <w:tcW w:w="3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498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compensation costs</w:t>
            </w:r>
          </w:p>
        </w:tc>
        <w:tc>
          <w:tcPr>
            <w:tcW w:w="3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36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gridSpan w:val="2"/>
          </w:tcPr>
          <w:p>
            <w:pPr>
              <w:spacing w:after="0"/>
              <w:rPr>
                <w:sz w:val="20"/>
                <w:szCs w:val="20"/>
                <w:color w:val="auto"/>
              </w:rPr>
            </w:pPr>
            <w:r>
              <w:rPr>
                <w:rFonts w:ascii="Arial" w:cs="Arial" w:eastAsia="Arial" w:hAnsi="Arial"/>
                <w:sz w:val="15"/>
                <w:szCs w:val="15"/>
                <w:b w:val="1"/>
                <w:bCs w:val="1"/>
                <w:color w:val="auto"/>
              </w:rPr>
              <w:t>Adjusted Gross Profit</w:t>
            </w:r>
          </w:p>
        </w:tc>
        <w:tc>
          <w:tcPr>
            <w:tcW w:w="56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105,254</w:t>
            </w:r>
          </w:p>
        </w:tc>
        <w:tc>
          <w:tcPr>
            <w:tcW w:w="340" w:type="dxa"/>
            <w:vAlign w:val="bottom"/>
          </w:tcPr>
          <w:p>
            <w:pPr>
              <w:spacing w:after="0"/>
              <w:rPr>
                <w:sz w:val="16"/>
                <w:szCs w:val="16"/>
                <w:color w:val="auto"/>
              </w:rPr>
            </w:pPr>
          </w:p>
        </w:tc>
        <w:tc>
          <w:tcPr>
            <w:tcW w:w="40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76,726</w:t>
            </w:r>
          </w:p>
        </w:tc>
        <w:tc>
          <w:tcPr>
            <w:tcW w:w="34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107,080</w:t>
            </w:r>
          </w:p>
        </w:tc>
        <w:tc>
          <w:tcPr>
            <w:tcW w:w="220" w:type="dxa"/>
            <w:vAlign w:val="bottom"/>
          </w:tcPr>
          <w:p>
            <w:pPr>
              <w:spacing w:after="0"/>
              <w:rPr>
                <w:sz w:val="16"/>
                <w:szCs w:val="16"/>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35,393</w:t>
            </w:r>
          </w:p>
        </w:tc>
        <w:tc>
          <w:tcPr>
            <w:tcW w:w="360" w:type="dxa"/>
            <w:vAlign w:val="bottom"/>
            <w:tcBorders>
              <w:right w:val="single" w:sz="8" w:color="auto"/>
            </w:tcBorders>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40,884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119,841</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84,659</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118,317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40,045</w:t>
            </w:r>
          </w:p>
        </w:tc>
        <w:tc>
          <w:tcPr>
            <w:tcW w:w="36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45,458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60" w:type="dxa"/>
            <w:vAlign w:val="bottom"/>
            <w:gridSpan w:val="2"/>
          </w:tcPr>
          <w:p>
            <w:pPr>
              <w:spacing w:after="0"/>
              <w:rPr>
                <w:sz w:val="20"/>
                <w:szCs w:val="20"/>
                <w:color w:val="auto"/>
              </w:rPr>
            </w:pPr>
            <w:r>
              <w:rPr>
                <w:rFonts w:ascii="Arial" w:cs="Arial" w:eastAsia="Arial" w:hAnsi="Arial"/>
                <w:sz w:val="15"/>
                <w:szCs w:val="15"/>
                <w:b w:val="1"/>
                <w:bCs w:val="1"/>
                <w:color w:val="auto"/>
              </w:rPr>
              <w:t>Adjusted Gross Margin</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88%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91%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91%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88%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120" w:right="80" w:hanging="492"/>
        <w:spacing w:after="0" w:line="272" w:lineRule="auto"/>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table presents a reconciliation of (Loss) Income from Operations to Adjusted Operating Income for the periods presented:</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4"/>
            <w:vMerge w:val="restart"/>
          </w:tcPr>
          <w:p>
            <w:pPr>
              <w:jc w:val="center"/>
              <w:ind w:left="347"/>
              <w:spacing w:after="0"/>
              <w:rPr>
                <w:sz w:val="20"/>
                <w:szCs w:val="20"/>
                <w:color w:val="auto"/>
              </w:rPr>
            </w:pPr>
            <w:r>
              <w:rPr>
                <w:rFonts w:ascii="Arial" w:cs="Arial" w:eastAsia="Arial" w:hAnsi="Arial"/>
                <w:sz w:val="13"/>
                <w:szCs w:val="13"/>
                <w:b w:val="1"/>
                <w:bCs w:val="1"/>
                <w:color w:val="auto"/>
                <w:w w:val="96"/>
              </w:rPr>
              <w:t>Definitive OpCo</w:t>
            </w: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6"/>
          </w:tcPr>
          <w:p>
            <w:pPr>
              <w:jc w:val="center"/>
              <w:ind w:right="340"/>
              <w:spacing w:after="0" w:line="139" w:lineRule="exact"/>
              <w:rPr>
                <w:sz w:val="20"/>
                <w:szCs w:val="20"/>
                <w:color w:val="auto"/>
              </w:rPr>
            </w:pPr>
            <w:r>
              <w:rPr>
                <w:rFonts w:ascii="Arial" w:cs="Arial" w:eastAsia="Arial" w:hAnsi="Arial"/>
                <w:sz w:val="13"/>
                <w:szCs w:val="13"/>
                <w:b w:val="1"/>
                <w:bCs w:val="1"/>
                <w:color w:val="auto"/>
              </w:rPr>
              <w:t>(AIDH TopCo,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tcPr>
          <w:p>
            <w:pPr>
              <w:jc w:val="center"/>
              <w:ind w:right="4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3"/>
                <w:szCs w:val="13"/>
                <w:b w:val="1"/>
                <w:bCs w:val="1"/>
                <w:color w:val="auto"/>
                <w:w w:val="90"/>
              </w:rPr>
              <w:t>Successor Company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0"/>
              </w:rPr>
              <w:t>Predecessor Company</w:t>
            </w:r>
          </w:p>
        </w:tc>
        <w:tc>
          <w:tcPr>
            <w:tcW w:w="0" w:type="dxa"/>
            <w:vAlign w:val="bottom"/>
          </w:tcPr>
          <w:p>
            <w:pPr>
              <w:spacing w:after="0"/>
              <w:rPr>
                <w:sz w:val="1"/>
                <w:szCs w:val="1"/>
                <w:color w:val="auto"/>
              </w:rPr>
            </w:pPr>
          </w:p>
        </w:tc>
      </w:tr>
      <w:tr>
        <w:trPr>
          <w:trHeight w:val="124"/>
        </w:trPr>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300" w:type="dxa"/>
            <w:vAlign w:val="bottom"/>
            <w:tcBorders>
              <w:top w:val="single" w:sz="8" w:color="auto"/>
            </w:tcBorders>
            <w:gridSpan w:val="6"/>
          </w:tcPr>
          <w:p>
            <w:pPr>
              <w:ind w:left="340"/>
              <w:spacing w:after="0" w:line="124" w:lineRule="exact"/>
              <w:rPr>
                <w:sz w:val="20"/>
                <w:szCs w:val="20"/>
                <w:color w:val="auto"/>
              </w:rPr>
            </w:pPr>
            <w:r>
              <w:rPr>
                <w:rFonts w:ascii="Arial" w:cs="Arial" w:eastAsia="Arial" w:hAnsi="Arial"/>
                <w:sz w:val="13"/>
                <w:szCs w:val="13"/>
                <w:b w:val="1"/>
                <w:bCs w:val="1"/>
                <w:color w:val="auto"/>
              </w:rPr>
              <w:t>Nine Months Ended</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ind w:left="80"/>
              <w:spacing w:after="0" w:line="124" w:lineRule="exact"/>
              <w:rPr>
                <w:sz w:val="20"/>
                <w:szCs w:val="20"/>
                <w:color w:val="auto"/>
              </w:rPr>
            </w:pPr>
            <w:r>
              <w:rPr>
                <w:rFonts w:ascii="Arial" w:cs="Arial" w:eastAsia="Arial" w:hAnsi="Arial"/>
                <w:sz w:val="13"/>
                <w:szCs w:val="13"/>
                <w:b w:val="1"/>
                <w:bCs w:val="1"/>
                <w:color w:val="auto"/>
              </w:rPr>
              <w:t>Year ended</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Period from</w:t>
            </w:r>
          </w:p>
        </w:tc>
        <w:tc>
          <w:tcPr>
            <w:tcW w:w="3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7"/>
              <w:spacing w:after="0" w:line="124" w:lineRule="exact"/>
              <w:rPr>
                <w:sz w:val="20"/>
                <w:szCs w:val="20"/>
                <w:color w:val="auto"/>
              </w:rPr>
            </w:pPr>
            <w:r>
              <w:rPr>
                <w:rFonts w:ascii="Arial" w:cs="Arial" w:eastAsia="Arial" w:hAnsi="Arial"/>
                <w:sz w:val="13"/>
                <w:szCs w:val="13"/>
                <w:b w:val="1"/>
                <w:bCs w:val="1"/>
                <w:color w:val="auto"/>
                <w:w w:val="95"/>
              </w:rPr>
              <w:t>Period from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02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20" w:type="dxa"/>
            <w:vAlign w:val="bottom"/>
          </w:tcPr>
          <w:p>
            <w:pPr>
              <w:spacing w:after="0"/>
              <w:rPr>
                <w:sz w:val="12"/>
                <w:szCs w:val="12"/>
                <w:color w:val="auto"/>
              </w:rPr>
            </w:pPr>
          </w:p>
        </w:tc>
        <w:tc>
          <w:tcPr>
            <w:tcW w:w="11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2"/>
                <w:szCs w:val="12"/>
                <w:color w:val="auto"/>
              </w:rPr>
            </w:pPr>
          </w:p>
        </w:tc>
        <w:tc>
          <w:tcPr>
            <w:tcW w:w="9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30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06"/>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7"/>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2019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July 15, 2019</w:t>
            </w:r>
          </w:p>
        </w:tc>
        <w:tc>
          <w:tcPr>
            <w:tcW w:w="0" w:type="dxa"/>
            <w:vAlign w:val="bottom"/>
          </w:tcPr>
          <w:p>
            <w:pPr>
              <w:spacing w:after="0"/>
              <w:rPr>
                <w:sz w:val="1"/>
                <w:szCs w:val="1"/>
                <w:color w:val="auto"/>
              </w:rPr>
            </w:pPr>
          </w:p>
        </w:tc>
      </w:tr>
      <w:tr>
        <w:trPr>
          <w:trHeight w:val="183"/>
        </w:trPr>
        <w:tc>
          <w:tcPr>
            <w:tcW w:w="2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(Loss) income from operations</w:t>
            </w: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(12,807)</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(7,493)</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(14,445)</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(31,062)</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13,033</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20" w:type="dxa"/>
            <w:vAlign w:val="bottom"/>
            <w:gridSpan w:val="3"/>
          </w:tcPr>
          <w:p>
            <w:pPr>
              <w:spacing w:after="0" w:line="190" w:lineRule="exact"/>
              <w:rPr>
                <w:sz w:val="20"/>
                <w:szCs w:val="20"/>
                <w:color w:val="auto"/>
              </w:rPr>
            </w:pPr>
            <w:r>
              <w:rPr>
                <w:rFonts w:ascii="Arial" w:cs="Arial" w:eastAsia="Arial" w:hAnsi="Arial"/>
                <w:sz w:val="15"/>
                <w:szCs w:val="15"/>
                <w:color w:val="auto"/>
              </w:rPr>
              <w:t>Amortization of intangible assets</w:t>
            </w:r>
            <w:r>
              <w:rPr>
                <w:rFonts w:ascii="Arial" w:cs="Arial" w:eastAsia="Arial" w:hAnsi="Arial"/>
                <w:sz w:val="21"/>
                <w:szCs w:val="21"/>
                <w:color w:val="auto"/>
                <w:vertAlign w:val="superscript"/>
              </w:rPr>
              <w:t>(a)</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42,746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43,395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58,214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30,605</w:t>
            </w: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20" w:type="dxa"/>
            <w:vAlign w:val="bottom"/>
            <w:gridSpan w:val="3"/>
            <w:shd w:val="clear" w:color="auto" w:fill="CCEEFF"/>
          </w:tcPr>
          <w:p>
            <w:pPr>
              <w:spacing w:after="0" w:line="190" w:lineRule="exact"/>
              <w:rPr>
                <w:sz w:val="20"/>
                <w:szCs w:val="20"/>
                <w:color w:val="auto"/>
              </w:rPr>
            </w:pPr>
            <w:r>
              <w:rPr>
                <w:rFonts w:ascii="Arial" w:cs="Arial" w:eastAsia="Arial" w:hAnsi="Arial"/>
                <w:sz w:val="15"/>
                <w:szCs w:val="15"/>
                <w:color w:val="auto"/>
              </w:rPr>
              <w:t>Equity compensation costs</w:t>
            </w:r>
            <w:r>
              <w:rPr>
                <w:rFonts w:ascii="Arial" w:cs="Arial" w:eastAsia="Arial" w:hAnsi="Arial"/>
                <w:sz w:val="21"/>
                <w:szCs w:val="21"/>
                <w:color w:val="auto"/>
                <w:vertAlign w:val="superscript"/>
              </w:rPr>
              <w:t>(b)</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4,338</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20" w:type="dxa"/>
            <w:vAlign w:val="bottom"/>
            <w:gridSpan w:val="3"/>
          </w:tcPr>
          <w:p>
            <w:pPr>
              <w:spacing w:after="0" w:line="190" w:lineRule="exact"/>
              <w:rPr>
                <w:sz w:val="20"/>
                <w:szCs w:val="20"/>
                <w:color w:val="auto"/>
              </w:rPr>
            </w:pPr>
            <w:r>
              <w:rPr>
                <w:rFonts w:ascii="Arial" w:cs="Arial" w:eastAsia="Arial" w:hAnsi="Arial"/>
                <w:sz w:val="15"/>
                <w:szCs w:val="15"/>
                <w:color w:val="auto"/>
              </w:rPr>
              <w:t>Acquisition-related expenses</w:t>
            </w:r>
            <w:r>
              <w:rPr>
                <w:rFonts w:ascii="Arial" w:cs="Arial" w:eastAsia="Arial" w:hAnsi="Arial"/>
                <w:sz w:val="21"/>
                <w:szCs w:val="21"/>
                <w:color w:val="auto"/>
                <w:vertAlign w:val="superscript"/>
              </w:rPr>
              <w:t>(c)</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3,332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748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3,776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14,703</w:t>
            </w: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20" w:type="dxa"/>
            <w:vAlign w:val="bottom"/>
            <w:gridSpan w:val="3"/>
            <w:shd w:val="clear" w:color="auto" w:fill="CCEEFF"/>
          </w:tcPr>
          <w:p>
            <w:pPr>
              <w:spacing w:after="0" w:line="190" w:lineRule="exact"/>
              <w:rPr>
                <w:sz w:val="20"/>
                <w:szCs w:val="20"/>
                <w:color w:val="auto"/>
              </w:rPr>
            </w:pPr>
            <w:r>
              <w:rPr>
                <w:rFonts w:ascii="Arial" w:cs="Arial" w:eastAsia="Arial" w:hAnsi="Arial"/>
                <w:sz w:val="15"/>
                <w:szCs w:val="15"/>
                <w:color w:val="auto"/>
              </w:rPr>
              <w:t>Other non-recurring adjustments</w:t>
            </w:r>
            <w:r>
              <w:rPr>
                <w:rFonts w:ascii="Arial" w:cs="Arial" w:eastAsia="Arial" w:hAnsi="Arial"/>
                <w:sz w:val="21"/>
                <w:szCs w:val="21"/>
                <w:color w:val="auto"/>
                <w:vertAlign w:val="superscript"/>
              </w:rPr>
              <w:t>(d)</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3,313</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1,804</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w:t>
            </w:r>
          </w:p>
        </w:tc>
        <w:tc>
          <w:tcPr>
            <w:tcW w:w="30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20" w:type="dxa"/>
            <w:vAlign w:val="bottom"/>
            <w:gridSpan w:val="3"/>
          </w:tcPr>
          <w:p>
            <w:pPr>
              <w:spacing w:after="0"/>
              <w:rPr>
                <w:sz w:val="20"/>
                <w:szCs w:val="20"/>
                <w:color w:val="auto"/>
              </w:rPr>
            </w:pPr>
            <w:r>
              <w:rPr>
                <w:rFonts w:ascii="Arial" w:cs="Arial" w:eastAsia="Arial" w:hAnsi="Arial"/>
                <w:sz w:val="15"/>
                <w:szCs w:val="15"/>
                <w:b w:val="1"/>
                <w:bCs w:val="1"/>
                <w:color w:val="auto"/>
              </w:rPr>
              <w:t>Adjusted Operating Income</w:t>
            </w:r>
          </w:p>
        </w:tc>
        <w:tc>
          <w:tcPr>
            <w:tcW w:w="180" w:type="dxa"/>
            <w:vAlign w:val="bottom"/>
            <w:gridSpan w:val="2"/>
          </w:tcPr>
          <w:p>
            <w:pPr>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40,922</w:t>
            </w:r>
          </w:p>
        </w:tc>
        <w:tc>
          <w:tcPr>
            <w:tcW w:w="300" w:type="dxa"/>
            <w:vAlign w:val="bottom"/>
          </w:tcPr>
          <w:p>
            <w:pPr>
              <w:spacing w:after="0"/>
              <w:rPr>
                <w:sz w:val="16"/>
                <w:szCs w:val="16"/>
                <w:color w:val="auto"/>
              </w:rPr>
            </w:pPr>
          </w:p>
        </w:tc>
        <w:tc>
          <w:tcPr>
            <w:tcW w:w="42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39,784</w:t>
            </w:r>
          </w:p>
        </w:tc>
        <w:tc>
          <w:tcPr>
            <w:tcW w:w="300" w:type="dxa"/>
            <w:vAlign w:val="bottom"/>
          </w:tcPr>
          <w:p>
            <w:pPr>
              <w:spacing w:after="0"/>
              <w:rPr>
                <w:sz w:val="16"/>
                <w:szCs w:val="16"/>
                <w:color w:val="auto"/>
              </w:rPr>
            </w:pPr>
          </w:p>
        </w:tc>
        <w:tc>
          <w:tcPr>
            <w:tcW w:w="46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52,139</w:t>
            </w:r>
          </w:p>
        </w:tc>
        <w:tc>
          <w:tcPr>
            <w:tcW w:w="18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18,183</w:t>
            </w:r>
          </w:p>
        </w:tc>
        <w:tc>
          <w:tcPr>
            <w:tcW w:w="30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23,233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20" w:right="80" w:hanging="492"/>
        <w:spacing w:after="0" w:line="256"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ind w:left="1120" w:right="40" w:hanging="492"/>
        <w:spacing w:after="0" w:line="248"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120" w:right="240" w:hanging="492"/>
        <w:spacing w:after="0" w:line="248"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Acquisition-related expenses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120" w:right="20" w:hanging="492"/>
        <w:spacing w:after="0" w:line="250"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0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620"/>
          </w:cols>
          <w:pgMar w:left="320" w:top="466" w:right="9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66535" cy="3719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66535" cy="37198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presents a reconciliation of Net (Loss) Income to Adjusted Net Income (Loss) for the periods presented:</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4"/>
            <w:vMerge w:val="restart"/>
          </w:tcPr>
          <w:p>
            <w:pPr>
              <w:jc w:val="center"/>
              <w:ind w:left="207"/>
              <w:spacing w:after="0"/>
              <w:rPr>
                <w:sz w:val="20"/>
                <w:szCs w:val="20"/>
                <w:color w:val="auto"/>
              </w:rPr>
            </w:pPr>
            <w:r>
              <w:rPr>
                <w:rFonts w:ascii="Arial" w:cs="Arial" w:eastAsia="Arial" w:hAnsi="Arial"/>
                <w:sz w:val="13"/>
                <w:szCs w:val="13"/>
                <w:b w:val="1"/>
                <w:bCs w:val="1"/>
                <w:color w:val="auto"/>
                <w:w w:val="96"/>
              </w:rPr>
              <w:t>Definitive OpCo</w:t>
            </w: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jc w:val="center"/>
              <w:ind w:left="187"/>
              <w:spacing w:after="0" w:line="139" w:lineRule="exact"/>
              <w:rPr>
                <w:sz w:val="20"/>
                <w:szCs w:val="20"/>
                <w:color w:val="auto"/>
              </w:rPr>
            </w:pPr>
            <w:r>
              <w:rPr>
                <w:rFonts w:ascii="Arial" w:cs="Arial" w:eastAsia="Arial" w:hAnsi="Arial"/>
                <w:sz w:val="13"/>
                <w:szCs w:val="13"/>
                <w:b w:val="1"/>
                <w:bCs w:val="1"/>
                <w:color w:val="auto"/>
              </w:rPr>
              <w:t>(AIDH TopCo, LLC)</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tcPr>
          <w:p>
            <w:pPr>
              <w:jc w:val="center"/>
              <w:ind w:right="8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jc w:val="center"/>
              <w:ind w:left="227"/>
              <w:spacing w:after="0"/>
              <w:rPr>
                <w:sz w:val="20"/>
                <w:szCs w:val="20"/>
                <w:color w:val="auto"/>
              </w:rPr>
            </w:pPr>
            <w:r>
              <w:rPr>
                <w:rFonts w:ascii="Arial" w:cs="Arial" w:eastAsia="Arial" w:hAnsi="Arial"/>
                <w:sz w:val="13"/>
                <w:szCs w:val="13"/>
                <w:b w:val="1"/>
                <w:bCs w:val="1"/>
                <w:color w:val="auto"/>
                <w:w w:val="90"/>
              </w:rPr>
              <w:t>Successor Company</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0"/>
              </w:rPr>
              <w:t>Predecessor Company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320" w:type="dxa"/>
            <w:vAlign w:val="bottom"/>
            <w:tcBorders>
              <w:top w:val="single" w:sz="8" w:color="auto"/>
            </w:tcBorders>
            <w:gridSpan w:val="6"/>
          </w:tcPr>
          <w:p>
            <w:pPr>
              <w:ind w:left="340"/>
              <w:spacing w:after="0" w:line="124" w:lineRule="exact"/>
              <w:rPr>
                <w:sz w:val="20"/>
                <w:szCs w:val="20"/>
                <w:color w:val="auto"/>
              </w:rPr>
            </w:pPr>
            <w:r>
              <w:rPr>
                <w:rFonts w:ascii="Arial" w:cs="Arial" w:eastAsia="Arial" w:hAnsi="Arial"/>
                <w:sz w:val="13"/>
                <w:szCs w:val="13"/>
                <w:b w:val="1"/>
                <w:bCs w:val="1"/>
                <w:color w:val="auto"/>
              </w:rPr>
              <w:t>Nine Months Ended</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ind w:left="80"/>
              <w:spacing w:after="0" w:line="124" w:lineRule="exact"/>
              <w:rPr>
                <w:sz w:val="20"/>
                <w:szCs w:val="20"/>
                <w:color w:val="auto"/>
              </w:rPr>
            </w:pPr>
            <w:r>
              <w:rPr>
                <w:rFonts w:ascii="Arial" w:cs="Arial" w:eastAsia="Arial" w:hAnsi="Arial"/>
                <w:sz w:val="13"/>
                <w:szCs w:val="13"/>
                <w:b w:val="1"/>
                <w:bCs w:val="1"/>
                <w:color w:val="auto"/>
              </w:rPr>
              <w:t>Year ended</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06"/>
              <w:spacing w:after="0" w:line="124" w:lineRule="exact"/>
              <w:rPr>
                <w:sz w:val="20"/>
                <w:szCs w:val="20"/>
                <w:color w:val="auto"/>
              </w:rPr>
            </w:pPr>
            <w:r>
              <w:rPr>
                <w:rFonts w:ascii="Arial" w:cs="Arial" w:eastAsia="Arial" w:hAnsi="Arial"/>
                <w:sz w:val="13"/>
                <w:szCs w:val="13"/>
                <w:b w:val="1"/>
                <w:bCs w:val="1"/>
                <w:color w:val="auto"/>
              </w:rPr>
              <w:t>Period from</w:t>
            </w:r>
          </w:p>
        </w:tc>
        <w:tc>
          <w:tcPr>
            <w:tcW w:w="3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7"/>
              <w:spacing w:after="0" w:line="124" w:lineRule="exact"/>
              <w:rPr>
                <w:sz w:val="20"/>
                <w:szCs w:val="20"/>
                <w:color w:val="auto"/>
              </w:rPr>
            </w:pPr>
            <w:r>
              <w:rPr>
                <w:rFonts w:ascii="Arial" w:cs="Arial" w:eastAsia="Arial" w:hAnsi="Arial"/>
                <w:sz w:val="13"/>
                <w:szCs w:val="13"/>
                <w:b w:val="1"/>
                <w:bCs w:val="1"/>
                <w:color w:val="auto"/>
                <w:w w:val="95"/>
              </w:rPr>
              <w:t>Period from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56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44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2"/>
                <w:szCs w:val="12"/>
                <w:color w:val="auto"/>
              </w:rPr>
            </w:pPr>
          </w:p>
        </w:tc>
        <w:tc>
          <w:tcPr>
            <w:tcW w:w="9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38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25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7"/>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1020" w:type="dxa"/>
            <w:vAlign w:val="bottom"/>
            <w:gridSpan w:val="3"/>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2019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July 15,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(loss) income</w:t>
            </w:r>
          </w:p>
        </w:tc>
        <w:tc>
          <w:tcPr>
            <w:tcW w:w="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(46,493)</w:t>
            </w: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(35,295)</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8"/>
              </w:rPr>
              <w:t>(51,157)</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(49,266)</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12,868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tcPr>
          <w:p>
            <w:pPr>
              <w:spacing w:after="0" w:line="190" w:lineRule="exact"/>
              <w:rPr>
                <w:sz w:val="20"/>
                <w:szCs w:val="20"/>
                <w:color w:val="auto"/>
              </w:rPr>
            </w:pPr>
            <w:r>
              <w:rPr>
                <w:rFonts w:ascii="Arial" w:cs="Arial" w:eastAsia="Arial" w:hAnsi="Arial"/>
                <w:sz w:val="15"/>
                <w:szCs w:val="15"/>
                <w:color w:val="auto"/>
              </w:rPr>
              <w:t xml:space="preserve">Amortization of intangible assets </w:t>
            </w:r>
            <w:r>
              <w:rPr>
                <w:rFonts w:ascii="Arial" w:cs="Arial" w:eastAsia="Arial" w:hAnsi="Arial"/>
                <w:sz w:val="21"/>
                <w:szCs w:val="21"/>
                <w:color w:val="auto"/>
                <w:vertAlign w:val="superscript"/>
              </w:rPr>
              <w:t>(a)</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42,746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43,395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58,214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30,605</w:t>
            </w: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line="190" w:lineRule="exact"/>
              <w:rPr>
                <w:sz w:val="20"/>
                <w:szCs w:val="20"/>
                <w:color w:val="auto"/>
              </w:rPr>
            </w:pPr>
            <w:r>
              <w:rPr>
                <w:rFonts w:ascii="Arial" w:cs="Arial" w:eastAsia="Arial" w:hAnsi="Arial"/>
                <w:sz w:val="15"/>
                <w:szCs w:val="15"/>
                <w:color w:val="auto"/>
              </w:rPr>
              <w:t xml:space="preserve">Equity compensation costs </w:t>
            </w:r>
            <w:r>
              <w:rPr>
                <w:rFonts w:ascii="Arial" w:cs="Arial" w:eastAsia="Arial" w:hAnsi="Arial"/>
                <w:sz w:val="21"/>
                <w:szCs w:val="21"/>
                <w:color w:val="auto"/>
                <w:vertAlign w:val="superscript"/>
              </w:rPr>
              <w:t>(b)</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4,338</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tcPr>
          <w:p>
            <w:pPr>
              <w:spacing w:after="0" w:line="190" w:lineRule="exact"/>
              <w:rPr>
                <w:sz w:val="20"/>
                <w:szCs w:val="20"/>
                <w:color w:val="auto"/>
              </w:rPr>
            </w:pPr>
            <w:r>
              <w:rPr>
                <w:rFonts w:ascii="Arial" w:cs="Arial" w:eastAsia="Arial" w:hAnsi="Arial"/>
                <w:sz w:val="15"/>
                <w:szCs w:val="15"/>
                <w:color w:val="auto"/>
              </w:rPr>
              <w:t xml:space="preserve">Acquisition-related expenses </w:t>
            </w:r>
            <w:r>
              <w:rPr>
                <w:rFonts w:ascii="Arial" w:cs="Arial" w:eastAsia="Arial" w:hAnsi="Arial"/>
                <w:sz w:val="21"/>
                <w:szCs w:val="21"/>
                <w:color w:val="auto"/>
                <w:vertAlign w:val="superscript"/>
              </w:rPr>
              <w:t>(c)</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3,332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748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3,776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14,703</w:t>
            </w: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1"/>
              </w:rPr>
              <w:t>Tax impacts of adjustments to net income</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(loss)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(10,304)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40" w:type="dxa"/>
            <w:vAlign w:val="bottom"/>
            <w:gridSpan w:val="2"/>
          </w:tcPr>
          <w:p>
            <w:pPr>
              <w:spacing w:after="0" w:line="190" w:lineRule="exact"/>
              <w:rPr>
                <w:sz w:val="20"/>
                <w:szCs w:val="20"/>
                <w:color w:val="auto"/>
              </w:rPr>
            </w:pPr>
            <w:r>
              <w:rPr>
                <w:rFonts w:ascii="Arial" w:cs="Arial" w:eastAsia="Arial" w:hAnsi="Arial"/>
                <w:sz w:val="15"/>
                <w:szCs w:val="15"/>
                <w:color w:val="auto"/>
              </w:rPr>
              <w:t xml:space="preserve">Other non-recurring adjustments </w:t>
            </w:r>
            <w:r>
              <w:rPr>
                <w:rFonts w:ascii="Arial" w:cs="Arial" w:eastAsia="Arial" w:hAnsi="Arial"/>
                <w:sz w:val="21"/>
                <w:szCs w:val="21"/>
                <w:color w:val="auto"/>
                <w:vertAlign w:val="superscript"/>
              </w:rPr>
              <w:t>(d)</w:t>
            </w: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13,186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3,193</w:t>
            </w:r>
          </w:p>
        </w:tc>
        <w:tc>
          <w:tcPr>
            <w:tcW w:w="30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Adjusted Net Income (Loss)</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6,805</w:t>
            </w:r>
          </w:p>
        </w:tc>
        <w:tc>
          <w:tcPr>
            <w:tcW w:w="2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11,982</w:t>
            </w:r>
          </w:p>
        </w:tc>
        <w:tc>
          <w:tcPr>
            <w:tcW w:w="3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15,427</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23,068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120" w:right="80" w:hanging="492"/>
        <w:spacing w:after="0" w:line="256" w:lineRule="auto"/>
        <w:tabs>
          <w:tab w:leader="none" w:pos="11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ind w:left="1120" w:right="40" w:hanging="492"/>
        <w:spacing w:after="0" w:line="248" w:lineRule="auto"/>
        <w:tabs>
          <w:tab w:leader="none" w:pos="11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 See “Description of Material Indebtedness.”</w:t>
      </w:r>
    </w:p>
    <w:p>
      <w:pPr>
        <w:spacing w:after="0" w:line="1" w:lineRule="exact"/>
        <w:rPr>
          <w:rFonts w:ascii="Arial" w:cs="Arial" w:eastAsia="Arial" w:hAnsi="Arial"/>
          <w:sz w:val="17"/>
          <w:szCs w:val="17"/>
          <w:color w:val="auto"/>
        </w:rPr>
      </w:pPr>
    </w:p>
    <w:p>
      <w:pPr>
        <w:ind w:left="1120" w:right="240" w:hanging="492"/>
        <w:spacing w:after="0" w:line="248" w:lineRule="auto"/>
        <w:tabs>
          <w:tab w:leader="none" w:pos="11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Acquisition-related expenses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120" w:right="20" w:hanging="492"/>
        <w:spacing w:after="0" w:line="269" w:lineRule="auto"/>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debt extinguishment costs related to the repayment of the $450.0 million term loan payable pursuant to credit agreement entered into in July 16, 2019 (the “2019 Term Loan”) and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620"/>
          </w:cols>
          <w:pgMar w:left="320" w:top="466" w:right="9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RISK FACTORS</w:t>
      </w:r>
    </w:p>
    <w:p>
      <w:pPr>
        <w:spacing w:after="0" w:line="214"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i w:val="1"/>
          <w:iCs w:val="1"/>
          <w:color w:val="auto"/>
        </w:rPr>
        <w:t>An investment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2" w:lineRule="exact"/>
        <w:rPr>
          <w:sz w:val="20"/>
          <w:szCs w:val="20"/>
          <w:color w:val="auto"/>
        </w:rPr>
      </w:pPr>
    </w:p>
    <w:p>
      <w:pPr>
        <w:ind w:left="460" w:right="80"/>
        <w:spacing w:after="0" w:line="303" w:lineRule="auto"/>
        <w:rPr>
          <w:sz w:val="20"/>
          <w:szCs w:val="20"/>
          <w:color w:val="auto"/>
        </w:rPr>
      </w:pPr>
      <w:r>
        <w:rPr>
          <w:rFonts w:ascii="Arial" w:cs="Arial" w:eastAsia="Arial" w:hAnsi="Arial"/>
          <w:sz w:val="16"/>
          <w:szCs w:val="16"/>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42" w:lineRule="exact"/>
        <w:rPr>
          <w:sz w:val="20"/>
          <w:szCs w:val="20"/>
          <w:color w:val="auto"/>
        </w:rPr>
      </w:pPr>
    </w:p>
    <w:p>
      <w:pPr>
        <w:ind w:left="460" w:right="120" w:firstLine="413"/>
        <w:spacing w:after="0" w:line="274" w:lineRule="auto"/>
        <w:rPr>
          <w:sz w:val="20"/>
          <w:szCs w:val="20"/>
          <w:color w:val="auto"/>
        </w:rPr>
      </w:pPr>
      <w:r>
        <w:rPr>
          <w:rFonts w:ascii="Arial" w:cs="Arial" w:eastAsia="Arial" w:hAnsi="Arial"/>
          <w:sz w:val="16"/>
          <w:szCs w:val="16"/>
          <w:color w:val="auto"/>
        </w:rPr>
        <w:t>For the year ended December 31, 2020 and the nine months ended September 30, 2021,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165"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7" w:lineRule="exact"/>
        <w:rPr>
          <w:sz w:val="20"/>
          <w:szCs w:val="20"/>
          <w:color w:val="auto"/>
        </w:rPr>
      </w:pPr>
    </w:p>
    <w:p>
      <w:pPr>
        <w:ind w:left="1360" w:right="420" w:hanging="498"/>
        <w:spacing w:after="0" w:line="272" w:lineRule="auto"/>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awareness and acceptance of the healthcare commercial intelligence platform category generally, and the growth and evolution of the category and our addressable market;</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 platform;</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pricing;</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performance, features and user experience, and the development and acceptance of new features, integrations and capabilities;</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ability to consistently procure high-quality and useful data;</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level of customer support we provide;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accessibility across several operating system and applications;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integration with workflow insights and technologies.</w:t>
      </w:r>
    </w:p>
    <w:p>
      <w:pPr>
        <w:spacing w:after="0" w:line="210" w:lineRule="exact"/>
        <w:rPr>
          <w:sz w:val="20"/>
          <w:szCs w:val="20"/>
          <w:color w:val="auto"/>
        </w:rPr>
      </w:pPr>
    </w:p>
    <w:p>
      <w:pPr>
        <w:ind w:left="460" w:right="240" w:firstLine="413"/>
        <w:spacing w:after="0" w:line="260" w:lineRule="auto"/>
        <w:rPr>
          <w:sz w:val="20"/>
          <w:szCs w:val="20"/>
          <w:color w:val="auto"/>
        </w:rPr>
      </w:pPr>
      <w:r>
        <w:rPr>
          <w:rFonts w:ascii="Arial" w:cs="Arial" w:eastAsia="Arial" w:hAnsi="Arial"/>
          <w:sz w:val="17"/>
          <w:szCs w:val="17"/>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780"/>
          </w:cols>
          <w:pgMar w:left="320" w:top="466" w:right="7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60"/>
        <w:spacing w:after="0" w:line="272" w:lineRule="auto"/>
        <w:rPr>
          <w:sz w:val="20"/>
          <w:szCs w:val="20"/>
          <w:color w:val="auto"/>
        </w:rPr>
      </w:pPr>
      <w:r>
        <w:rPr>
          <w:rFonts w:ascii="Arial" w:cs="Arial" w:eastAsia="Arial" w:hAnsi="Arial"/>
          <w:sz w:val="17"/>
          <w:szCs w:val="17"/>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3" w:lineRule="exact"/>
        <w:rPr>
          <w:sz w:val="20"/>
          <w:szCs w:val="20"/>
          <w:color w:val="auto"/>
        </w:rPr>
      </w:pPr>
    </w:p>
    <w:p>
      <w:pPr>
        <w:ind w:left="460" w:right="60" w:firstLine="413"/>
        <w:spacing w:after="0" w:line="287" w:lineRule="auto"/>
        <w:rPr>
          <w:sz w:val="20"/>
          <w:szCs w:val="20"/>
          <w:color w:val="auto"/>
        </w:rPr>
      </w:pPr>
      <w:r>
        <w:rPr>
          <w:rFonts w:ascii="Arial" w:cs="Arial" w:eastAsia="Arial" w:hAnsi="Arial"/>
          <w:sz w:val="15"/>
          <w:szCs w:val="15"/>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fail to respond to advances in healthcare commercial intelligence, competitors could surpass the depth, breadth or accuracy of our platform.</w:t>
      </w:r>
    </w:p>
    <w:p>
      <w:pPr>
        <w:spacing w:after="0" w:line="143"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platform.</w:t>
      </w:r>
    </w:p>
    <w:p>
      <w:pPr>
        <w:spacing w:after="0" w:line="131" w:lineRule="exact"/>
        <w:rPr>
          <w:sz w:val="20"/>
          <w:szCs w:val="20"/>
          <w:color w:val="auto"/>
        </w:rPr>
      </w:pPr>
    </w:p>
    <w:p>
      <w:pPr>
        <w:ind w:left="460" w:right="100" w:firstLine="413"/>
        <w:spacing w:after="0" w:line="268" w:lineRule="auto"/>
        <w:rPr>
          <w:sz w:val="20"/>
          <w:szCs w:val="20"/>
          <w:color w:val="auto"/>
        </w:rPr>
      </w:pPr>
      <w:r>
        <w:rPr>
          <w:rFonts w:ascii="Arial" w:cs="Arial" w:eastAsia="Arial" w:hAnsi="Arial"/>
          <w:sz w:val="16"/>
          <w:szCs w:val="16"/>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780"/>
          </w:cols>
          <w:pgMar w:left="320" w:top="466" w:right="79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have experienced rapid growth in recent periods, and our recent growth rates may not be indicative of our future growth.</w:t>
      </w:r>
    </w:p>
    <w:p>
      <w:pPr>
        <w:spacing w:after="0" w:line="108" w:lineRule="exact"/>
        <w:rPr>
          <w:sz w:val="20"/>
          <w:szCs w:val="20"/>
          <w:color w:val="auto"/>
        </w:rPr>
      </w:pPr>
    </w:p>
    <w:p>
      <w:pPr>
        <w:ind w:left="460" w:right="140" w:firstLine="413"/>
        <w:spacing w:after="0" w:line="291" w:lineRule="auto"/>
        <w:rPr>
          <w:sz w:val="20"/>
          <w:szCs w:val="20"/>
          <w:color w:val="auto"/>
        </w:rPr>
      </w:pPr>
      <w:r>
        <w:rPr>
          <w:rFonts w:ascii="Arial" w:cs="Arial" w:eastAsia="Arial" w:hAnsi="Arial"/>
          <w:sz w:val="15"/>
          <w:szCs w:val="15"/>
          <w:color w:val="auto"/>
        </w:rPr>
        <w:t>We have experienced rapid organic and acquisition-driven growth in recent periods. For the year ended December 31, 2020, our revenue was $118.3 million, an increase of 38% as compared to our revenue of $85.5 million for the year ended December 31, 2019. For the nine months ended September 30, 2021, our revenue was $119.8 million, an increase of 41% as compared to our revenue of $84.7 million for the nine months ended September 30, 2020. We cannot guarantee that we will sustain our recent revenue growth rate in future periods. Further, as we operate in a new and rapidly changing market, widespread acceptance and use of our platform is critical to our future growth and success. Our revenue growth may slow or our revenue may decline for a number of other reasons, including reduced demand for our platform, increased competition, a decrease in the growth or reduction in size of our overall market, the impacts to our business from the COVID-19 pandemic, or if we cannot capitalize on growth opportunities.</w:t>
      </w:r>
    </w:p>
    <w:p>
      <w:pPr>
        <w:spacing w:after="0" w:line="157"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achieve or sustain profitability in the future compared to historical levels as we increase investments in our business.</w:t>
      </w:r>
    </w:p>
    <w:p>
      <w:pPr>
        <w:spacing w:after="0" w:line="120"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We have incurred operating losses in the past and may continue to incur net losses in the future. For the year ended December 31, 2020, we had a net loss of $51.2 million, compared to a net loss of $36.4 million for the year ended December 31, 2019. For the nine months ended September 30, 2021, we had a net loss of $46.5 million, compared to a net loss of $35.3 million for the nine months ended September 30, 2020.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63" w:lineRule="exact"/>
        <w:rPr>
          <w:sz w:val="20"/>
          <w:szCs w:val="20"/>
          <w:color w:val="auto"/>
        </w:rPr>
      </w:pPr>
    </w:p>
    <w:p>
      <w:pPr>
        <w:ind w:left="460" w:right="640"/>
        <w:spacing w:after="0" w:line="272" w:lineRule="auto"/>
        <w:rPr>
          <w:sz w:val="20"/>
          <w:szCs w:val="20"/>
          <w:color w:val="auto"/>
        </w:rPr>
      </w:pPr>
      <w:r>
        <w:rPr>
          <w:rFonts w:ascii="Arial" w:cs="Arial" w:eastAsia="Arial" w:hAnsi="Arial"/>
          <w:sz w:val="17"/>
          <w:szCs w:val="17"/>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3" w:lineRule="exact"/>
        <w:rPr>
          <w:sz w:val="20"/>
          <w:szCs w:val="20"/>
          <w:color w:val="auto"/>
        </w:rPr>
      </w:pPr>
    </w:p>
    <w:p>
      <w:pPr>
        <w:ind w:left="460" w:right="160" w:firstLine="413"/>
        <w:spacing w:after="0" w:line="311" w:lineRule="auto"/>
        <w:rPr>
          <w:sz w:val="20"/>
          <w:szCs w:val="20"/>
          <w:color w:val="auto"/>
        </w:rPr>
      </w:pPr>
      <w:r>
        <w:rPr>
          <w:rFonts w:ascii="Arial" w:cs="Arial" w:eastAsia="Arial" w:hAnsi="Arial"/>
          <w:sz w:val="15"/>
          <w:szCs w:val="15"/>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780"/>
          </w:cols>
          <w:pgMar w:left="320" w:top="466" w:right="7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89" w:lineRule="auto"/>
        <w:rPr>
          <w:sz w:val="20"/>
          <w:szCs w:val="20"/>
          <w:color w:val="auto"/>
        </w:rPr>
      </w:pPr>
      <w:r>
        <w:rPr>
          <w:rFonts w:ascii="Arial" w:cs="Arial" w:eastAsia="Arial" w:hAnsi="Arial"/>
          <w:sz w:val="15"/>
          <w:szCs w:val="15"/>
          <w:color w:val="auto"/>
        </w:rPr>
        <w:t>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258" w:lineRule="exact"/>
        <w:rPr>
          <w:sz w:val="20"/>
          <w:szCs w:val="20"/>
          <w:color w:val="auto"/>
        </w:rPr>
      </w:pPr>
    </w:p>
    <w:p>
      <w:pPr>
        <w:ind w:left="460" w:right="60"/>
        <w:spacing w:after="0" w:line="277" w:lineRule="auto"/>
        <w:rPr>
          <w:sz w:val="20"/>
          <w:szCs w:val="20"/>
          <w:color w:val="auto"/>
        </w:rPr>
      </w:pPr>
      <w:r>
        <w:rPr>
          <w:rFonts w:ascii="Arial" w:cs="Arial" w:eastAsia="Arial" w:hAnsi="Arial"/>
          <w:sz w:val="16"/>
          <w:szCs w:val="16"/>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2" w:lineRule="exact"/>
        <w:rPr>
          <w:sz w:val="20"/>
          <w:szCs w:val="20"/>
          <w:color w:val="auto"/>
        </w:rPr>
      </w:pPr>
    </w:p>
    <w:p>
      <w:pPr>
        <w:ind w:left="460" w:right="100" w:firstLine="413"/>
        <w:spacing w:after="0" w:line="287" w:lineRule="auto"/>
        <w:rPr>
          <w:sz w:val="20"/>
          <w:szCs w:val="20"/>
          <w:color w:val="auto"/>
        </w:rPr>
      </w:pPr>
      <w:r>
        <w:rPr>
          <w:rFonts w:ascii="Arial" w:cs="Arial" w:eastAsia="Arial" w:hAnsi="Arial"/>
          <w:sz w:val="15"/>
          <w:szCs w:val="15"/>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59" w:lineRule="exact"/>
        <w:rPr>
          <w:sz w:val="20"/>
          <w:szCs w:val="20"/>
          <w:color w:val="auto"/>
        </w:rPr>
      </w:pPr>
    </w:p>
    <w:p>
      <w:pPr>
        <w:ind w:left="460" w:right="80" w:firstLine="413"/>
        <w:spacing w:after="0" w:line="301" w:lineRule="auto"/>
        <w:rPr>
          <w:sz w:val="20"/>
          <w:szCs w:val="20"/>
          <w:color w:val="auto"/>
        </w:rPr>
      </w:pPr>
      <w:r>
        <w:rPr>
          <w:rFonts w:ascii="Arial" w:cs="Arial" w:eastAsia="Arial" w:hAnsi="Arial"/>
          <w:sz w:val="15"/>
          <w:szCs w:val="15"/>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49" w:lineRule="exact"/>
        <w:rPr>
          <w:sz w:val="20"/>
          <w:szCs w:val="20"/>
          <w:color w:val="auto"/>
        </w:rPr>
      </w:pPr>
    </w:p>
    <w:p>
      <w:pPr>
        <w:ind w:left="460" w:right="260"/>
        <w:spacing w:after="0" w:line="272" w:lineRule="auto"/>
        <w:rPr>
          <w:sz w:val="20"/>
          <w:szCs w:val="20"/>
          <w:color w:val="auto"/>
        </w:rPr>
      </w:pPr>
      <w:r>
        <w:rPr>
          <w:rFonts w:ascii="Arial" w:cs="Arial" w:eastAsia="Arial" w:hAnsi="Arial"/>
          <w:sz w:val="17"/>
          <w:szCs w:val="17"/>
          <w:b w:val="1"/>
          <w:bCs w:val="1"/>
          <w:i w:val="1"/>
          <w:iCs w:val="1"/>
          <w:color w:val="auto"/>
        </w:rPr>
        <w:t>If we are unable to attract new customers and expand subscriptions of current customers, our revenue growth and financial performance will be negatively impacted.</w:t>
      </w:r>
    </w:p>
    <w:p>
      <w:pPr>
        <w:spacing w:after="0" w:line="63"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760"/>
          </w:cols>
          <w:pgMar w:left="320" w:top="466" w:right="81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91" w:lineRule="auto"/>
        <w:rPr>
          <w:sz w:val="20"/>
          <w:szCs w:val="20"/>
          <w:color w:val="auto"/>
        </w:rPr>
      </w:pPr>
      <w:r>
        <w:rPr>
          <w:rFonts w:ascii="Arial" w:cs="Arial" w:eastAsia="Arial" w:hAnsi="Arial"/>
          <w:sz w:val="15"/>
          <w:szCs w:val="15"/>
          <w:color w:val="auto"/>
        </w:rPr>
        <w:t>existing customers. We do not know whether we will continue to achieve similar customer acquisition, retention and subscription growth rates in future periods as we have in the past. Numerous factors may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57"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as a result of the COVID-19 pandemic)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60"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b w:val="1"/>
          <w:bCs w:val="1"/>
          <w:i w:val="1"/>
          <w:iCs w:val="1"/>
          <w:color w:val="auto"/>
        </w:rPr>
        <w:t>We may fail to offer the optimal pricing and packaging of our solutions, which could negatively impact our growth strategy and ability to effectively compete in the market.</w:t>
      </w:r>
    </w:p>
    <w:p>
      <w:pPr>
        <w:spacing w:after="0" w:line="63"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69" w:lineRule="exact"/>
        <w:rPr>
          <w:sz w:val="20"/>
          <w:szCs w:val="20"/>
          <w:color w:val="auto"/>
        </w:rPr>
      </w:pPr>
    </w:p>
    <w:p>
      <w:pPr>
        <w:ind w:left="460" w:right="40"/>
        <w:spacing w:after="0" w:line="311" w:lineRule="auto"/>
        <w:rPr>
          <w:sz w:val="20"/>
          <w:szCs w:val="20"/>
          <w:color w:val="auto"/>
        </w:rPr>
      </w:pPr>
      <w:r>
        <w:rPr>
          <w:rFonts w:ascii="Arial" w:cs="Arial" w:eastAsia="Arial" w:hAnsi="Arial"/>
          <w:sz w:val="15"/>
          <w:szCs w:val="15"/>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39" w:lineRule="exact"/>
        <w:rPr>
          <w:sz w:val="20"/>
          <w:szCs w:val="20"/>
          <w:color w:val="auto"/>
        </w:rPr>
      </w:pPr>
    </w:p>
    <w:p>
      <w:pPr>
        <w:ind w:left="460" w:right="460" w:firstLine="413"/>
        <w:spacing w:after="0" w:line="311" w:lineRule="auto"/>
        <w:rPr>
          <w:sz w:val="20"/>
          <w:szCs w:val="20"/>
          <w:color w:val="auto"/>
        </w:rPr>
      </w:pPr>
      <w:r>
        <w:rPr>
          <w:rFonts w:ascii="Arial" w:cs="Arial" w:eastAsia="Arial" w:hAnsi="Arial"/>
          <w:sz w:val="15"/>
          <w:szCs w:val="15"/>
          <w:color w:val="auto"/>
        </w:rPr>
        <w:t>As we target more of our sales efforts at larger Enterprise Customers, we may face longer sales cycles, greater competition, more complex customer due diligence, less favorable contractual terms and less predictability in completing some of our sales. Consequently, a target customer’s decision to use our solutions may be an enterprise-wide decision and, if so, these types of sales would require us to provide greater levels of</w:t>
      </w:r>
    </w:p>
    <w:p>
      <w:pPr>
        <w:spacing w:after="0" w:line="7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780"/>
          </w:cols>
          <w:pgMar w:left="320" w:top="466" w:right="79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20"/>
        <w:spacing w:after="0" w:line="296" w:lineRule="auto"/>
        <w:rPr>
          <w:sz w:val="20"/>
          <w:szCs w:val="20"/>
          <w:color w:val="auto"/>
        </w:rPr>
      </w:pPr>
      <w:r>
        <w:rPr>
          <w:rFonts w:ascii="Arial" w:cs="Arial" w:eastAsia="Arial" w:hAnsi="Arial"/>
          <w:sz w:val="15"/>
          <w:szCs w:val="15"/>
          <w:color w:val="auto"/>
        </w:rPr>
        <w:t>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fail to offer high-quality customer experience, our business and reputation will suffer.</w:t>
      </w:r>
    </w:p>
    <w:p>
      <w:pPr>
        <w:spacing w:after="0" w:line="108"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78" w:lineRule="exact"/>
        <w:rPr>
          <w:sz w:val="20"/>
          <w:szCs w:val="20"/>
          <w:color w:val="auto"/>
        </w:rPr>
      </w:pPr>
    </w:p>
    <w:p>
      <w:pPr>
        <w:ind w:left="460" w:right="140" w:firstLine="413"/>
        <w:spacing w:after="0" w:line="284" w:lineRule="auto"/>
        <w:rPr>
          <w:sz w:val="20"/>
          <w:szCs w:val="20"/>
          <w:color w:val="auto"/>
        </w:rPr>
      </w:pPr>
      <w:r>
        <w:rPr>
          <w:rFonts w:ascii="Arial" w:cs="Arial" w:eastAsia="Arial" w:hAnsi="Arial"/>
          <w:sz w:val="16"/>
          <w:szCs w:val="16"/>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59"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3"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70"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780"/>
          </w:cols>
          <w:pgMar w:left="320" w:top="466" w:right="79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20"/>
        <w:spacing w:after="0" w:line="260" w:lineRule="auto"/>
        <w:rPr>
          <w:sz w:val="20"/>
          <w:szCs w:val="20"/>
          <w:color w:val="auto"/>
        </w:rPr>
      </w:pPr>
      <w:r>
        <w:rPr>
          <w:rFonts w:ascii="Arial" w:cs="Arial" w:eastAsia="Arial" w:hAnsi="Arial"/>
          <w:sz w:val="17"/>
          <w:szCs w:val="17"/>
          <w:color w:val="auto"/>
        </w:rPr>
        <w:t>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76"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3"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The pandemic caused by the novel strain of coronavirus (“COVID-19”) has disrupted the economy and put unprecedented strains on governments, healthcare systems, businesses and individuals around the world. The COVID-19 pandemic has caused significant disruption of global financial markets and economic uncertainty. Though our revenue was not impacted due to the recurring nature of our SaaS subscription-based business model, adverse market conditions resulting from the spread of COVID-19 had an adverse effect on our growth rate.</w:t>
      </w:r>
    </w:p>
    <w:p>
      <w:pPr>
        <w:spacing w:after="0" w:line="164" w:lineRule="exact"/>
        <w:rPr>
          <w:sz w:val="20"/>
          <w:szCs w:val="20"/>
          <w:color w:val="auto"/>
        </w:rPr>
      </w:pPr>
    </w:p>
    <w:p>
      <w:pPr>
        <w:ind w:left="460" w:right="20" w:firstLine="413"/>
        <w:spacing w:after="0" w:line="284" w:lineRule="auto"/>
        <w:rPr>
          <w:sz w:val="20"/>
          <w:szCs w:val="20"/>
          <w:color w:val="auto"/>
        </w:rPr>
      </w:pPr>
      <w:r>
        <w:rPr>
          <w:rFonts w:ascii="Arial" w:cs="Arial" w:eastAsia="Arial" w:hAnsi="Arial"/>
          <w:sz w:val="16"/>
          <w:szCs w:val="16"/>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w:t>
      </w:r>
    </w:p>
    <w:p>
      <w:pPr>
        <w:spacing w:after="0" w:line="157"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81"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6"/>
          <w:szCs w:val="16"/>
          <w:color w:val="auto"/>
        </w:rPr>
        <w:t>The extent and continued impact of the COVID-19 pandemic on our business will depend on certain developments, including: the duration and spread of the outbreak; government responses to the COVID-19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67"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80" w:lineRule="exact"/>
        <w:rPr>
          <w:sz w:val="20"/>
          <w:szCs w:val="20"/>
          <w:color w:val="auto"/>
        </w:rPr>
      </w:pPr>
    </w:p>
    <w:p>
      <w:pPr>
        <w:ind w:left="460" w:right="240"/>
        <w:spacing w:after="0" w:line="260" w:lineRule="auto"/>
        <w:rPr>
          <w:sz w:val="20"/>
          <w:szCs w:val="20"/>
          <w:color w:val="auto"/>
        </w:rPr>
      </w:pPr>
      <w:r>
        <w:rPr>
          <w:rFonts w:ascii="Arial" w:cs="Arial" w:eastAsia="Arial" w:hAnsi="Arial"/>
          <w:sz w:val="17"/>
          <w:szCs w:val="17"/>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4"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October 2020, we completed our acquisition of Monocl, a provider of subscription-based medical and scientific expert data and insights. Integrating Monocl’s technology into our platform may dilute the quality of our platform as we work through the integration process which can take time and significant resources. As a Swedish company, Monocl</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780"/>
          </w:cols>
          <w:pgMar w:left="320" w:top="466" w:right="7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56" w:lineRule="auto"/>
        <w:rPr>
          <w:sz w:val="20"/>
          <w:szCs w:val="20"/>
          <w:color w:val="auto"/>
        </w:rPr>
      </w:pPr>
      <w:r>
        <w:rPr>
          <w:rFonts w:ascii="Arial" w:cs="Arial" w:eastAsia="Arial" w:hAnsi="Arial"/>
          <w:sz w:val="17"/>
          <w:szCs w:val="17"/>
          <w:color w:val="auto"/>
        </w:rPr>
        <w:t>operated under different regulatory regimes than we have as a U.S.-based company, which could result in dissynergies in our platforms. Further, we may have difficulty effectively integrating Monocl’s personnel and business into our Company and achieving the goals of the Monocl acquisition. We expect to incur additional costs to integrate prior acquisitions, such as IT integration expenses and costs related to the renegotiation of redundant data provider agreements.</w:t>
      </w:r>
    </w:p>
    <w:p>
      <w:pPr>
        <w:spacing w:after="0" w:line="179"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67"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Acquisitions and other transactions, arrangements and investments involve numerous risks and could create unforeseen operating difficulties and expenditures, including:</w:t>
      </w:r>
    </w:p>
    <w:p>
      <w:pPr>
        <w:spacing w:after="0" w:line="76" w:lineRule="exact"/>
        <w:rPr>
          <w:sz w:val="20"/>
          <w:szCs w:val="20"/>
          <w:color w:val="auto"/>
        </w:rPr>
      </w:pPr>
    </w:p>
    <w:p>
      <w:pPr>
        <w:ind w:left="1360" w:hanging="498"/>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failure to achieve the expected benefits on a timely basis or at all;</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difficulties in, and the cost of, integrating operations, technologies, solutions and platforms;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diversion of financial and managerial resources from existing operations;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potential entry into new markets in which we have little or no experience or where competitors may have stronger market positions;</w:t>
      </w:r>
    </w:p>
    <w:p>
      <w:pPr>
        <w:spacing w:after="0" w:line="144" w:lineRule="exact"/>
        <w:rPr>
          <w:rFonts w:ascii="Arial" w:cs="Arial" w:eastAsia="Arial" w:hAnsi="Arial"/>
          <w:sz w:val="15"/>
          <w:szCs w:val="15"/>
          <w:color w:val="auto"/>
        </w:rPr>
      </w:pPr>
    </w:p>
    <w:p>
      <w:pPr>
        <w:ind w:left="1360" w:hanging="498"/>
        <w:spacing w:after="0"/>
        <w:tabs>
          <w:tab w:leader="none" w:pos="1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potential write-offs of acquired assets or investments and potential financial and credit risks associated with acquired customers;</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differences between our values and those of our acquired companies;</w:t>
      </w:r>
    </w:p>
    <w:p>
      <w:pPr>
        <w:spacing w:after="0" w:line="121" w:lineRule="exact"/>
        <w:rPr>
          <w:rFonts w:ascii="Arial" w:cs="Arial" w:eastAsia="Arial" w:hAnsi="Arial"/>
          <w:sz w:val="17"/>
          <w:szCs w:val="17"/>
          <w:color w:val="auto"/>
        </w:rPr>
      </w:pPr>
    </w:p>
    <w:p>
      <w:pPr>
        <w:ind w:left="1360" w:right="520" w:hanging="498"/>
        <w:spacing w:after="0" w:line="272" w:lineRule="auto"/>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difficulties in, and financial costs of, addressing acquired compensation structures inconsistent with our compensation structure;</w:t>
      </w:r>
    </w:p>
    <w:p>
      <w:pPr>
        <w:spacing w:after="0" w:line="132" w:lineRule="exact"/>
        <w:rPr>
          <w:rFonts w:ascii="Arial" w:cs="Arial" w:eastAsia="Arial" w:hAnsi="Arial"/>
          <w:sz w:val="16"/>
          <w:szCs w:val="16"/>
          <w:color w:val="auto"/>
        </w:rPr>
      </w:pPr>
    </w:p>
    <w:p>
      <w:pPr>
        <w:ind w:left="1360" w:hanging="498"/>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or investment costs;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inability to maintain, or changes in, relationships with customers and partners of the acquired business;</w:t>
      </w:r>
    </w:p>
    <w:p>
      <w:pPr>
        <w:spacing w:after="0" w:line="121" w:lineRule="exact"/>
        <w:rPr>
          <w:rFonts w:ascii="Arial" w:cs="Arial" w:eastAsia="Arial" w:hAnsi="Arial"/>
          <w:sz w:val="17"/>
          <w:szCs w:val="17"/>
          <w:color w:val="auto"/>
        </w:rPr>
      </w:pPr>
    </w:p>
    <w:p>
      <w:pPr>
        <w:jc w:val="both"/>
        <w:ind w:left="1360" w:right="400" w:hanging="498"/>
        <w:spacing w:after="0" w:line="340" w:lineRule="auto"/>
        <w:tabs>
          <w:tab w:leader="none" w:pos="13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30" w:lineRule="exact"/>
        <w:rPr>
          <w:rFonts w:ascii="Arial" w:cs="Arial" w:eastAsia="Arial" w:hAnsi="Arial"/>
          <w:sz w:val="15"/>
          <w:szCs w:val="15"/>
          <w:color w:val="auto"/>
        </w:rPr>
      </w:pPr>
    </w:p>
    <w:p>
      <w:pPr>
        <w:ind w:left="1360" w:right="120" w:hanging="498"/>
        <w:spacing w:after="0" w:line="272" w:lineRule="auto"/>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difficulty with, and costs related to, transitioning the acquired technology onto our existing platform and customer acceptance of a new or changed platform on a temporary or permanent basis;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augmenting the acquired technologies and platforms to the levels that are consistent with our brand and reputation;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for acquired platforms to impact the financial performance of existing platform;</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increasing or maintaining the security standards for acquired technology consistent with our platform;</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unknown liabilities associated with the acquired businesses, including risks associated with acquired technologies;</w:t>
      </w:r>
    </w:p>
    <w:p>
      <w:pPr>
        <w:spacing w:after="0" w:line="121" w:lineRule="exact"/>
        <w:rPr>
          <w:rFonts w:ascii="Arial" w:cs="Arial" w:eastAsia="Arial" w:hAnsi="Arial"/>
          <w:sz w:val="17"/>
          <w:szCs w:val="17"/>
          <w:color w:val="auto"/>
        </w:rPr>
      </w:pPr>
    </w:p>
    <w:p>
      <w:pPr>
        <w:ind w:left="1360" w:right="200" w:hanging="498"/>
        <w:spacing w:after="0" w:line="272" w:lineRule="auto"/>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challenges relating to the structure of an investment, such as governance, accountability and decision- making conflicts that may arise in the context of a joint venture or other majority ownership investments;</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780"/>
          </w:cols>
          <w:pgMar w:left="320" w:top="466" w:right="7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hanging="498"/>
        <w:spacing w:after="0" w:line="272" w:lineRule="auto"/>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material adverse effect on our results of operations because of the depreciation and amortization of amounts related to acquired intangible assets, fixed assets and deferred compensation;</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additional stock-based compensation;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loss of acquired unearned revenue and unbilled unearned revenue;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delays in customer purchases due to uncertainty related to any acquisition;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ineffective or inadequate controls, procedures and policies at the acquired company;</w:t>
      </w:r>
    </w:p>
    <w:p>
      <w:pPr>
        <w:spacing w:after="0" w:line="121" w:lineRule="exact"/>
        <w:rPr>
          <w:rFonts w:ascii="Arial" w:cs="Arial" w:eastAsia="Arial" w:hAnsi="Arial"/>
          <w:sz w:val="17"/>
          <w:szCs w:val="17"/>
          <w:color w:val="auto"/>
        </w:rPr>
      </w:pPr>
    </w:p>
    <w:p>
      <w:pPr>
        <w:ind w:left="1360" w:right="180" w:hanging="498"/>
        <w:spacing w:after="0" w:line="272" w:lineRule="auto"/>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the case of foreign acquisitions, challenges caused by integrating operations over distance and across different languages, cultures and political environments;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currency and regulatory risks and potential additional cybersecurity and compliance risks resulting from entry into new markets;</w:t>
      </w:r>
    </w:p>
    <w:p>
      <w:pPr>
        <w:spacing w:after="0" w:line="132" w:lineRule="exact"/>
        <w:rPr>
          <w:rFonts w:ascii="Arial" w:cs="Arial" w:eastAsia="Arial" w:hAnsi="Arial"/>
          <w:sz w:val="16"/>
          <w:szCs w:val="16"/>
          <w:color w:val="auto"/>
        </w:rPr>
      </w:pPr>
    </w:p>
    <w:p>
      <w:pPr>
        <w:ind w:left="1360" w:right="220" w:hanging="498"/>
        <w:spacing w:after="0" w:line="272" w:lineRule="auto"/>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tax effects and costs of any such acquisitions, including the related integration into our tax structure and assessment of the impact on the realizability of our future tax assets or liabilities; and</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potential challenges by governmental authorities, including the U.S. Department of Justice, for anti- competitive or other reasons.</w:t>
      </w:r>
    </w:p>
    <w:p>
      <w:pPr>
        <w:spacing w:after="0" w:line="221"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67" w:lineRule="exact"/>
        <w:rPr>
          <w:sz w:val="20"/>
          <w:szCs w:val="20"/>
          <w:color w:val="auto"/>
        </w:rPr>
      </w:pPr>
    </w:p>
    <w:p>
      <w:pPr>
        <w:ind w:left="460" w:right="300"/>
        <w:spacing w:after="0" w:line="272" w:lineRule="auto"/>
        <w:rPr>
          <w:sz w:val="20"/>
          <w:szCs w:val="20"/>
          <w:color w:val="auto"/>
        </w:rPr>
      </w:pPr>
      <w:r>
        <w:rPr>
          <w:rFonts w:ascii="Arial" w:cs="Arial" w:eastAsia="Arial" w:hAnsi="Arial"/>
          <w:sz w:val="17"/>
          <w:szCs w:val="17"/>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3" w:lineRule="exact"/>
        <w:rPr>
          <w:sz w:val="20"/>
          <w:szCs w:val="20"/>
          <w:color w:val="auto"/>
        </w:rPr>
      </w:pPr>
    </w:p>
    <w:p>
      <w:pPr>
        <w:ind w:left="460" w:right="80" w:firstLine="413"/>
        <w:spacing w:after="0" w:line="268" w:lineRule="auto"/>
        <w:rPr>
          <w:sz w:val="20"/>
          <w:szCs w:val="20"/>
          <w:color w:val="auto"/>
        </w:rPr>
      </w:pPr>
      <w:r>
        <w:rPr>
          <w:rFonts w:ascii="Arial" w:cs="Arial" w:eastAsia="Arial" w:hAnsi="Arial"/>
          <w:sz w:val="16"/>
          <w:szCs w:val="16"/>
          <w:color w:val="auto"/>
        </w:rPr>
        <w:t>We have experienced, and expect to continue to experience, rapid growth, which has placed, and may continue to place, significant demands on our management and our operational and financial resources. We have three offices across the northeastern U.S., and as a result of the Monocl acquisition, one office in Sweden. We have experienced significant growth in headcount, with over 380 employees in 2019 and over 480 employees in 2020.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71" w:lineRule="exact"/>
        <w:rPr>
          <w:sz w:val="20"/>
          <w:szCs w:val="20"/>
          <w:color w:val="auto"/>
        </w:rPr>
      </w:pPr>
    </w:p>
    <w:p>
      <w:pPr>
        <w:ind w:left="460" w:right="20" w:firstLine="413"/>
        <w:spacing w:after="0" w:line="277" w:lineRule="auto"/>
        <w:rPr>
          <w:sz w:val="20"/>
          <w:szCs w:val="20"/>
          <w:color w:val="auto"/>
        </w:rPr>
      </w:pPr>
      <w:r>
        <w:rPr>
          <w:rFonts w:ascii="Arial" w:cs="Arial" w:eastAsia="Arial" w:hAnsi="Arial"/>
          <w:sz w:val="16"/>
          <w:szCs w:val="16"/>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780"/>
          </w:cols>
          <w:pgMar w:left="320" w:top="466" w:right="79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79"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67" w:lineRule="exact"/>
        <w:rPr>
          <w:sz w:val="20"/>
          <w:szCs w:val="20"/>
          <w:color w:val="auto"/>
        </w:rPr>
      </w:pPr>
    </w:p>
    <w:p>
      <w:pPr>
        <w:ind w:left="460" w:right="280"/>
        <w:spacing w:after="0" w:line="340" w:lineRule="auto"/>
        <w:rPr>
          <w:sz w:val="20"/>
          <w:szCs w:val="20"/>
          <w:color w:val="auto"/>
        </w:rPr>
      </w:pPr>
      <w:r>
        <w:rPr>
          <w:rFonts w:ascii="Arial" w:cs="Arial" w:eastAsia="Arial" w:hAnsi="Arial"/>
          <w:sz w:val="15"/>
          <w:szCs w:val="15"/>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8"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82"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We are led by our CEO and founder, Jason Krantz, who plays an important role in driving our culture, determining our strategy and executing against that strategy across our business. If Mr. Krantz’s services became unavailable to us for any reason, it may be difficult or impossible for us to find an adequate replacement, which could cause us to be less successful in maintaining our culture and developing and effectively executing on our strategies.</w:t>
      </w:r>
    </w:p>
    <w:p>
      <w:pPr>
        <w:spacing w:after="0" w:line="179" w:lineRule="exact"/>
        <w:rPr>
          <w:sz w:val="20"/>
          <w:szCs w:val="20"/>
          <w:color w:val="auto"/>
        </w:rPr>
      </w:pPr>
    </w:p>
    <w:p>
      <w:pPr>
        <w:ind w:left="460" w:right="60" w:firstLine="413"/>
        <w:spacing w:after="0" w:line="291" w:lineRule="auto"/>
        <w:rPr>
          <w:sz w:val="20"/>
          <w:szCs w:val="20"/>
          <w:color w:val="auto"/>
        </w:rPr>
      </w:pPr>
      <w:r>
        <w:rPr>
          <w:rFonts w:ascii="Arial" w:cs="Arial" w:eastAsia="Arial" w:hAnsi="Arial"/>
          <w:sz w:val="15"/>
          <w:szCs w:val="15"/>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57"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760"/>
          </w:cols>
          <w:pgMar w:left="320" w:top="466" w:right="81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100" w:firstLine="413"/>
        <w:spacing w:after="0" w:line="260" w:lineRule="auto"/>
        <w:rPr>
          <w:sz w:val="20"/>
          <w:szCs w:val="20"/>
          <w:color w:val="auto"/>
        </w:rPr>
      </w:pPr>
      <w:r>
        <w:rPr>
          <w:rFonts w:ascii="Arial" w:cs="Arial" w:eastAsia="Arial" w:hAnsi="Arial"/>
          <w:sz w:val="17"/>
          <w:szCs w:val="17"/>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fail to protect and maintain our brand, our ability to attract and retain customers will be impaired, our reputation may be harmed.</w:t>
      </w:r>
    </w:p>
    <w:p>
      <w:pPr>
        <w:spacing w:after="0" w:line="120" w:lineRule="exact"/>
        <w:rPr>
          <w:sz w:val="20"/>
          <w:szCs w:val="20"/>
          <w:color w:val="auto"/>
        </w:rPr>
      </w:pPr>
    </w:p>
    <w:p>
      <w:pPr>
        <w:ind w:left="460" w:right="60" w:firstLine="413"/>
        <w:spacing w:after="0" w:line="277" w:lineRule="auto"/>
        <w:rPr>
          <w:sz w:val="20"/>
          <w:szCs w:val="20"/>
          <w:color w:val="auto"/>
        </w:rPr>
      </w:pPr>
      <w:r>
        <w:rPr>
          <w:rFonts w:ascii="Arial" w:cs="Arial" w:eastAsia="Arial" w:hAnsi="Arial"/>
          <w:sz w:val="16"/>
          <w:szCs w:val="16"/>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64" w:lineRule="exact"/>
        <w:rPr>
          <w:sz w:val="20"/>
          <w:szCs w:val="20"/>
          <w:color w:val="auto"/>
        </w:rPr>
      </w:pPr>
    </w:p>
    <w:p>
      <w:pPr>
        <w:jc w:val="both"/>
        <w:ind w:left="460" w:right="160" w:firstLine="413"/>
        <w:spacing w:after="0" w:line="277" w:lineRule="auto"/>
        <w:rPr>
          <w:sz w:val="20"/>
          <w:szCs w:val="20"/>
          <w:color w:val="auto"/>
        </w:rPr>
      </w:pPr>
      <w:r>
        <w:rPr>
          <w:rFonts w:ascii="Arial" w:cs="Arial" w:eastAsia="Arial" w:hAnsi="Arial"/>
          <w:sz w:val="16"/>
          <w:szCs w:val="16"/>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65" w:lineRule="exact"/>
        <w:rPr>
          <w:sz w:val="20"/>
          <w:szCs w:val="20"/>
          <w:color w:val="auto"/>
        </w:rPr>
      </w:pPr>
    </w:p>
    <w:p>
      <w:pPr>
        <w:ind w:left="460" w:right="200"/>
        <w:spacing w:after="0" w:line="377" w:lineRule="auto"/>
        <w:rPr>
          <w:sz w:val="20"/>
          <w:szCs w:val="20"/>
          <w:color w:val="auto"/>
        </w:rPr>
      </w:pPr>
      <w:r>
        <w:rPr>
          <w:rFonts w:ascii="Arial" w:cs="Arial" w:eastAsia="Arial" w:hAnsi="Arial"/>
          <w:sz w:val="14"/>
          <w:szCs w:val="14"/>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Demand for our solutions could be affected by factors that affect the healthcare ecosystem, including:</w:t>
      </w:r>
    </w:p>
    <w:p>
      <w:pPr>
        <w:spacing w:after="0" w:line="121" w:lineRule="exact"/>
        <w:rPr>
          <w:sz w:val="20"/>
          <w:szCs w:val="20"/>
          <w:color w:val="auto"/>
        </w:rPr>
      </w:pPr>
    </w:p>
    <w:p>
      <w:pPr>
        <w:ind w:left="1360" w:right="220" w:hanging="498"/>
        <w:spacing w:after="0" w:line="311" w:lineRule="auto"/>
        <w:tabs>
          <w:tab w:leader="none" w:pos="13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1" w:lineRule="exact"/>
        <w:rPr>
          <w:rFonts w:ascii="Arial" w:cs="Arial" w:eastAsia="Arial" w:hAnsi="Arial"/>
          <w:sz w:val="15"/>
          <w:szCs w:val="15"/>
          <w:color w:val="auto"/>
        </w:rPr>
      </w:pPr>
    </w:p>
    <w:p>
      <w:pPr>
        <w:ind w:left="1360" w:hanging="498"/>
        <w:spacing w:after="0" w:line="268" w:lineRule="auto"/>
        <w:tabs>
          <w:tab w:leader="none" w:pos="1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85" w:lineRule="exact"/>
        <w:rPr>
          <w:rFonts w:ascii="Arial" w:cs="Arial" w:eastAsia="Arial" w:hAnsi="Arial"/>
          <w:sz w:val="16"/>
          <w:szCs w:val="16"/>
          <w:color w:val="auto"/>
        </w:rPr>
      </w:pPr>
    </w:p>
    <w:p>
      <w:pPr>
        <w:ind w:left="1360" w:right="220" w:hanging="498"/>
        <w:spacing w:after="0" w:line="340" w:lineRule="auto"/>
        <w:tabs>
          <w:tab w:leader="none" w:pos="13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30" w:lineRule="exact"/>
        <w:rPr>
          <w:rFonts w:ascii="Arial" w:cs="Arial" w:eastAsia="Arial" w:hAnsi="Arial"/>
          <w:sz w:val="15"/>
          <w:szCs w:val="15"/>
          <w:color w:val="auto"/>
        </w:rPr>
      </w:pPr>
    </w:p>
    <w:p>
      <w:pPr>
        <w:ind w:left="1360" w:right="80" w:hanging="498"/>
        <w:spacing w:after="0" w:line="311" w:lineRule="auto"/>
        <w:tabs>
          <w:tab w:leader="none" w:pos="13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780"/>
          </w:cols>
          <w:pgMar w:left="320" w:top="466" w:right="7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120"/>
        <w:spacing w:after="0" w:line="256" w:lineRule="auto"/>
        <w:rPr>
          <w:sz w:val="20"/>
          <w:szCs w:val="20"/>
          <w:color w:val="auto"/>
        </w:rPr>
      </w:pPr>
      <w:r>
        <w:rPr>
          <w:rFonts w:ascii="Arial" w:cs="Arial" w:eastAsia="Arial" w:hAnsi="Arial"/>
          <w:sz w:val="17"/>
          <w:szCs w:val="17"/>
          <w:color w:val="auto"/>
        </w:rPr>
        <w:t>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90" w:lineRule="exact"/>
        <w:rPr>
          <w:sz w:val="20"/>
          <w:szCs w:val="20"/>
          <w:color w:val="auto"/>
        </w:rPr>
      </w:pPr>
    </w:p>
    <w:p>
      <w:pPr>
        <w:ind w:left="1360" w:hanging="498"/>
        <w:spacing w:after="0" w:line="274" w:lineRule="auto"/>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65" w:lineRule="exact"/>
        <w:rPr>
          <w:sz w:val="20"/>
          <w:szCs w:val="20"/>
          <w:color w:val="auto"/>
        </w:rPr>
      </w:pPr>
    </w:p>
    <w:p>
      <w:pPr>
        <w:ind w:left="460" w:right="600" w:firstLine="413"/>
        <w:spacing w:after="0" w:line="340" w:lineRule="auto"/>
        <w:rPr>
          <w:sz w:val="20"/>
          <w:szCs w:val="20"/>
          <w:color w:val="auto"/>
        </w:rPr>
      </w:pPr>
      <w:r>
        <w:rPr>
          <w:rFonts w:ascii="Arial" w:cs="Arial" w:eastAsia="Arial" w:hAnsi="Arial"/>
          <w:sz w:val="15"/>
          <w:szCs w:val="15"/>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20"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3" w:lineRule="exact"/>
        <w:rPr>
          <w:sz w:val="20"/>
          <w:szCs w:val="20"/>
          <w:color w:val="auto"/>
        </w:rPr>
      </w:pPr>
    </w:p>
    <w:p>
      <w:pPr>
        <w:ind w:left="460" w:right="180" w:firstLine="413"/>
        <w:spacing w:after="0" w:line="293" w:lineRule="auto"/>
        <w:rPr>
          <w:sz w:val="20"/>
          <w:szCs w:val="20"/>
          <w:color w:val="auto"/>
        </w:rPr>
      </w:pPr>
      <w:r>
        <w:rPr>
          <w:rFonts w:ascii="Arial" w:cs="Arial" w:eastAsia="Arial" w:hAnsi="Arial"/>
          <w:sz w:val="15"/>
          <w:szCs w:val="15"/>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66" w:lineRule="exact"/>
        <w:rPr>
          <w:sz w:val="20"/>
          <w:szCs w:val="20"/>
          <w:color w:val="auto"/>
        </w:rPr>
      </w:pPr>
    </w:p>
    <w:p>
      <w:pPr>
        <w:ind w:left="1360" w:hanging="498"/>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need to educate prospective customers about the uses and benefits of our platform;</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discretionary nature of purchase and budget cycles and decisions;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evolving functionality demands;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announcements of planned introductions of new intelligence modules by us or our competitors;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lengthy and multi-faceted purchasing approval processes.</w:t>
      </w:r>
    </w:p>
    <w:p>
      <w:pPr>
        <w:spacing w:after="0" w:line="210"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7"/>
          <w:szCs w:val="17"/>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have overestimated the size of our total addressable market, our future growth rate may be limited.</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780"/>
          </w:cols>
          <w:pgMar w:left="320" w:top="466" w:right="7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40" w:firstLine="413"/>
        <w:spacing w:after="0" w:line="284" w:lineRule="auto"/>
        <w:rPr>
          <w:sz w:val="20"/>
          <w:szCs w:val="20"/>
          <w:color w:val="auto"/>
        </w:rPr>
      </w:pPr>
      <w:r>
        <w:rPr>
          <w:rFonts w:ascii="Arial" w:cs="Arial" w:eastAsia="Arial" w:hAnsi="Arial"/>
          <w:sz w:val="16"/>
          <w:szCs w:val="16"/>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business could be negatively affected by changes in search engine algorithms and dynamics or other traffic-generating arrangements.</w:t>
      </w:r>
    </w:p>
    <w:p>
      <w:pPr>
        <w:spacing w:after="0" w:line="131" w:lineRule="exact"/>
        <w:rPr>
          <w:sz w:val="20"/>
          <w:szCs w:val="20"/>
          <w:color w:val="auto"/>
        </w:rPr>
      </w:pPr>
    </w:p>
    <w:p>
      <w:pPr>
        <w:ind w:left="460" w:right="60" w:firstLine="413"/>
        <w:spacing w:after="0" w:line="290" w:lineRule="auto"/>
        <w:rPr>
          <w:sz w:val="20"/>
          <w:szCs w:val="20"/>
          <w:color w:val="auto"/>
        </w:rPr>
      </w:pPr>
      <w:r>
        <w:rPr>
          <w:rFonts w:ascii="Arial" w:cs="Arial" w:eastAsia="Arial" w:hAnsi="Arial"/>
          <w:sz w:val="15"/>
          <w:szCs w:val="15"/>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Operations outside the U.S. expose us to risks inherent in international operations.</w:t>
      </w:r>
    </w:p>
    <w:p>
      <w:pPr>
        <w:spacing w:after="0" w:line="108"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color w:val="auto"/>
        </w:rPr>
        <w:t>Our recent acquisition of Swedish subscription-based provider of scientific data, Monocl, in October 2020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a limited operating history, which makes it difficult to forecast our revenue and evaluate our business and future prospects.</w:t>
      </w:r>
    </w:p>
    <w:p>
      <w:pPr>
        <w:spacing w:after="0" w:line="120"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273" w:lineRule="exact"/>
        <w:rPr>
          <w:sz w:val="20"/>
          <w:szCs w:val="20"/>
          <w:color w:val="auto"/>
        </w:rPr>
      </w:pPr>
    </w:p>
    <w:p>
      <w:pPr>
        <w:ind w:left="460" w:right="100"/>
        <w:spacing w:after="0" w:line="377" w:lineRule="auto"/>
        <w:rPr>
          <w:sz w:val="20"/>
          <w:szCs w:val="20"/>
          <w:color w:val="auto"/>
        </w:rPr>
      </w:pPr>
      <w:r>
        <w:rPr>
          <w:rFonts w:ascii="Arial" w:cs="Arial" w:eastAsia="Arial" w:hAnsi="Arial"/>
          <w:sz w:val="14"/>
          <w:szCs w:val="14"/>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1"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780"/>
          </w:cols>
          <w:pgMar w:left="320" w:top="466" w:right="7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If we need additional capital and cannot raise it on acceptable terms, or at all, we may not be able to, among other things:</w:t>
      </w:r>
    </w:p>
    <w:p>
      <w:pPr>
        <w:spacing w:after="0" w:line="121" w:lineRule="exact"/>
        <w:rPr>
          <w:sz w:val="20"/>
          <w:szCs w:val="20"/>
          <w:color w:val="auto"/>
        </w:rPr>
      </w:pPr>
    </w:p>
    <w:p>
      <w:pPr>
        <w:ind w:left="1360" w:hanging="498"/>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develop new features, intelligence modules, updates, integrations, capabilities and enhancements;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continue to provide synthesis of real-time data;</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hire, train and retain employees;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respond to competitive pressures or unanticipated working capital requirements; or</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pursue acquisition opportunities.</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Catastrophic events could disrupt our business and adversely affect our operating results.</w:t>
      </w:r>
    </w:p>
    <w:p>
      <w:pPr>
        <w:spacing w:after="0" w:line="108"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 all of which could have a material adverse effect on our business, financial condition and results of operations.</w:t>
      </w:r>
    </w:p>
    <w:p>
      <w:pPr>
        <w:spacing w:after="0" w:line="273"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b w:val="1"/>
          <w:bCs w:val="1"/>
          <w:i w:val="1"/>
          <w:iCs w:val="1"/>
          <w:color w:val="auto"/>
        </w:rPr>
        <w:t>Our solutions utilize open-source software, and any failure to comply with the terms of one or more of these open-source licenses could adversely affect our business.</w:t>
      </w:r>
    </w:p>
    <w:p>
      <w:pPr>
        <w:spacing w:after="0" w:line="63"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 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67"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 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273"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3"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780"/>
          </w:cols>
          <w:pgMar w:left="320" w:top="466" w:right="7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spacing w:after="0" w:line="296" w:lineRule="auto"/>
        <w:rPr>
          <w:sz w:val="20"/>
          <w:szCs w:val="20"/>
          <w:color w:val="auto"/>
        </w:rPr>
      </w:pPr>
      <w:r>
        <w:rPr>
          <w:rFonts w:ascii="Arial" w:cs="Arial" w:eastAsia="Arial" w:hAnsi="Arial"/>
          <w:sz w:val="15"/>
          <w:szCs w:val="15"/>
          <w:color w:val="auto"/>
        </w:rPr>
        <w:t>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Data Privacy and Cybersecurity</w:t>
      </w:r>
    </w:p>
    <w:p>
      <w:pPr>
        <w:spacing w:after="0" w:line="112" w:lineRule="exact"/>
        <w:rPr>
          <w:sz w:val="20"/>
          <w:szCs w:val="20"/>
          <w:color w:val="auto"/>
        </w:rPr>
      </w:pPr>
    </w:p>
    <w:p>
      <w:pPr>
        <w:ind w:left="460" w:right="560"/>
        <w:spacing w:after="0" w:line="272" w:lineRule="auto"/>
        <w:rPr>
          <w:sz w:val="20"/>
          <w:szCs w:val="20"/>
          <w:color w:val="auto"/>
        </w:rPr>
      </w:pPr>
      <w:r>
        <w:rPr>
          <w:rFonts w:ascii="Arial" w:cs="Arial" w:eastAsia="Arial" w:hAnsi="Arial"/>
          <w:sz w:val="17"/>
          <w:szCs w:val="17"/>
          <w:b w:val="1"/>
          <w:bCs w:val="1"/>
          <w:i w:val="1"/>
          <w:iCs w:val="1"/>
          <w:color w:val="auto"/>
        </w:rPr>
        <w:t>Cyber-attacks and security vulnerabilities could have a material adverse effect on our reputation, business, financial condition and results of operations.</w:t>
      </w:r>
    </w:p>
    <w:p>
      <w:pPr>
        <w:spacing w:after="0" w:line="63"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70" w:lineRule="exact"/>
        <w:rPr>
          <w:sz w:val="20"/>
          <w:szCs w:val="20"/>
          <w:color w:val="auto"/>
        </w:rPr>
      </w:pPr>
    </w:p>
    <w:p>
      <w:pPr>
        <w:ind w:left="460" w:right="20" w:firstLine="413"/>
        <w:spacing w:after="0" w:line="285" w:lineRule="auto"/>
        <w:rPr>
          <w:sz w:val="20"/>
          <w:szCs w:val="20"/>
          <w:color w:val="auto"/>
        </w:rPr>
      </w:pPr>
      <w:r>
        <w:rPr>
          <w:rFonts w:ascii="Arial" w:cs="Arial" w:eastAsia="Arial" w:hAnsi="Arial"/>
          <w:sz w:val="15"/>
          <w:szCs w:val="15"/>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65"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The extent of a particular cybersecurity incident and the steps that we may need to take to investigate it may not be immediately clear, and it may take a significant amount of time before such an investigation can be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780"/>
          </w:cols>
          <w:pgMar w:left="320" w:top="466" w:right="7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79" w:lineRule="exact"/>
        <w:rPr>
          <w:sz w:val="20"/>
          <w:szCs w:val="20"/>
          <w:color w:val="auto"/>
        </w:rPr>
      </w:pPr>
    </w:p>
    <w:p>
      <w:pPr>
        <w:ind w:left="460" w:right="40" w:firstLine="413"/>
        <w:spacing w:after="0" w:line="285" w:lineRule="auto"/>
        <w:rPr>
          <w:sz w:val="20"/>
          <w:szCs w:val="20"/>
          <w:color w:val="auto"/>
        </w:rPr>
      </w:pPr>
      <w:r>
        <w:rPr>
          <w:rFonts w:ascii="Arial" w:cs="Arial" w:eastAsia="Arial" w:hAnsi="Arial"/>
          <w:sz w:val="15"/>
          <w:szCs w:val="15"/>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65" w:lineRule="exact"/>
        <w:rPr>
          <w:sz w:val="20"/>
          <w:szCs w:val="20"/>
          <w:color w:val="auto"/>
        </w:rPr>
      </w:pPr>
    </w:p>
    <w:p>
      <w:pPr>
        <w:ind w:left="460" w:right="20" w:firstLine="413"/>
        <w:spacing w:after="0" w:line="293" w:lineRule="auto"/>
        <w:rPr>
          <w:sz w:val="20"/>
          <w:szCs w:val="20"/>
          <w:color w:val="auto"/>
        </w:rPr>
      </w:pPr>
      <w:r>
        <w:rPr>
          <w:rFonts w:ascii="Arial" w:cs="Arial" w:eastAsia="Arial" w:hAnsi="Arial"/>
          <w:sz w:val="15"/>
          <w:szCs w:val="15"/>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56" w:lineRule="exact"/>
        <w:rPr>
          <w:sz w:val="20"/>
          <w:szCs w:val="20"/>
          <w:color w:val="auto"/>
        </w:rPr>
      </w:pPr>
    </w:p>
    <w:p>
      <w:pPr>
        <w:ind w:left="460"/>
        <w:spacing w:after="0" w:line="303" w:lineRule="auto"/>
        <w:rPr>
          <w:sz w:val="20"/>
          <w:szCs w:val="20"/>
          <w:color w:val="auto"/>
        </w:rPr>
      </w:pPr>
      <w:r>
        <w:rPr>
          <w:rFonts w:ascii="Arial" w:cs="Arial" w:eastAsia="Arial" w:hAnsi="Arial"/>
          <w:sz w:val="16"/>
          <w:szCs w:val="16"/>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42"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Our customers use our solutions to understand and navigate the healthcare ecosystem. The collection, processing, retention, security, transfer and disclosure of personal information are subject to a variety of laws and regulations in the United States and abroad that govern data privacy and security (collectively, “Privacy Laws”), 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780"/>
          </w:cols>
          <w:pgMar w:left="320" w:top="466" w:right="79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296" w:lineRule="auto"/>
        <w:rPr>
          <w:sz w:val="20"/>
          <w:szCs w:val="20"/>
          <w:color w:val="auto"/>
        </w:rPr>
      </w:pPr>
      <w:r>
        <w:rPr>
          <w:rFonts w:ascii="Arial" w:cs="Arial" w:eastAsia="Arial" w:hAnsi="Arial"/>
          <w:sz w:val="15"/>
          <w:szCs w:val="15"/>
          <w:color w:val="auto"/>
        </w:rPr>
        <w:t>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52"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82" w:lineRule="exact"/>
        <w:rPr>
          <w:sz w:val="20"/>
          <w:szCs w:val="20"/>
          <w:color w:val="auto"/>
        </w:rPr>
      </w:pPr>
    </w:p>
    <w:p>
      <w:pPr>
        <w:ind w:left="460" w:right="20" w:firstLine="413"/>
        <w:spacing w:after="0" w:line="252" w:lineRule="auto"/>
        <w:rPr>
          <w:sz w:val="20"/>
          <w:szCs w:val="20"/>
          <w:color w:val="auto"/>
        </w:rPr>
      </w:pPr>
      <w:r>
        <w:rPr>
          <w:rFonts w:ascii="Arial" w:cs="Arial" w:eastAsia="Arial" w:hAnsi="Arial"/>
          <w:sz w:val="17"/>
          <w:szCs w:val="17"/>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w:t>
      </w:r>
    </w:p>
    <w:p>
      <w:pPr>
        <w:spacing w:after="0" w:line="182" w:lineRule="exact"/>
        <w:rPr>
          <w:sz w:val="20"/>
          <w:szCs w:val="20"/>
          <w:color w:val="auto"/>
        </w:rPr>
      </w:pPr>
    </w:p>
    <w:p>
      <w:pPr>
        <w:ind w:left="460" w:right="140" w:firstLine="413"/>
        <w:spacing w:after="0" w:line="256" w:lineRule="auto"/>
        <w:rPr>
          <w:sz w:val="20"/>
          <w:szCs w:val="20"/>
          <w:color w:val="auto"/>
        </w:rPr>
      </w:pPr>
      <w:r>
        <w:rPr>
          <w:rFonts w:ascii="Arial" w:cs="Arial" w:eastAsia="Arial" w:hAnsi="Arial"/>
          <w:sz w:val="17"/>
          <w:szCs w:val="17"/>
          <w:color w:val="auto"/>
        </w:rPr>
        <w:t>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79" w:lineRule="exact"/>
        <w:rPr>
          <w:sz w:val="20"/>
          <w:szCs w:val="20"/>
          <w:color w:val="auto"/>
        </w:rPr>
      </w:pPr>
    </w:p>
    <w:p>
      <w:pPr>
        <w:ind w:left="460" w:right="140" w:firstLine="413"/>
        <w:spacing w:after="0" w:line="270" w:lineRule="auto"/>
        <w:rPr>
          <w:sz w:val="20"/>
          <w:szCs w:val="20"/>
          <w:color w:val="auto"/>
        </w:rPr>
      </w:pPr>
      <w:r>
        <w:rPr>
          <w:rFonts w:ascii="Arial" w:cs="Arial" w:eastAsia="Arial" w:hAnsi="Arial"/>
          <w:sz w:val="16"/>
          <w:szCs w:val="16"/>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and its implementation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72" w:lineRule="exact"/>
        <w:rPr>
          <w:sz w:val="20"/>
          <w:szCs w:val="20"/>
          <w:color w:val="auto"/>
        </w:rPr>
      </w:pPr>
    </w:p>
    <w:p>
      <w:pPr>
        <w:ind w:left="460" w:right="120" w:firstLine="413"/>
        <w:spacing w:after="0" w:line="274" w:lineRule="auto"/>
        <w:rPr>
          <w:sz w:val="20"/>
          <w:szCs w:val="20"/>
          <w:color w:val="auto"/>
        </w:rPr>
      </w:pPr>
      <w:r>
        <w:rPr>
          <w:rFonts w:ascii="Arial" w:cs="Arial" w:eastAsia="Arial" w:hAnsi="Arial"/>
          <w:sz w:val="16"/>
          <w:szCs w:val="16"/>
          <w:color w:val="auto"/>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780"/>
          </w:cols>
          <w:pgMar w:left="320" w:top="466" w:right="7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52" w:lineRule="auto"/>
        <w:rPr>
          <w:sz w:val="20"/>
          <w:szCs w:val="20"/>
          <w:color w:val="auto"/>
        </w:rPr>
      </w:pPr>
      <w:r>
        <w:rPr>
          <w:rFonts w:ascii="Arial" w:cs="Arial" w:eastAsia="Arial" w:hAnsi="Arial"/>
          <w:sz w:val="17"/>
          <w:szCs w:val="17"/>
          <w:color w:val="auto"/>
        </w:rPr>
        <w:t>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84" w:lineRule="exact"/>
        <w:rPr>
          <w:sz w:val="20"/>
          <w:szCs w:val="20"/>
          <w:color w:val="auto"/>
        </w:rPr>
      </w:pPr>
    </w:p>
    <w:p>
      <w:pPr>
        <w:jc w:val="both"/>
        <w:ind w:left="460" w:firstLine="413"/>
        <w:spacing w:after="0" w:line="287" w:lineRule="auto"/>
        <w:rPr>
          <w:sz w:val="20"/>
          <w:szCs w:val="20"/>
          <w:color w:val="auto"/>
        </w:rPr>
      </w:pPr>
      <w:r>
        <w:rPr>
          <w:rFonts w:ascii="Arial" w:cs="Arial" w:eastAsia="Arial" w:hAnsi="Arial"/>
          <w:sz w:val="15"/>
          <w:szCs w:val="15"/>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w:t>
      </w:r>
    </w:p>
    <w:p>
      <w:pPr>
        <w:spacing w:after="0" w:line="1" w:lineRule="exact"/>
        <w:rPr>
          <w:sz w:val="20"/>
          <w:szCs w:val="20"/>
          <w:color w:val="auto"/>
        </w:rPr>
      </w:pPr>
    </w:p>
    <w:p>
      <w:pPr>
        <w:ind w:left="460" w:right="60"/>
        <w:spacing w:after="0" w:line="253" w:lineRule="auto"/>
        <w:rPr>
          <w:sz w:val="20"/>
          <w:szCs w:val="20"/>
          <w:color w:val="auto"/>
        </w:rPr>
      </w:pPr>
      <w:r>
        <w:rPr>
          <w:rFonts w:ascii="Arial" w:cs="Arial" w:eastAsia="Arial" w:hAnsi="Arial"/>
          <w:sz w:val="17"/>
          <w:szCs w:val="17"/>
          <w:color w:val="auto"/>
        </w:rPr>
        <w:t>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81" w:lineRule="exact"/>
        <w:rPr>
          <w:sz w:val="20"/>
          <w:szCs w:val="20"/>
          <w:color w:val="auto"/>
        </w:rPr>
      </w:pPr>
    </w:p>
    <w:p>
      <w:pPr>
        <w:ind w:left="460" w:right="160" w:firstLine="413"/>
        <w:spacing w:after="0" w:line="293" w:lineRule="auto"/>
        <w:rPr>
          <w:sz w:val="20"/>
          <w:szCs w:val="20"/>
          <w:color w:val="auto"/>
        </w:rPr>
      </w:pPr>
      <w:r>
        <w:rPr>
          <w:rFonts w:ascii="Arial" w:cs="Arial" w:eastAsia="Arial" w:hAnsi="Arial"/>
          <w:sz w:val="15"/>
          <w:szCs w:val="15"/>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55" w:lineRule="exact"/>
        <w:rPr>
          <w:sz w:val="20"/>
          <w:szCs w:val="20"/>
          <w:color w:val="auto"/>
        </w:rPr>
      </w:pPr>
    </w:p>
    <w:p>
      <w:pPr>
        <w:ind w:left="460" w:right="20" w:firstLine="413"/>
        <w:spacing w:after="0" w:line="286" w:lineRule="auto"/>
        <w:rPr>
          <w:sz w:val="20"/>
          <w:szCs w:val="20"/>
          <w:color w:val="auto"/>
        </w:rPr>
      </w:pPr>
      <w:r>
        <w:rPr>
          <w:rFonts w:ascii="Arial" w:cs="Arial" w:eastAsia="Arial" w:hAnsi="Arial"/>
          <w:sz w:val="15"/>
          <w:szCs w:val="15"/>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California Privacy Rights Act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62" w:lineRule="exact"/>
        <w:rPr>
          <w:sz w:val="20"/>
          <w:szCs w:val="20"/>
          <w:color w:val="auto"/>
        </w:rPr>
      </w:pPr>
    </w:p>
    <w:p>
      <w:pPr>
        <w:ind w:left="460" w:right="200" w:firstLine="413"/>
        <w:spacing w:after="0" w:line="311" w:lineRule="auto"/>
        <w:rPr>
          <w:sz w:val="20"/>
          <w:szCs w:val="20"/>
          <w:color w:val="auto"/>
        </w:rPr>
      </w:pPr>
      <w:r>
        <w:rPr>
          <w:rFonts w:ascii="Arial" w:cs="Arial" w:eastAsia="Arial" w:hAnsi="Arial"/>
          <w:sz w:val="15"/>
          <w:szCs w:val="15"/>
          <w:color w:val="auto"/>
        </w:rPr>
        <w:t>We may also be subject to international Privacy Laws such as the European Union’s (the “EU”) General Data Protection Regulation (“GDPR”), the UK Data Protection Act 2018, Canada’s Personal Information Protection and Electronic Documents Act and other international data protection, privacy, data security, data localization and similar national, state/provincial and local laws. The GDPR imposes stringent operational</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780"/>
          </w:cols>
          <w:pgMar w:left="320" w:top="466" w:right="79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66" w:lineRule="auto"/>
        <w:rPr>
          <w:sz w:val="20"/>
          <w:szCs w:val="20"/>
          <w:color w:val="auto"/>
        </w:rPr>
      </w:pPr>
      <w:r>
        <w:rPr>
          <w:rFonts w:ascii="Arial" w:cs="Arial" w:eastAsia="Arial" w:hAnsi="Arial"/>
          <w:sz w:val="16"/>
          <w:szCs w:val="16"/>
          <w:color w:val="auto"/>
        </w:rPr>
        <w:t>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falls within the scope of Article 85 GDPR and is exempt from certain core provisions of the GDPR including, but not limited to, requirements relating to the rights of the data subject (Chapter II) and the transfer of 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The GDPR treats health information as a “special category of personal data,” subject to heightened requirements, including that such information typically cannot be collected, used, or disclosed without explicit consent. Neither we nor our EU subsidiary, which principally processes EU personal data, currently process such health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w:t>
      </w:r>
    </w:p>
    <w:p>
      <w:pPr>
        <w:spacing w:after="0" w:line="175" w:lineRule="exact"/>
        <w:rPr>
          <w:sz w:val="20"/>
          <w:szCs w:val="20"/>
          <w:color w:val="auto"/>
        </w:rPr>
      </w:pPr>
    </w:p>
    <w:p>
      <w:pPr>
        <w:ind w:left="460" w:right="40" w:firstLine="413"/>
        <w:spacing w:after="0" w:line="287" w:lineRule="auto"/>
        <w:rPr>
          <w:sz w:val="20"/>
          <w:szCs w:val="20"/>
          <w:color w:val="auto"/>
        </w:rPr>
      </w:pPr>
      <w:r>
        <w:rPr>
          <w:rFonts w:ascii="Arial" w:cs="Arial" w:eastAsia="Arial" w:hAnsi="Arial"/>
          <w:sz w:val="15"/>
          <w:szCs w:val="15"/>
          <w:color w:val="auto"/>
        </w:rPr>
        <w:t>Additionally, we are subject to laws, rules, and regulations (including under the GDPR) regarding cross- 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59" w:lineRule="exact"/>
        <w:rPr>
          <w:sz w:val="20"/>
          <w:szCs w:val="20"/>
          <w:color w:val="auto"/>
        </w:rPr>
      </w:pPr>
    </w:p>
    <w:p>
      <w:pPr>
        <w:ind w:left="460" w:right="40" w:firstLine="413"/>
        <w:spacing w:after="0" w:line="277" w:lineRule="auto"/>
        <w:rPr>
          <w:sz w:val="20"/>
          <w:szCs w:val="20"/>
          <w:color w:val="auto"/>
        </w:rPr>
      </w:pPr>
      <w:r>
        <w:rPr>
          <w:rFonts w:ascii="Arial" w:cs="Arial" w:eastAsia="Arial" w:hAnsi="Arial"/>
          <w:sz w:val="16"/>
          <w:szCs w:val="16"/>
          <w:color w:val="auto"/>
        </w:rPr>
        <w:t>Customers expect that our solutions can be used in compliance with data protection and data Privacy Laws and regulations. The functional and operational requirements and costs of compliance with such laws and 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780"/>
          </w:cols>
          <w:pgMar w:left="320" w:top="466" w:right="7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color w:val="auto"/>
        </w:rPr>
        <w:t>affect our customers’ ability or desire to collect, use, process, store and disclose personal information and health data using our solutions, or to license data products from us, which could reduce demand for our solutions.</w:t>
      </w:r>
    </w:p>
    <w:p>
      <w:pPr>
        <w:spacing w:after="0" w:line="165" w:lineRule="exact"/>
        <w:rPr>
          <w:sz w:val="20"/>
          <w:szCs w:val="20"/>
          <w:color w:val="auto"/>
        </w:rPr>
      </w:pPr>
    </w:p>
    <w:p>
      <w:pPr>
        <w:ind w:left="460" w:right="100" w:firstLine="413"/>
        <w:spacing w:after="0" w:line="290" w:lineRule="auto"/>
        <w:rPr>
          <w:sz w:val="20"/>
          <w:szCs w:val="20"/>
          <w:color w:val="auto"/>
        </w:rPr>
      </w:pPr>
      <w:r>
        <w:rPr>
          <w:rFonts w:ascii="Arial" w:cs="Arial" w:eastAsia="Arial" w:hAnsi="Arial"/>
          <w:sz w:val="15"/>
          <w:szCs w:val="15"/>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Legal and Regulatory Risks</w:t>
      </w:r>
    </w:p>
    <w:p>
      <w:pPr>
        <w:spacing w:after="0" w:line="112" w:lineRule="exact"/>
        <w:rPr>
          <w:sz w:val="20"/>
          <w:szCs w:val="20"/>
          <w:color w:val="auto"/>
        </w:rPr>
      </w:pPr>
    </w:p>
    <w:p>
      <w:pPr>
        <w:ind w:left="460" w:right="40"/>
        <w:spacing w:after="0" w:line="340" w:lineRule="auto"/>
        <w:rPr>
          <w:sz w:val="20"/>
          <w:szCs w:val="20"/>
          <w:color w:val="auto"/>
        </w:rPr>
      </w:pPr>
      <w:r>
        <w:rPr>
          <w:rFonts w:ascii="Arial" w:cs="Arial" w:eastAsia="Arial" w:hAnsi="Arial"/>
          <w:sz w:val="15"/>
          <w:szCs w:val="15"/>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8"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52"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83" w:lineRule="exact"/>
        <w:rPr>
          <w:sz w:val="20"/>
          <w:szCs w:val="20"/>
          <w:color w:val="auto"/>
        </w:rPr>
      </w:pPr>
    </w:p>
    <w:p>
      <w:pPr>
        <w:ind w:left="460" w:right="100"/>
        <w:spacing w:after="0" w:line="377" w:lineRule="auto"/>
        <w:rPr>
          <w:sz w:val="20"/>
          <w:szCs w:val="20"/>
          <w:color w:val="auto"/>
        </w:rPr>
      </w:pPr>
      <w:r>
        <w:rPr>
          <w:rFonts w:ascii="Arial" w:cs="Arial" w:eastAsia="Arial" w:hAnsi="Arial"/>
          <w:sz w:val="14"/>
          <w:szCs w:val="14"/>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1"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780"/>
          </w:cols>
          <w:pgMar w:left="320" w:top="466" w:right="79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spacing w:after="0" w:line="287" w:lineRule="auto"/>
        <w:rPr>
          <w:sz w:val="20"/>
          <w:szCs w:val="20"/>
          <w:color w:val="auto"/>
        </w:rPr>
      </w:pPr>
      <w:r>
        <w:rPr>
          <w:rFonts w:ascii="Arial" w:cs="Arial" w:eastAsia="Arial" w:hAnsi="Arial"/>
          <w:sz w:val="15"/>
          <w:szCs w:val="15"/>
          <w:color w:val="auto"/>
        </w:rPr>
        <w:t>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159" w:lineRule="exact"/>
        <w:rPr>
          <w:sz w:val="20"/>
          <w:szCs w:val="20"/>
          <w:color w:val="auto"/>
        </w:rPr>
      </w:pPr>
    </w:p>
    <w:p>
      <w:pPr>
        <w:ind w:left="460" w:right="140" w:firstLine="413"/>
        <w:spacing w:after="0" w:line="253" w:lineRule="auto"/>
        <w:rPr>
          <w:sz w:val="20"/>
          <w:szCs w:val="20"/>
          <w:color w:val="auto"/>
        </w:rPr>
      </w:pPr>
      <w:r>
        <w:rPr>
          <w:rFonts w:ascii="Arial" w:cs="Arial" w:eastAsia="Arial" w:hAnsi="Arial"/>
          <w:sz w:val="17"/>
          <w:szCs w:val="17"/>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could be subject to claims brought by our customers, which could be costly and time consuming to defend.</w:t>
      </w:r>
    </w:p>
    <w:p>
      <w:pPr>
        <w:spacing w:after="0" w:line="108"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69"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3" w:lineRule="exact"/>
        <w:rPr>
          <w:sz w:val="20"/>
          <w:szCs w:val="20"/>
          <w:color w:val="auto"/>
        </w:rPr>
      </w:pPr>
    </w:p>
    <w:p>
      <w:pPr>
        <w:ind w:left="460" w:right="100" w:firstLine="413"/>
        <w:spacing w:after="0" w:line="270" w:lineRule="auto"/>
        <w:rPr>
          <w:sz w:val="20"/>
          <w:szCs w:val="20"/>
          <w:color w:val="auto"/>
        </w:rPr>
      </w:pPr>
      <w:r>
        <w:rPr>
          <w:rFonts w:ascii="Arial" w:cs="Arial" w:eastAsia="Arial" w:hAnsi="Arial"/>
          <w:sz w:val="16"/>
          <w:szCs w:val="16"/>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p>
    <w:p>
      <w:pPr>
        <w:spacing w:after="0" w:line="172" w:lineRule="exact"/>
        <w:rPr>
          <w:sz w:val="20"/>
          <w:szCs w:val="20"/>
          <w:color w:val="auto"/>
        </w:rPr>
      </w:pPr>
    </w:p>
    <w:p>
      <w:pPr>
        <w:ind w:left="460" w:right="520" w:firstLine="413"/>
        <w:spacing w:after="0" w:line="272" w:lineRule="auto"/>
        <w:rPr>
          <w:sz w:val="20"/>
          <w:szCs w:val="20"/>
          <w:color w:val="auto"/>
        </w:rPr>
      </w:pPr>
      <w:r>
        <w:rPr>
          <w:rFonts w:ascii="Arial" w:cs="Arial" w:eastAsia="Arial" w:hAnsi="Arial"/>
          <w:sz w:val="17"/>
          <w:szCs w:val="17"/>
          <w:color w:val="auto"/>
        </w:rPr>
        <w:t>In addition, we may be required to spend significant resources to monitor and protect our contractual, intellectual property and other rights, including collection of payments and fees. Litigation has been and may be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780"/>
          </w:cols>
          <w:pgMar w:left="320" w:top="466" w:right="7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0"/>
        <w:spacing w:after="0" w:line="277" w:lineRule="auto"/>
        <w:rPr>
          <w:sz w:val="20"/>
          <w:szCs w:val="20"/>
          <w:color w:val="auto"/>
        </w:rPr>
      </w:pPr>
      <w:r>
        <w:rPr>
          <w:rFonts w:ascii="Arial" w:cs="Arial" w:eastAsia="Arial" w:hAnsi="Arial"/>
          <w:sz w:val="16"/>
          <w:szCs w:val="16"/>
          <w:color w:val="auto"/>
        </w:rPr>
        <w:t>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subject to liability if we breach our contracts, and our insurance may be inadequate to cover our losses.</w:t>
      </w:r>
    </w:p>
    <w:p>
      <w:pPr>
        <w:spacing w:after="0" w:line="108"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65" w:lineRule="exact"/>
        <w:rPr>
          <w:sz w:val="20"/>
          <w:szCs w:val="20"/>
          <w:color w:val="auto"/>
        </w:rPr>
      </w:pPr>
    </w:p>
    <w:p>
      <w:pPr>
        <w:ind w:left="460" w:right="500" w:firstLine="413"/>
        <w:spacing w:after="0" w:line="340" w:lineRule="auto"/>
        <w:rPr>
          <w:sz w:val="20"/>
          <w:szCs w:val="20"/>
          <w:color w:val="auto"/>
        </w:rPr>
      </w:pPr>
      <w:r>
        <w:rPr>
          <w:rFonts w:ascii="Arial" w:cs="Arial" w:eastAsia="Arial" w:hAnsi="Arial"/>
          <w:sz w:val="15"/>
          <w:szCs w:val="15"/>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subject to legal liability for collecting, displaying or distributing information.</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adequately protect our proprietary and intellectual property rights in our data analytics or data science.</w:t>
      </w:r>
    </w:p>
    <w:p>
      <w:pPr>
        <w:spacing w:after="0" w:line="108"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760"/>
          </w:cols>
          <w:pgMar w:left="320" w:top="466" w:right="81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firstLine="413"/>
        <w:spacing w:after="0" w:line="268" w:lineRule="auto"/>
        <w:rPr>
          <w:sz w:val="20"/>
          <w:szCs w:val="20"/>
          <w:color w:val="auto"/>
        </w:rPr>
      </w:pPr>
      <w:r>
        <w:rPr>
          <w:rFonts w:ascii="Arial" w:cs="Arial" w:eastAsia="Arial" w:hAnsi="Arial"/>
          <w:sz w:val="16"/>
          <w:szCs w:val="16"/>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4"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71" w:lineRule="exact"/>
        <w:rPr>
          <w:sz w:val="20"/>
          <w:szCs w:val="20"/>
          <w:color w:val="auto"/>
        </w:rPr>
      </w:pPr>
    </w:p>
    <w:p>
      <w:pPr>
        <w:ind w:left="460" w:right="20" w:firstLine="413"/>
        <w:spacing w:after="0" w:line="296" w:lineRule="auto"/>
        <w:rPr>
          <w:sz w:val="20"/>
          <w:szCs w:val="20"/>
          <w:color w:val="auto"/>
        </w:rPr>
      </w:pPr>
      <w:r>
        <w:rPr>
          <w:rFonts w:ascii="Arial" w:cs="Arial" w:eastAsia="Arial" w:hAnsi="Arial"/>
          <w:sz w:val="15"/>
          <w:szCs w:val="15"/>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subject to claims by others that we are infringing on their intellectual property rights.</w:t>
      </w:r>
    </w:p>
    <w:p>
      <w:pPr>
        <w:spacing w:after="0" w:line="108" w:lineRule="exact"/>
        <w:rPr>
          <w:sz w:val="20"/>
          <w:szCs w:val="20"/>
          <w:color w:val="auto"/>
        </w:rPr>
      </w:pPr>
    </w:p>
    <w:p>
      <w:pPr>
        <w:ind w:left="460" w:right="60" w:firstLine="413"/>
        <w:spacing w:after="0" w:line="252" w:lineRule="auto"/>
        <w:rPr>
          <w:sz w:val="20"/>
          <w:szCs w:val="20"/>
          <w:color w:val="auto"/>
        </w:rPr>
      </w:pPr>
      <w:r>
        <w:rPr>
          <w:rFonts w:ascii="Arial" w:cs="Arial" w:eastAsia="Arial" w:hAnsi="Arial"/>
          <w:sz w:val="17"/>
          <w:szCs w:val="17"/>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184"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Third parties may assert claims that we or our customers infringe their intellectual property rights and these claims, with or without merit, could be expensive to litigate, cause us to incur substantial costs and divert</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780"/>
          </w:cols>
          <w:pgMar w:left="320" w:top="466" w:right="7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53" w:lineRule="auto"/>
        <w:rPr>
          <w:sz w:val="20"/>
          <w:szCs w:val="20"/>
          <w:color w:val="auto"/>
        </w:rPr>
      </w:pPr>
      <w:r>
        <w:rPr>
          <w:rFonts w:ascii="Arial" w:cs="Arial" w:eastAsia="Arial" w:hAnsi="Arial"/>
          <w:sz w:val="17"/>
          <w:szCs w:val="17"/>
          <w:color w:val="auto"/>
        </w:rPr>
        <w:t>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82"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i w:val="1"/>
          <w:iCs w:val="1"/>
          <w:color w:val="auto"/>
        </w:rPr>
        <w:t>Our business could be adversely impacted by changes in laws and regulations related to the Internet or changes in access to the Internet generally.</w:t>
      </w:r>
    </w:p>
    <w:p>
      <w:pPr>
        <w:spacing w:after="0" w:line="143"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84"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55"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780"/>
          </w:cols>
          <w:pgMar w:left="320" w:top="466" w:right="79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Certain Tax Matters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Unanticipated changes in our effective tax rate and additional tax liabilities may impact our financial results.</w:t>
      </w:r>
    </w:p>
    <w:p>
      <w:pPr>
        <w:spacing w:after="0" w:line="108"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We will be subject to taxes in the U.S. and certain foreign jurisdictions. Due to economic and political conditions, tax rates in various jurisdictions, including the U.S., may be subject to change. In particular, there are current proposals from the president and Congress in the U.S., which if enacted,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84"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83"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3"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56" w:lineRule="exact"/>
        <w:rPr>
          <w:sz w:val="20"/>
          <w:szCs w:val="20"/>
          <w:color w:val="auto"/>
        </w:rPr>
      </w:pPr>
    </w:p>
    <w:p>
      <w:pPr>
        <w:ind w:left="460" w:right="60" w:firstLine="413"/>
        <w:spacing w:after="0" w:line="296" w:lineRule="auto"/>
        <w:rPr>
          <w:sz w:val="20"/>
          <w:szCs w:val="20"/>
          <w:color w:val="auto"/>
        </w:rPr>
      </w:pPr>
      <w:r>
        <w:rPr>
          <w:rFonts w:ascii="Arial" w:cs="Arial" w:eastAsia="Arial" w:hAnsi="Arial"/>
          <w:sz w:val="15"/>
          <w:szCs w:val="15"/>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253"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3"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780"/>
          </w:cols>
          <w:pgMar w:left="320" w:top="466" w:right="79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96" w:lineRule="auto"/>
        <w:rPr>
          <w:sz w:val="20"/>
          <w:szCs w:val="20"/>
          <w:color w:val="auto"/>
        </w:rPr>
      </w:pPr>
      <w:r>
        <w:rPr>
          <w:rFonts w:ascii="Arial" w:cs="Arial" w:eastAsia="Arial" w:hAnsi="Arial"/>
          <w:sz w:val="15"/>
          <w:szCs w:val="15"/>
          <w:color w:val="auto"/>
        </w:rPr>
        <w:t>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52" w:lineRule="exact"/>
        <w:rPr>
          <w:sz w:val="20"/>
          <w:szCs w:val="20"/>
          <w:color w:val="auto"/>
        </w:rPr>
      </w:pPr>
    </w:p>
    <w:p>
      <w:pPr>
        <w:ind w:left="460" w:right="160" w:firstLine="413"/>
        <w:spacing w:after="0" w:line="254" w:lineRule="auto"/>
        <w:rPr>
          <w:sz w:val="20"/>
          <w:szCs w:val="20"/>
          <w:color w:val="auto"/>
        </w:rPr>
      </w:pPr>
      <w:r>
        <w:rPr>
          <w:rFonts w:ascii="Arial" w:cs="Arial" w:eastAsia="Arial" w:hAnsi="Arial"/>
          <w:sz w:val="17"/>
          <w:szCs w:val="17"/>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Accounting and Financial Reporting Matters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Deferred revenue and change in deferred revenue may not be accurate indicators of our future financial results.</w:t>
      </w:r>
    </w:p>
    <w:p>
      <w:pPr>
        <w:spacing w:after="0" w:line="108" w:lineRule="exact"/>
        <w:rPr>
          <w:sz w:val="20"/>
          <w:szCs w:val="20"/>
          <w:color w:val="auto"/>
        </w:rPr>
      </w:pPr>
    </w:p>
    <w:p>
      <w:pPr>
        <w:ind w:left="460" w:right="60" w:firstLine="413"/>
        <w:spacing w:after="0" w:line="268" w:lineRule="auto"/>
        <w:rPr>
          <w:sz w:val="20"/>
          <w:szCs w:val="20"/>
          <w:color w:val="auto"/>
        </w:rPr>
      </w:pPr>
      <w:r>
        <w:rPr>
          <w:rFonts w:ascii="Arial" w:cs="Arial" w:eastAsia="Arial" w:hAnsi="Arial"/>
          <w:sz w:val="16"/>
          <w:szCs w:val="16"/>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See “Management’s Discussion and Analysis and Results of Operations—Historical Cash Flows.”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76" w:lineRule="exact"/>
        <w:rPr>
          <w:sz w:val="20"/>
          <w:szCs w:val="20"/>
          <w:color w:val="auto"/>
        </w:rPr>
      </w:pPr>
    </w:p>
    <w:p>
      <w:pPr>
        <w:ind w:left="460" w:right="600"/>
        <w:spacing w:after="0" w:line="272" w:lineRule="auto"/>
        <w:rPr>
          <w:sz w:val="20"/>
          <w:szCs w:val="20"/>
          <w:color w:val="auto"/>
        </w:rPr>
      </w:pPr>
      <w:r>
        <w:rPr>
          <w:rFonts w:ascii="Arial" w:cs="Arial" w:eastAsia="Arial" w:hAnsi="Arial"/>
          <w:sz w:val="17"/>
          <w:szCs w:val="17"/>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3"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152"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800"/>
          </w:cols>
          <w:pgMar w:left="320" w:top="466" w:right="77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have broad discretion in the use of our cash balances and may not use them effectively.</w:t>
      </w:r>
    </w:p>
    <w:p>
      <w:pPr>
        <w:spacing w:after="0" w:line="108" w:lineRule="exact"/>
        <w:rPr>
          <w:sz w:val="20"/>
          <w:szCs w:val="20"/>
          <w:color w:val="auto"/>
        </w:rPr>
      </w:pPr>
    </w:p>
    <w:p>
      <w:pPr>
        <w:ind w:left="460" w:right="180" w:firstLine="413"/>
        <w:spacing w:after="0" w:line="256" w:lineRule="auto"/>
        <w:rPr>
          <w:sz w:val="20"/>
          <w:szCs w:val="20"/>
          <w:color w:val="auto"/>
        </w:rPr>
      </w:pPr>
      <w:r>
        <w:rPr>
          <w:rFonts w:ascii="Arial" w:cs="Arial" w:eastAsia="Arial" w:hAnsi="Arial"/>
          <w:sz w:val="17"/>
          <w:szCs w:val="17"/>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80" w:lineRule="exact"/>
        <w:rPr>
          <w:sz w:val="20"/>
          <w:szCs w:val="20"/>
          <w:color w:val="auto"/>
        </w:rPr>
      </w:pPr>
    </w:p>
    <w:p>
      <w:pPr>
        <w:ind w:left="460" w:right="140"/>
        <w:spacing w:after="0" w:line="272"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3"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and $1.2 billion as of December 31, 2020 and 2019, respectively, and intangible assets, net of $410.2 million and $446.4 million as of December 31, 2020 and 2019, respectively. Our balance sheet reflects goodwill of $1.3 billion and intangible assets, net, of $366.7 million as of September 30, 2021.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85" w:lineRule="exact"/>
        <w:rPr>
          <w:sz w:val="20"/>
          <w:szCs w:val="20"/>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underperformance relative to historical or projected future operating results;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changes in the manner of our use of acquired assets or the strategy for our overall business;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negative industry or economic trends; or</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decline in our market capitalization relative to net book value for a sustained period.</w:t>
      </w:r>
    </w:p>
    <w:p>
      <w:pPr>
        <w:spacing w:after="0" w:line="210" w:lineRule="exact"/>
        <w:rPr>
          <w:sz w:val="20"/>
          <w:szCs w:val="20"/>
          <w:color w:val="auto"/>
        </w:rPr>
      </w:pPr>
    </w:p>
    <w:p>
      <w:pPr>
        <w:jc w:val="both"/>
        <w:ind w:left="460" w:right="280" w:firstLine="413"/>
        <w:spacing w:after="0" w:line="284" w:lineRule="auto"/>
        <w:rPr>
          <w:sz w:val="20"/>
          <w:szCs w:val="20"/>
          <w:color w:val="auto"/>
        </w:rPr>
      </w:pPr>
      <w:r>
        <w:rPr>
          <w:rFonts w:ascii="Arial" w:cs="Arial" w:eastAsia="Arial" w:hAnsi="Arial"/>
          <w:sz w:val="16"/>
          <w:szCs w:val="16"/>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Our Indebtedness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secure sufficient additional financing on favorable terms, or at all, to meet our future capital needs.</w:t>
      </w:r>
    </w:p>
    <w:p>
      <w:pPr>
        <w:spacing w:after="0" w:line="108" w:lineRule="exact"/>
        <w:rPr>
          <w:sz w:val="20"/>
          <w:szCs w:val="20"/>
          <w:color w:val="auto"/>
        </w:rPr>
      </w:pPr>
    </w:p>
    <w:p>
      <w:pPr>
        <w:ind w:left="460" w:right="80" w:firstLine="413"/>
        <w:spacing w:after="0" w:line="274" w:lineRule="auto"/>
        <w:rPr>
          <w:sz w:val="20"/>
          <w:szCs w:val="20"/>
          <w:color w:val="auto"/>
        </w:rPr>
      </w:pPr>
      <w:r>
        <w:rPr>
          <w:rFonts w:ascii="Arial" w:cs="Arial" w:eastAsia="Arial" w:hAnsi="Arial"/>
          <w:sz w:val="16"/>
          <w:szCs w:val="16"/>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760"/>
          </w:cols>
          <w:pgMar w:left="320" w:top="466" w:right="81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Any default under our debt agreements could have significant consequences.</w:t>
      </w:r>
    </w:p>
    <w:p>
      <w:pPr>
        <w:spacing w:after="0" w:line="108"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The Credit Agreement contains covenants imposing certain restrictions on our business. These restrictions may affect our ability to operate our business and may limit our ability to take advantage of potential business opportunities as they arise. The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commencing on the last day of the fiscal quarter ending December 31, 2021, maintain a maximum total leverage ratio.</w:t>
      </w:r>
    </w:p>
    <w:p>
      <w:pPr>
        <w:spacing w:after="0" w:line="172" w:lineRule="exact"/>
        <w:rPr>
          <w:sz w:val="20"/>
          <w:szCs w:val="20"/>
          <w:color w:val="auto"/>
        </w:rPr>
      </w:pPr>
    </w:p>
    <w:p>
      <w:pPr>
        <w:ind w:left="460" w:right="200" w:firstLine="413"/>
        <w:spacing w:after="0" w:line="253" w:lineRule="auto"/>
        <w:rPr>
          <w:sz w:val="20"/>
          <w:szCs w:val="20"/>
          <w:color w:val="auto"/>
        </w:rPr>
      </w:pPr>
      <w:r>
        <w:rPr>
          <w:rFonts w:ascii="Arial" w:cs="Arial" w:eastAsia="Arial" w:hAnsi="Arial"/>
          <w:sz w:val="17"/>
          <w:szCs w:val="17"/>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Bank of America, N.A.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adversely impacted by the potential discontinuation of the London Interbank Offered Rate (“LIBOR”).</w:t>
      </w:r>
    </w:p>
    <w:p>
      <w:pPr>
        <w:spacing w:after="0" w:line="108"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is considering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and no agreement on its replacement is reached, the loans under our Credit Agreement will use alternate base rate (“ABR”) as a reference rate.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level of indebtedness could have a material adverse effect on our business, financial condition and results of operations.</w:t>
      </w:r>
    </w:p>
    <w:p>
      <w:pPr>
        <w:spacing w:after="0" w:line="108"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The total principal amount of debt outstanding, excluding unamortized debt issuance costs, under the 2019 Credit Agreement as of December 31, 2020 and under the Credit Agreement as of September 30, 2021 was $472.7 million and $275 million, respectively. The loans under the 2019 Credit Agreement were repaid and the 2019 Credit Agreement was terminated on September 17, 2021 in connection with the IPO Transactions and the Credit Agreement. The total principal amount of debt outstanding, excluding unamortized debt issuance costs, under the Credit Agreement as of September 30, 2021 was $275 million. See “Description of Material Indebtedness.”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780"/>
          </w:cols>
          <w:pgMar w:left="320" w:top="466" w:right="7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indebtedness could have significant effects on our business, such as:</w:t>
      </w:r>
    </w:p>
    <w:p>
      <w:pPr>
        <w:spacing w:after="0" w:line="121" w:lineRule="exact"/>
        <w:rPr>
          <w:sz w:val="20"/>
          <w:szCs w:val="20"/>
          <w:color w:val="auto"/>
        </w:rPr>
      </w:pPr>
    </w:p>
    <w:p>
      <w:pPr>
        <w:ind w:left="1360" w:right="80" w:hanging="498"/>
        <w:spacing w:after="0" w:line="272" w:lineRule="auto"/>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limiting our ability to borrow additional amounts to fund acquisitions, debt service requirements, execution of our growth strategy, capital expenditures and other purposes;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limiting our ability to make investments, including acquisitions, loans and advances, and to sell, transfer or otherwise dispose of assets;</w:t>
      </w:r>
    </w:p>
    <w:p>
      <w:pPr>
        <w:spacing w:after="0" w:line="144" w:lineRule="exact"/>
        <w:rPr>
          <w:rFonts w:ascii="Arial" w:cs="Arial" w:eastAsia="Arial" w:hAnsi="Arial"/>
          <w:sz w:val="15"/>
          <w:szCs w:val="15"/>
          <w:color w:val="auto"/>
        </w:rPr>
      </w:pPr>
    </w:p>
    <w:p>
      <w:pPr>
        <w:ind w:left="1360" w:right="20" w:hanging="498"/>
        <w:spacing w:after="0" w:line="260" w:lineRule="auto"/>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86" w:lineRule="exact"/>
        <w:rPr>
          <w:rFonts w:ascii="Arial" w:cs="Arial" w:eastAsia="Arial" w:hAnsi="Arial"/>
          <w:sz w:val="17"/>
          <w:szCs w:val="17"/>
          <w:color w:val="auto"/>
        </w:rPr>
      </w:pPr>
    </w:p>
    <w:p>
      <w:pPr>
        <w:ind w:left="1360" w:right="60" w:hanging="498"/>
        <w:spacing w:after="0" w:line="272" w:lineRule="auto"/>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making us more vulnerable to adverse changes in general economic, industry and competitive conditions, in government regulation and in our business by limiting our ability to plan for and react to changing conditions;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with our competitors that have less debt; and</w:t>
      </w:r>
    </w:p>
    <w:p>
      <w:pPr>
        <w:spacing w:after="0" w:line="121" w:lineRule="exact"/>
        <w:rPr>
          <w:rFonts w:ascii="Arial" w:cs="Arial" w:eastAsia="Arial" w:hAnsi="Arial"/>
          <w:sz w:val="17"/>
          <w:szCs w:val="17"/>
          <w:color w:val="auto"/>
        </w:rPr>
      </w:pPr>
    </w:p>
    <w:p>
      <w:pPr>
        <w:ind w:left="1360" w:right="380" w:hanging="498"/>
        <w:spacing w:after="0" w:line="272" w:lineRule="auto"/>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exposing us to risks inherent in interest rate fluctuations because our borrowings are at variable rates of interest, which could result in higher interest expense in the event of increases in interest rates.</w:t>
      </w:r>
    </w:p>
    <w:p>
      <w:pPr>
        <w:spacing w:after="0" w:line="165"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81"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Pursuant to our Credit Agreement, we are required to maintain, commencing on the last day of the fiscal quarter ending December 31, 2021,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83" w:lineRule="exact"/>
        <w:rPr>
          <w:sz w:val="20"/>
          <w:szCs w:val="20"/>
          <w:color w:val="auto"/>
        </w:rPr>
      </w:pPr>
    </w:p>
    <w:p>
      <w:pPr>
        <w:ind w:left="460" w:right="220"/>
        <w:spacing w:after="0" w:line="272" w:lineRule="auto"/>
        <w:rPr>
          <w:sz w:val="20"/>
          <w:szCs w:val="20"/>
          <w:color w:val="auto"/>
        </w:rPr>
      </w:pPr>
      <w:r>
        <w:rPr>
          <w:rFonts w:ascii="Arial" w:cs="Arial" w:eastAsia="Arial" w:hAnsi="Arial"/>
          <w:sz w:val="17"/>
          <w:szCs w:val="17"/>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3" w:lineRule="exact"/>
        <w:rPr>
          <w:sz w:val="20"/>
          <w:szCs w:val="20"/>
          <w:color w:val="auto"/>
        </w:rPr>
      </w:pPr>
    </w:p>
    <w:p>
      <w:pPr>
        <w:ind w:left="460" w:right="100" w:firstLine="413"/>
        <w:spacing w:after="0" w:line="252" w:lineRule="auto"/>
        <w:rPr>
          <w:sz w:val="20"/>
          <w:szCs w:val="20"/>
          <w:color w:val="auto"/>
        </w:rPr>
      </w:pPr>
      <w:r>
        <w:rPr>
          <w:rFonts w:ascii="Arial" w:cs="Arial" w:eastAsia="Arial" w:hAnsi="Arial"/>
          <w:sz w:val="17"/>
          <w:szCs w:val="17"/>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760"/>
          </w:cols>
          <w:pgMar w:left="320" w:top="466" w:right="81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112" w:lineRule="exact"/>
        <w:rPr>
          <w:sz w:val="20"/>
          <w:szCs w:val="20"/>
          <w:color w:val="auto"/>
        </w:rPr>
      </w:pPr>
    </w:p>
    <w:p>
      <w:pPr>
        <w:ind w:left="460" w:right="40"/>
        <w:spacing w:after="0" w:line="260" w:lineRule="auto"/>
        <w:rPr>
          <w:sz w:val="20"/>
          <w:szCs w:val="20"/>
          <w:color w:val="auto"/>
        </w:rPr>
      </w:pPr>
      <w:r>
        <w:rPr>
          <w:rFonts w:ascii="Arial" w:cs="Arial" w:eastAsia="Arial" w:hAnsi="Arial"/>
          <w:sz w:val="17"/>
          <w:szCs w:val="17"/>
          <w:b w:val="1"/>
          <w:bCs w:val="1"/>
          <w:i w:val="1"/>
          <w:iCs w:val="1"/>
          <w:color w:val="auto"/>
        </w:rPr>
        <w:t>We are a holding company and our principal asset is our 62.5% economic ownership interest in Definitive OpCo, and we are accordingly dependent upon distributions from Definitive OpCo to pay dividends, if any, and taxes, make payments under the Tax Receivable Agreement and pay other expenses.</w:t>
      </w:r>
    </w:p>
    <w:p>
      <w:pPr>
        <w:spacing w:after="0" w:line="74"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We are a holding company and our principal asset is our ownership of 62.5% of the outstanding LLC Units, inclusive of unvested LLC Units. See “Prospectus Summary—Organizational Structure.” We have no independent means of generating revenue. Definitive OpCo is, and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to Unitholders, including us. Accordingly, we incur income taxes on our allocable share of any taxable income of Definitive OpCo. We also incur expenses related to our operations, and have obligations to make payments under the Tax Receivable Agreement. As the sole managing member of Definitive OpCo, we will cause Definitive OpCo to make distributions to the holders of LLC Units (including us) in amounts sufficient to (i) cover all of the income taxes payable on our and the other LLC Unit holders’ respective allocable shares of the taxable income of Definitive OpCo, (ii) allow us to make any payments required under the Tax Receivable Agreement, (iii) fund dividends to our stockholders in accordance with our dividend policy, to the extent that our board of directors declares such dividends and (iv) pay our expenses.</w:t>
      </w:r>
    </w:p>
    <w:p>
      <w:pPr>
        <w:spacing w:after="0" w:line="174" w:lineRule="exact"/>
        <w:rPr>
          <w:sz w:val="20"/>
          <w:szCs w:val="20"/>
          <w:color w:val="auto"/>
        </w:rPr>
      </w:pPr>
    </w:p>
    <w:p>
      <w:pPr>
        <w:ind w:left="460" w:right="220" w:firstLine="413"/>
        <w:spacing w:after="0" w:line="277" w:lineRule="auto"/>
        <w:rPr>
          <w:sz w:val="20"/>
          <w:szCs w:val="20"/>
          <w:color w:val="auto"/>
        </w:rPr>
      </w:pPr>
      <w:r>
        <w:rPr>
          <w:rFonts w:ascii="Arial" w:cs="Arial" w:eastAsia="Arial" w:hAnsi="Arial"/>
          <w:sz w:val="16"/>
          <w:szCs w:val="16"/>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65"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3" w:lineRule="exact"/>
        <w:rPr>
          <w:sz w:val="20"/>
          <w:szCs w:val="20"/>
          <w:color w:val="auto"/>
        </w:rPr>
      </w:pPr>
    </w:p>
    <w:p>
      <w:pPr>
        <w:ind w:left="460" w:right="60" w:firstLine="413"/>
        <w:spacing w:after="0" w:line="285" w:lineRule="auto"/>
        <w:rPr>
          <w:sz w:val="20"/>
          <w:szCs w:val="20"/>
          <w:color w:val="auto"/>
        </w:rPr>
      </w:pPr>
      <w:r>
        <w:rPr>
          <w:rFonts w:ascii="Arial" w:cs="Arial" w:eastAsia="Arial" w:hAnsi="Arial"/>
          <w:sz w:val="15"/>
          <w:szCs w:val="15"/>
          <w:color w:val="auto"/>
        </w:rPr>
        <w:t>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an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 See “Certain Relationships and Related Party Transactions—Amended Definitive OpCo Agreement.”</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760"/>
          </w:cols>
          <w:pgMar w:left="320" w:top="466" w:right="81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72" w:lineRule="auto"/>
        <w:rPr>
          <w:sz w:val="20"/>
          <w:szCs w:val="20"/>
          <w:color w:val="auto"/>
        </w:rPr>
      </w:pPr>
      <w:r>
        <w:rPr>
          <w:rFonts w:ascii="Arial" w:cs="Arial" w:eastAsia="Arial" w:hAnsi="Arial"/>
          <w:sz w:val="17"/>
          <w:szCs w:val="17"/>
          <w:b w:val="1"/>
          <w:bCs w:val="1"/>
          <w:i w:val="1"/>
          <w:iCs w:val="1"/>
          <w:color w:val="auto"/>
        </w:rPr>
        <w:t>The Tax Receivable Agreement with the TRA Parties requires us to make cash payments to them in respect of certain tax benefits to which we may become entitled, and we expect that the payments we are required to make will be substantial.</w:t>
      </w:r>
    </w:p>
    <w:p>
      <w:pPr>
        <w:spacing w:after="0" w:line="63"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Under the Tax Receivable Agreement, we are required to make cash payments to the TRA Parties equal to 85% of the tax benefits, if any, that we actually realize, or in certain circumstances are deemed to realize, as a result of (i) certain favorable tax attributes we acquired from the Blocker Companies, (ii) tax basis adjustments resulting from (a) acquisitions by us of LLC Units from existing holders, including in connection with this offering and (b) future exchanges of LLC Units by Unitholders for Class A common stock or other consideration and (iii) certain payments made under the Tax Receivable Agreement. The payment obligations under the Tax Receivable Agreement are obligations of the Company and we expect that the amount of the cash payments that we are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Assuming no material changes in relevant tax law and that we earn sufficient taxable income to realize all tax benefits that are subject to the Tax Receivable Agreement, the tax savings associated with all tax attributes described above would aggregate to approximately $1,173.0 million over 15 years from the date of the completion of this offering, based on based on a public offering price of $41.90 per share of Class A common stock, which is the last reported sale price of our Class A common stock on the Nasdaq on November 12, 2021 and assuming (i) all future exchanges and the exchanges in this offering would occur at such price on the date of this offering, and (ii) based on relevant fair market value and facts for any historical exchanges. Under this scenario, we would be required to pay the TRA Parties approximately 85% of such amount, or $997.0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271"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63" w:lineRule="exact"/>
        <w:rPr>
          <w:sz w:val="20"/>
          <w:szCs w:val="20"/>
          <w:color w:val="auto"/>
        </w:rPr>
      </w:pPr>
    </w:p>
    <w:p>
      <w:pPr>
        <w:ind w:left="460" w:right="40" w:firstLine="413"/>
        <w:spacing w:after="0" w:line="251"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TRA Parties that will not benefit the holders of our Class A common stock to the same extent that it will benefit the TRA Parties. We entered into the Tax Receivable Agreement with Definitive OpCo and the TRA Parties, which provides for the payment by us to the TRA Parties of 85% of the amount of tax benefits, if any, that we actually realize, or in certain circumstances are deemed to realize, as a result of (i) certain favorable tax attributes we acquired from the Blocker Companies, (ii) tax basis adjustments resulting from (a) acquisitions by us of LLC Units from existing holders, including in connection with this offering and (b) future exchanges of LLC Units by Unitholders for Class A common stock or other consideration and (iii) certain payments made under the Tax Receivable Agreement. See “Certain Relationships and Related Party Transactions—Tax Receivable Agreement”. Although we hold 15% of the amount of such tax benefits, this and other aspects of our organizational structure may adversely impact the future trading market for our Class A common stock.</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780"/>
          </w:cols>
          <w:pgMar w:left="320" w:top="466" w:right="79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63" w:lineRule="exact"/>
        <w:rPr>
          <w:sz w:val="20"/>
          <w:szCs w:val="20"/>
          <w:color w:val="auto"/>
        </w:rPr>
      </w:pPr>
    </w:p>
    <w:p>
      <w:pPr>
        <w:ind w:left="460" w:right="20" w:firstLine="413"/>
        <w:spacing w:after="0" w:line="252" w:lineRule="auto"/>
        <w:rPr>
          <w:sz w:val="20"/>
          <w:szCs w:val="20"/>
          <w:color w:val="auto"/>
        </w:rPr>
      </w:pPr>
      <w:r>
        <w:rPr>
          <w:rFonts w:ascii="Arial" w:cs="Arial" w:eastAsia="Arial" w:hAnsi="Arial"/>
          <w:sz w:val="17"/>
          <w:szCs w:val="17"/>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182"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69" w:lineRule="exact"/>
        <w:rPr>
          <w:sz w:val="20"/>
          <w:szCs w:val="20"/>
          <w:color w:val="auto"/>
        </w:rPr>
      </w:pPr>
    </w:p>
    <w:p>
      <w:pPr>
        <w:ind w:left="460" w:right="140"/>
        <w:spacing w:after="0" w:line="303" w:lineRule="auto"/>
        <w:rPr>
          <w:sz w:val="20"/>
          <w:szCs w:val="20"/>
          <w:color w:val="auto"/>
        </w:rPr>
      </w:pPr>
      <w:r>
        <w:rPr>
          <w:rFonts w:ascii="Arial" w:cs="Arial" w:eastAsia="Arial" w:hAnsi="Arial"/>
          <w:sz w:val="16"/>
          <w:szCs w:val="16"/>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42"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67" w:lineRule="exact"/>
        <w:rPr>
          <w:sz w:val="20"/>
          <w:szCs w:val="20"/>
          <w:color w:val="auto"/>
        </w:rPr>
      </w:pPr>
    </w:p>
    <w:p>
      <w:pPr>
        <w:ind w:left="460" w:right="360"/>
        <w:spacing w:after="0" w:line="272" w:lineRule="auto"/>
        <w:rPr>
          <w:sz w:val="20"/>
          <w:szCs w:val="20"/>
          <w:color w:val="auto"/>
        </w:rPr>
      </w:pPr>
      <w:r>
        <w:rPr>
          <w:rFonts w:ascii="Arial" w:cs="Arial" w:eastAsia="Arial" w:hAnsi="Arial"/>
          <w:sz w:val="17"/>
          <w:szCs w:val="17"/>
          <w:b w:val="1"/>
          <w:bCs w:val="1"/>
          <w:i w:val="1"/>
          <w:iCs w:val="1"/>
          <w:color w:val="auto"/>
        </w:rPr>
        <w:t>We will not be reimbursed for any payments made to the TRA Parties under the Tax Receivable Agreement in the event that any tax benefits are disallowed.</w:t>
      </w:r>
    </w:p>
    <w:p>
      <w:pPr>
        <w:spacing w:after="0" w:line="63"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w:t>
      </w: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780"/>
          </w:cols>
          <w:pgMar w:left="320" w:top="466" w:right="79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93" w:lineRule="auto"/>
        <w:rPr>
          <w:sz w:val="20"/>
          <w:szCs w:val="20"/>
          <w:color w:val="auto"/>
        </w:rPr>
      </w:pPr>
      <w:r>
        <w:rPr>
          <w:rFonts w:ascii="Arial" w:cs="Arial" w:eastAsia="Arial" w:hAnsi="Arial"/>
          <w:sz w:val="15"/>
          <w:szCs w:val="15"/>
          <w:color w:val="auto"/>
        </w:rPr>
        <w:t>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256" w:lineRule="exact"/>
        <w:rPr>
          <w:sz w:val="20"/>
          <w:szCs w:val="20"/>
          <w:color w:val="auto"/>
        </w:rPr>
      </w:pPr>
    </w:p>
    <w:p>
      <w:pPr>
        <w:ind w:left="460" w:right="220"/>
        <w:spacing w:after="0" w:line="260" w:lineRule="auto"/>
        <w:rPr>
          <w:sz w:val="20"/>
          <w:szCs w:val="20"/>
          <w:color w:val="auto"/>
        </w:rPr>
      </w:pPr>
      <w:r>
        <w:rPr>
          <w:rFonts w:ascii="Arial" w:cs="Arial" w:eastAsia="Arial" w:hAnsi="Arial"/>
          <w:sz w:val="17"/>
          <w:szCs w:val="17"/>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4"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2" w:lineRule="exact"/>
        <w:rPr>
          <w:sz w:val="20"/>
          <w:szCs w:val="20"/>
          <w:color w:val="auto"/>
        </w:rPr>
      </w:pPr>
    </w:p>
    <w:p>
      <w:pPr>
        <w:ind w:left="460" w:right="400" w:firstLine="413"/>
        <w:spacing w:after="0" w:line="256" w:lineRule="auto"/>
        <w:rPr>
          <w:sz w:val="20"/>
          <w:szCs w:val="20"/>
          <w:color w:val="auto"/>
        </w:rPr>
      </w:pPr>
      <w:r>
        <w:rPr>
          <w:rFonts w:ascii="Arial" w:cs="Arial" w:eastAsia="Arial" w:hAnsi="Arial"/>
          <w:sz w:val="17"/>
          <w:szCs w:val="17"/>
          <w:color w:val="auto"/>
        </w:rPr>
        <w:t>As the sole managing member of Definitive OpCo, we control and operate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79"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Risks Related to this Offering and Ownership of Our Class A Common Stock</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Future offerings of debt or equity securities by us may have a material adverse effect on the market price of our Class A common stock.</w:t>
      </w:r>
    </w:p>
    <w:p>
      <w:pPr>
        <w:spacing w:after="0" w:line="131"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760"/>
          </w:cols>
          <w:pgMar w:left="320" w:top="466" w:right="81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20"/>
        <w:spacing w:after="0" w:line="296" w:lineRule="auto"/>
        <w:rPr>
          <w:sz w:val="20"/>
          <w:szCs w:val="20"/>
          <w:color w:val="auto"/>
        </w:rPr>
      </w:pPr>
      <w:r>
        <w:rPr>
          <w:rFonts w:ascii="Arial" w:cs="Arial" w:eastAsia="Arial" w:hAnsi="Arial"/>
          <w:sz w:val="15"/>
          <w:szCs w:val="15"/>
          <w:color w:val="auto"/>
        </w:rPr>
        <w:t>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Certain of our directors and stockholders will not have any obligation to present business opportunities to us and may compete with us.</w:t>
      </w:r>
    </w:p>
    <w:p>
      <w:pPr>
        <w:spacing w:after="0" w:line="131"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Our amended and restated certificate of incorporation provides that our directors and stockholders affiliated with Advent, Spectrum Equity and 22C Capital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148"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As a result, our directors and stockholders affiliated with Advent, Spectrum Equity and 22C Capital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do not anticipate paying any dividends on our Class A common stock in the foreseeable future.</w:t>
      </w:r>
    </w:p>
    <w:p>
      <w:pPr>
        <w:spacing w:after="0" w:line="108" w:lineRule="exact"/>
        <w:rPr>
          <w:sz w:val="20"/>
          <w:szCs w:val="20"/>
          <w:color w:val="auto"/>
        </w:rPr>
      </w:pPr>
    </w:p>
    <w:p>
      <w:pPr>
        <w:ind w:left="460" w:right="80" w:firstLine="413"/>
        <w:spacing w:after="0" w:line="277" w:lineRule="auto"/>
        <w:rPr>
          <w:sz w:val="20"/>
          <w:szCs w:val="20"/>
          <w:color w:val="auto"/>
        </w:rPr>
      </w:pPr>
      <w:r>
        <w:rPr>
          <w:rFonts w:ascii="Arial" w:cs="Arial" w:eastAsia="Arial" w:hAnsi="Arial"/>
          <w:sz w:val="16"/>
          <w:szCs w:val="16"/>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65" w:lineRule="exact"/>
        <w:rPr>
          <w:sz w:val="20"/>
          <w:szCs w:val="20"/>
          <w:color w:val="auto"/>
        </w:rPr>
      </w:pPr>
    </w:p>
    <w:p>
      <w:pPr>
        <w:ind w:left="460" w:right="480"/>
        <w:spacing w:after="0" w:line="303" w:lineRule="auto"/>
        <w:rPr>
          <w:sz w:val="20"/>
          <w:szCs w:val="20"/>
          <w:color w:val="auto"/>
        </w:rPr>
      </w:pPr>
      <w:r>
        <w:rPr>
          <w:rFonts w:ascii="Arial" w:cs="Arial" w:eastAsia="Arial" w:hAnsi="Arial"/>
          <w:sz w:val="16"/>
          <w:szCs w:val="16"/>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42" w:lineRule="exact"/>
        <w:rPr>
          <w:sz w:val="20"/>
          <w:szCs w:val="20"/>
          <w:color w:val="auto"/>
        </w:rPr>
      </w:pPr>
    </w:p>
    <w:p>
      <w:pPr>
        <w:ind w:left="460" w:right="180" w:firstLine="413"/>
        <w:spacing w:after="0" w:line="277" w:lineRule="auto"/>
        <w:rPr>
          <w:sz w:val="20"/>
          <w:szCs w:val="20"/>
          <w:color w:val="auto"/>
        </w:rPr>
      </w:pPr>
      <w:r>
        <w:rPr>
          <w:rFonts w:ascii="Arial" w:cs="Arial" w:eastAsia="Arial" w:hAnsi="Arial"/>
          <w:sz w:val="16"/>
          <w:szCs w:val="16"/>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securities or industry analysts publish inaccurate or unfavorable research about our business, our stock price and trading volume could decline.</w:t>
      </w:r>
    </w:p>
    <w:p>
      <w:pPr>
        <w:spacing w:after="0" w:line="143"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The trading market for our Class A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price of Class A common stock sold in this offering.</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800"/>
          </w:cols>
          <w:pgMar w:left="320" w:top="466" w:right="77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520"/>
        <w:spacing w:after="0" w:line="272" w:lineRule="auto"/>
        <w:rPr>
          <w:sz w:val="20"/>
          <w:szCs w:val="20"/>
          <w:color w:val="auto"/>
        </w:rPr>
      </w:pPr>
      <w:r>
        <w:rPr>
          <w:rFonts w:ascii="Arial" w:cs="Arial" w:eastAsia="Arial" w:hAnsi="Arial"/>
          <w:sz w:val="17"/>
          <w:szCs w:val="17"/>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3"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Shares of our Class A common stock sold in this offering may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3" w:lineRule="exact"/>
        <w:rPr>
          <w:sz w:val="20"/>
          <w:szCs w:val="20"/>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variations in our quarterly or annual results of operations;</w:t>
      </w:r>
    </w:p>
    <w:p>
      <w:pPr>
        <w:spacing w:after="0" w:line="121" w:lineRule="exact"/>
        <w:rPr>
          <w:rFonts w:ascii="Arial" w:cs="Arial" w:eastAsia="Arial" w:hAnsi="Arial"/>
          <w:sz w:val="17"/>
          <w:szCs w:val="17"/>
          <w:color w:val="auto"/>
        </w:rPr>
      </w:pPr>
    </w:p>
    <w:p>
      <w:pPr>
        <w:ind w:left="1360" w:right="60" w:hanging="498"/>
        <w:spacing w:after="0" w:line="272" w:lineRule="auto"/>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our earnings estimates (if provided) or differences between our actual results of operations and those expected by investors and analysts;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contents of published research reports about us or our industry or the failure of securities analysts to cover our Class A common stock;</w:t>
      </w:r>
    </w:p>
    <w:p>
      <w:pPr>
        <w:spacing w:after="0" w:line="144" w:lineRule="exact"/>
        <w:rPr>
          <w:rFonts w:ascii="Arial" w:cs="Arial" w:eastAsia="Arial" w:hAnsi="Arial"/>
          <w:sz w:val="15"/>
          <w:szCs w:val="15"/>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increased indebtedness we may incur in the future;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announcements by us or others and developments affecting us;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actions by institutional stockholders;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litigation and governmental investigations;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legislative or regulatory changes;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judicial pronouncements interpreting laws and regulations;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government programs;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market valuations of similar companies;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speculation or reports by the press or investment community with respect to us or our industry in general;</w:t>
      </w:r>
    </w:p>
    <w:p>
      <w:pPr>
        <w:spacing w:after="0" w:line="121" w:lineRule="exact"/>
        <w:rPr>
          <w:rFonts w:ascii="Arial" w:cs="Arial" w:eastAsia="Arial" w:hAnsi="Arial"/>
          <w:sz w:val="17"/>
          <w:szCs w:val="17"/>
          <w:color w:val="auto"/>
        </w:rPr>
      </w:pPr>
    </w:p>
    <w:p>
      <w:pPr>
        <w:ind w:left="1360" w:right="60" w:hanging="498"/>
        <w:spacing w:after="0" w:line="272" w:lineRule="auto"/>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acquisitions, dispositions, strategic relationships, joint ventures or capital commitments; and</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general market, political and economic conditions, including local conditions in the markets in which we operate.</w:t>
      </w:r>
    </w:p>
    <w:p>
      <w:pPr>
        <w:spacing w:after="0" w:line="210"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53" w:lineRule="exact"/>
        <w:rPr>
          <w:sz w:val="20"/>
          <w:szCs w:val="20"/>
          <w:color w:val="auto"/>
        </w:rPr>
      </w:pPr>
    </w:p>
    <w:p>
      <w:pPr>
        <w:ind w:left="460" w:right="360"/>
        <w:spacing w:after="0" w:line="272" w:lineRule="auto"/>
        <w:rPr>
          <w:sz w:val="20"/>
          <w:szCs w:val="20"/>
          <w:color w:val="auto"/>
        </w:rPr>
      </w:pPr>
      <w:r>
        <w:rPr>
          <w:rFonts w:ascii="Arial" w:cs="Arial" w:eastAsia="Arial" w:hAnsi="Arial"/>
          <w:sz w:val="17"/>
          <w:szCs w:val="17"/>
          <w:b w:val="1"/>
          <w:bCs w:val="1"/>
          <w:i w:val="1"/>
          <w:iCs w:val="1"/>
          <w:color w:val="auto"/>
        </w:rPr>
        <w:t>The market price of our Class A common stock could be negatively affected by sales of substantial amounts of our Class A common stock in the public markets.</w:t>
      </w:r>
    </w:p>
    <w:p>
      <w:pPr>
        <w:spacing w:after="0" w:line="63" w:lineRule="exact"/>
        <w:rPr>
          <w:sz w:val="20"/>
          <w:szCs w:val="20"/>
          <w:color w:val="auto"/>
        </w:rPr>
      </w:pPr>
    </w:p>
    <w:p>
      <w:pPr>
        <w:ind w:left="460" w:right="360" w:firstLine="413"/>
        <w:spacing w:after="0" w:line="260" w:lineRule="auto"/>
        <w:rPr>
          <w:sz w:val="20"/>
          <w:szCs w:val="20"/>
          <w:color w:val="auto"/>
        </w:rPr>
      </w:pPr>
      <w:r>
        <w:rPr>
          <w:rFonts w:ascii="Arial" w:cs="Arial" w:eastAsia="Arial" w:hAnsi="Arial"/>
          <w:sz w:val="17"/>
          <w:szCs w:val="17"/>
          <w:color w:val="auto"/>
        </w:rPr>
        <w:t>Of our issued and outstanding shares of Class A common stock, all the Class A common stock sold in this offering will be freely transferable, except for any shares held by our “affiliates,” as that term is defined in Rule 144 under the Securities Act. Following closing of this offering, approximately 64.4% of our outstanding Class A</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780"/>
          </w:cols>
          <w:pgMar w:left="320" w:top="466" w:right="79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40"/>
        <w:spacing w:after="0" w:line="340" w:lineRule="auto"/>
        <w:rPr>
          <w:sz w:val="20"/>
          <w:szCs w:val="20"/>
          <w:color w:val="auto"/>
        </w:rPr>
      </w:pPr>
      <w:r>
        <w:rPr>
          <w:rFonts w:ascii="Arial" w:cs="Arial" w:eastAsia="Arial" w:hAnsi="Arial"/>
          <w:sz w:val="15"/>
          <w:szCs w:val="15"/>
          <w:color w:val="auto"/>
        </w:rPr>
        <w:t>common stock, or 63%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1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In connection with our IPO, we and our officers, directors and holders of substantially all of our outstanding capital stock and other securities have agreed, subject to specified exceptions, including an exception granted by Goldman Sachs &amp; Co. LLC and J.P. Morgan Securities LLC to permit the participation in the synthetic secondary by certain of our stockholders, unitholders, Sponsors, officers, directors and their affiliates, not to directly or indirectly:</w:t>
      </w:r>
    </w:p>
    <w:p>
      <w:pPr>
        <w:spacing w:after="0" w:line="90" w:lineRule="exact"/>
        <w:rPr>
          <w:sz w:val="20"/>
          <w:szCs w:val="20"/>
          <w:color w:val="auto"/>
        </w:rPr>
      </w:pPr>
    </w:p>
    <w:p>
      <w:pPr>
        <w:ind w:left="1360" w:right="20" w:hanging="498"/>
        <w:spacing w:after="0" w:line="272" w:lineRule="auto"/>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w:t>
      </w:r>
    </w:p>
    <w:p>
      <w:pPr>
        <w:spacing w:after="0" w:line="76" w:lineRule="exact"/>
        <w:rPr>
          <w:rFonts w:ascii="Arial" w:cs="Arial" w:eastAsia="Arial" w:hAnsi="Arial"/>
          <w:sz w:val="17"/>
          <w:szCs w:val="17"/>
          <w:color w:val="auto"/>
        </w:rPr>
      </w:pPr>
    </w:p>
    <w:p>
      <w:pPr>
        <w:ind w:left="1360" w:right="100" w:hanging="498"/>
        <w:spacing w:after="0" w:line="256" w:lineRule="auto"/>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otherwise dispose of any shares of Class A common stock, options or warrants to acquire shares of Class A common stock, or securities exchangeable or exercisable for or convertible into shares of Class A common stock currently or hereafter owned either of record or beneficially, or publicly announce an intention to do any of the foregoing through March 13, 2021 without the prior written consent of the representatives of the underwriters.</w:t>
      </w:r>
    </w:p>
    <w:p>
      <w:pPr>
        <w:spacing w:after="0" w:line="179"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This restriction terminates after the close of trading of the Class A common stock on and including March 13, 2021. Goldman Sachs &amp; Co. LLC and J.P. Morgan Securities LLC may, in their sole discretion and at any time or from time to time before the termination of such restriction, release all or any portion of the securities subject to such agreements. See “Underwriting.”</w:t>
      </w:r>
    </w:p>
    <w:p>
      <w:pPr>
        <w:spacing w:after="0" w:line="175"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276" w:lineRule="exact"/>
        <w:rPr>
          <w:sz w:val="20"/>
          <w:szCs w:val="20"/>
          <w:color w:val="auto"/>
        </w:rPr>
      </w:pPr>
    </w:p>
    <w:p>
      <w:pPr>
        <w:ind w:left="460" w:right="700"/>
        <w:spacing w:after="0" w:line="272" w:lineRule="auto"/>
        <w:rPr>
          <w:sz w:val="20"/>
          <w:szCs w:val="20"/>
          <w:color w:val="auto"/>
        </w:rPr>
      </w:pPr>
      <w:r>
        <w:rPr>
          <w:rFonts w:ascii="Arial" w:cs="Arial" w:eastAsia="Arial" w:hAnsi="Arial"/>
          <w:sz w:val="17"/>
          <w:szCs w:val="17"/>
          <w:b w:val="1"/>
          <w:bCs w:val="1"/>
          <w:i w:val="1"/>
          <w:iCs w:val="1"/>
          <w:color w:val="auto"/>
        </w:rPr>
        <w:t>The future issuance of additional Class A common stock in connection with any equity plans, acquisitions or otherwise will dilute all other stockholdings.</w:t>
      </w:r>
    </w:p>
    <w:p>
      <w:pPr>
        <w:spacing w:after="0" w:line="63"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After this offering, we will have an aggregate of 500,851,143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the investors who purchase Class A common stock in this offering.</w:t>
      </w:r>
    </w:p>
    <w:p>
      <w:pPr>
        <w:spacing w:after="0" w:line="249"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b w:val="1"/>
          <w:bCs w:val="1"/>
          <w:i w:val="1"/>
          <w:iCs w:val="1"/>
          <w:color w:val="auto"/>
        </w:rPr>
        <w:t>As a public company, we incur significant costs to comply with the laws and regulations affecting public companies, which could harm our business and results of operations.</w:t>
      </w:r>
    </w:p>
    <w:p>
      <w:pPr>
        <w:spacing w:after="0" w:line="63" w:lineRule="exact"/>
        <w:rPr>
          <w:sz w:val="20"/>
          <w:szCs w:val="20"/>
          <w:color w:val="auto"/>
        </w:rPr>
      </w:pPr>
    </w:p>
    <w:p>
      <w:pPr>
        <w:ind w:left="460" w:right="20" w:firstLine="413"/>
        <w:spacing w:after="0" w:line="288" w:lineRule="auto"/>
        <w:rPr>
          <w:sz w:val="20"/>
          <w:szCs w:val="20"/>
          <w:color w:val="auto"/>
        </w:rPr>
      </w:pPr>
      <w:r>
        <w:rPr>
          <w:rFonts w:ascii="Arial" w:cs="Arial" w:eastAsia="Arial" w:hAnsi="Arial"/>
          <w:sz w:val="15"/>
          <w:szCs w:val="15"/>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59"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Our management team and other personnel devote a substantial amount of time to new compliance initiatives, and we may not successfully or efficiently manage our transition to a public company. To comply</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780"/>
          </w:cols>
          <w:pgMar w:left="320" w:top="466" w:right="79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200"/>
        <w:spacing w:after="0" w:line="260" w:lineRule="auto"/>
        <w:rPr>
          <w:sz w:val="20"/>
          <w:szCs w:val="20"/>
          <w:color w:val="auto"/>
        </w:rPr>
      </w:pPr>
      <w:r>
        <w:rPr>
          <w:rFonts w:ascii="Arial" w:cs="Arial" w:eastAsia="Arial" w:hAnsi="Arial"/>
          <w:sz w:val="17"/>
          <w:szCs w:val="17"/>
          <w:color w:val="auto"/>
        </w:rPr>
        <w:t>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current resources may not be sufficient to fulfill our public company obligations.</w:t>
      </w:r>
    </w:p>
    <w:p>
      <w:pPr>
        <w:spacing w:after="0" w:line="108" w:lineRule="exact"/>
        <w:rPr>
          <w:sz w:val="20"/>
          <w:szCs w:val="20"/>
          <w:color w:val="auto"/>
        </w:rPr>
      </w:pPr>
    </w:p>
    <w:p>
      <w:pPr>
        <w:ind w:left="460" w:right="140" w:firstLine="413"/>
        <w:spacing w:after="0" w:line="270" w:lineRule="auto"/>
        <w:rPr>
          <w:sz w:val="20"/>
          <w:szCs w:val="20"/>
          <w:color w:val="auto"/>
        </w:rPr>
      </w:pPr>
      <w:r>
        <w:rPr>
          <w:rFonts w:ascii="Arial" w:cs="Arial" w:eastAsia="Arial" w:hAnsi="Arial"/>
          <w:sz w:val="16"/>
          <w:szCs w:val="16"/>
          <w:color w:val="auto"/>
        </w:rPr>
        <w:t>As a public company, we are subject to various regulatory requirements, including those of the SEC and Nasdaq.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73" w:lineRule="exact"/>
        <w:rPr>
          <w:sz w:val="20"/>
          <w:szCs w:val="20"/>
          <w:color w:val="auto"/>
        </w:rPr>
      </w:pPr>
    </w:p>
    <w:p>
      <w:pPr>
        <w:ind w:left="460" w:right="60"/>
        <w:spacing w:after="0" w:line="303" w:lineRule="auto"/>
        <w:rPr>
          <w:sz w:val="20"/>
          <w:szCs w:val="20"/>
          <w:color w:val="auto"/>
        </w:rPr>
      </w:pPr>
      <w:r>
        <w:rPr>
          <w:rFonts w:ascii="Arial" w:cs="Arial" w:eastAsia="Arial" w:hAnsi="Arial"/>
          <w:sz w:val="16"/>
          <w:szCs w:val="16"/>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42" w:lineRule="exact"/>
        <w:rPr>
          <w:sz w:val="20"/>
          <w:szCs w:val="20"/>
          <w:color w:val="auto"/>
        </w:rPr>
      </w:pPr>
    </w:p>
    <w:p>
      <w:pPr>
        <w:ind w:left="460" w:right="40" w:firstLine="413"/>
        <w:spacing w:after="0" w:line="291" w:lineRule="auto"/>
        <w:rPr>
          <w:sz w:val="20"/>
          <w:szCs w:val="20"/>
          <w:color w:val="auto"/>
        </w:rPr>
      </w:pPr>
      <w:r>
        <w:rPr>
          <w:rFonts w:ascii="Arial" w:cs="Arial" w:eastAsia="Arial" w:hAnsi="Arial"/>
          <w:sz w:val="15"/>
          <w:szCs w:val="15"/>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57" w:lineRule="exact"/>
        <w:rPr>
          <w:sz w:val="20"/>
          <w:szCs w:val="20"/>
          <w:color w:val="auto"/>
        </w:rPr>
      </w:pPr>
    </w:p>
    <w:p>
      <w:pPr>
        <w:ind w:left="460" w:right="200" w:firstLine="413"/>
        <w:spacing w:after="0" w:line="254"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81"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83" w:lineRule="exact"/>
        <w:rPr>
          <w:sz w:val="20"/>
          <w:szCs w:val="20"/>
          <w:color w:val="auto"/>
        </w:rPr>
      </w:pPr>
    </w:p>
    <w:p>
      <w:pPr>
        <w:ind w:left="460" w:right="200"/>
        <w:spacing w:after="0" w:line="272" w:lineRule="auto"/>
        <w:rPr>
          <w:sz w:val="20"/>
          <w:szCs w:val="20"/>
          <w:color w:val="auto"/>
        </w:rPr>
      </w:pPr>
      <w:r>
        <w:rPr>
          <w:rFonts w:ascii="Arial" w:cs="Arial" w:eastAsia="Arial" w:hAnsi="Arial"/>
          <w:sz w:val="17"/>
          <w:szCs w:val="17"/>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3"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We are a Delaware corporation, and the anti-takeover provisions of Delaware law impose various impediments to the ability of a third-party to acquire control of us, even if a change of control would be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780"/>
          </w:cols>
          <w:pgMar w:left="320" w:top="466" w:right="7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color w:val="auto"/>
        </w:rPr>
        <w:t>beneficial to our existing stockholders. In addition, provisions of our amended and restated certificate of incorporation and amended and restated bylaws may make it more difficult for, or prevent a third-party from, acquiring control of us without the approval of our Board. Among other things, these provisions generally:</w:t>
      </w:r>
    </w:p>
    <w:p>
      <w:pPr>
        <w:spacing w:after="0" w:line="87" w:lineRule="exact"/>
        <w:rPr>
          <w:sz w:val="20"/>
          <w:szCs w:val="20"/>
          <w:color w:val="auto"/>
        </w:rPr>
      </w:pPr>
    </w:p>
    <w:p>
      <w:pPr>
        <w:ind w:left="1360" w:hanging="498"/>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 for a classified Board with staggered three-year terms;</w:t>
      </w:r>
    </w:p>
    <w:p>
      <w:pPr>
        <w:spacing w:after="0" w:line="121" w:lineRule="exact"/>
        <w:rPr>
          <w:rFonts w:ascii="Arial" w:cs="Arial" w:eastAsia="Arial" w:hAnsi="Arial"/>
          <w:sz w:val="17"/>
          <w:szCs w:val="17"/>
          <w:color w:val="auto"/>
        </w:rPr>
      </w:pPr>
    </w:p>
    <w:p>
      <w:pPr>
        <w:ind w:left="1360" w:right="360" w:hanging="498"/>
        <w:spacing w:after="0" w:line="272"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do not permit cumulative voting in the election of directors, which would otherwise allow less than a majority of stockholders to elect director candidates;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delegate the sole power of a majority of the Board to fix the number of directors;</w:t>
      </w:r>
    </w:p>
    <w:p>
      <w:pPr>
        <w:spacing w:after="0" w:line="121" w:lineRule="exact"/>
        <w:rPr>
          <w:rFonts w:ascii="Arial" w:cs="Arial" w:eastAsia="Arial" w:hAnsi="Arial"/>
          <w:sz w:val="17"/>
          <w:szCs w:val="17"/>
          <w:color w:val="auto"/>
        </w:rPr>
      </w:pPr>
    </w:p>
    <w:p>
      <w:pPr>
        <w:ind w:left="1360" w:right="180" w:hanging="498"/>
        <w:spacing w:after="0" w:line="272"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 that the Board has the sole power to fill any vacancy on our Board, whether such vacancy occurs as a result of an increase in the number of directors or otherwise;</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authorize the issuance of preferred stock without any need for action by stockholders;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do not permit stockholders to call special meetings of stockholders;</w:t>
      </w:r>
    </w:p>
    <w:p>
      <w:pPr>
        <w:spacing w:after="0" w:line="121" w:lineRule="exact"/>
        <w:rPr>
          <w:rFonts w:ascii="Arial" w:cs="Arial" w:eastAsia="Arial" w:hAnsi="Arial"/>
          <w:sz w:val="17"/>
          <w:szCs w:val="17"/>
          <w:color w:val="auto"/>
        </w:rPr>
      </w:pPr>
    </w:p>
    <w:p>
      <w:pPr>
        <w:ind w:left="1360" w:right="520" w:hanging="498"/>
        <w:spacing w:after="0" w:line="260"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prohibit our stockholders from acting by written consent once Advent’s ownership falls below 30%; and establish advance notice requirements for nominations for election to our Board or for proposing matters that can be acted on by stockholders at stockholder meetings.</w:t>
      </w:r>
    </w:p>
    <w:p>
      <w:pPr>
        <w:spacing w:after="0" w:line="175" w:lineRule="exact"/>
        <w:rPr>
          <w:sz w:val="20"/>
          <w:szCs w:val="20"/>
          <w:color w:val="auto"/>
        </w:rPr>
      </w:pPr>
    </w:p>
    <w:p>
      <w:pPr>
        <w:ind w:left="460" w:right="160" w:firstLine="413"/>
        <w:spacing w:after="0" w:line="284" w:lineRule="auto"/>
        <w:rPr>
          <w:sz w:val="20"/>
          <w:szCs w:val="20"/>
          <w:color w:val="auto"/>
        </w:rPr>
      </w:pPr>
      <w:r>
        <w:rPr>
          <w:rFonts w:ascii="Arial" w:cs="Arial" w:eastAsia="Arial" w:hAnsi="Arial"/>
          <w:sz w:val="16"/>
          <w:szCs w:val="16"/>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57"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See “Description of Capital Stock.”</w:t>
      </w:r>
    </w:p>
    <w:p>
      <w:pPr>
        <w:spacing w:after="0" w:line="276" w:lineRule="exact"/>
        <w:rPr>
          <w:sz w:val="20"/>
          <w:szCs w:val="20"/>
          <w:color w:val="auto"/>
        </w:rPr>
      </w:pPr>
    </w:p>
    <w:p>
      <w:pPr>
        <w:ind w:left="460" w:right="80"/>
        <w:spacing w:after="0" w:line="272" w:lineRule="auto"/>
        <w:rPr>
          <w:sz w:val="20"/>
          <w:szCs w:val="20"/>
          <w:color w:val="auto"/>
        </w:rPr>
      </w:pPr>
      <w:r>
        <w:rPr>
          <w:rFonts w:ascii="Arial" w:cs="Arial" w:eastAsia="Arial" w:hAnsi="Arial"/>
          <w:sz w:val="17"/>
          <w:szCs w:val="17"/>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3" w:lineRule="exact"/>
        <w:rPr>
          <w:sz w:val="20"/>
          <w:szCs w:val="20"/>
          <w:color w:val="auto"/>
        </w:rPr>
      </w:pPr>
    </w:p>
    <w:p>
      <w:pPr>
        <w:ind w:left="460" w:right="40" w:firstLine="413"/>
        <w:spacing w:after="0" w:line="285" w:lineRule="auto"/>
        <w:rPr>
          <w:sz w:val="20"/>
          <w:szCs w:val="20"/>
          <w:color w:val="auto"/>
        </w:rPr>
      </w:pPr>
      <w:r>
        <w:rPr>
          <w:rFonts w:ascii="Arial" w:cs="Arial" w:eastAsia="Arial" w:hAnsi="Arial"/>
          <w:sz w:val="15"/>
          <w:szCs w:val="15"/>
          <w:color w:val="auto"/>
        </w:rPr>
        <w:t>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w:t>
      </w:r>
    </w:p>
    <w:p>
      <w:pPr>
        <w:spacing w:after="0" w:line="1" w:lineRule="exact"/>
        <w:rPr>
          <w:sz w:val="20"/>
          <w:szCs w:val="20"/>
          <w:color w:val="auto"/>
        </w:rPr>
      </w:pPr>
    </w:p>
    <w:p>
      <w:pPr>
        <w:ind w:left="460" w:right="60" w:hanging="3"/>
        <w:spacing w:after="0" w:line="250" w:lineRule="auto"/>
        <w:tabs>
          <w:tab w:leader="none" w:pos="746"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60"/>
          </w:cols>
          <w:pgMar w:left="320" w:top="466" w:right="81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301"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46"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170"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79"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w:t>
      </w:r>
    </w:p>
    <w:p>
      <w:pPr>
        <w:spacing w:after="0" w:line="182" w:lineRule="exact"/>
        <w:rPr>
          <w:sz w:val="20"/>
          <w:szCs w:val="20"/>
          <w:color w:val="auto"/>
        </w:rPr>
      </w:pPr>
    </w:p>
    <w:p>
      <w:pPr>
        <w:ind w:left="460" w:right="60" w:firstLine="413"/>
        <w:spacing w:after="0" w:line="253" w:lineRule="auto"/>
        <w:rPr>
          <w:sz w:val="20"/>
          <w:szCs w:val="20"/>
          <w:color w:val="auto"/>
        </w:rPr>
      </w:pPr>
      <w:r>
        <w:rPr>
          <w:rFonts w:ascii="Arial" w:cs="Arial" w:eastAsia="Arial" w:hAnsi="Arial"/>
          <w:sz w:val="17"/>
          <w:szCs w:val="17"/>
          <w:color w:val="auto"/>
        </w:rPr>
        <w:t>By agreeing to this provision, however, stockholders are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ability to issue preferred stock may deter takeover attempts.</w:t>
      </w:r>
    </w:p>
    <w:p>
      <w:pPr>
        <w:spacing w:after="0" w:line="108" w:lineRule="exact"/>
        <w:rPr>
          <w:sz w:val="20"/>
          <w:szCs w:val="20"/>
          <w:color w:val="auto"/>
        </w:rPr>
      </w:pPr>
    </w:p>
    <w:p>
      <w:pPr>
        <w:ind w:left="460" w:right="20" w:firstLine="413"/>
        <w:spacing w:after="0" w:line="286" w:lineRule="auto"/>
        <w:rPr>
          <w:sz w:val="20"/>
          <w:szCs w:val="20"/>
          <w:color w:val="auto"/>
        </w:rPr>
      </w:pPr>
      <w:r>
        <w:rPr>
          <w:rFonts w:ascii="Arial" w:cs="Arial" w:eastAsia="Arial" w:hAnsi="Arial"/>
          <w:sz w:val="15"/>
          <w:szCs w:val="15"/>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w:t>
      </w:r>
    </w:p>
    <w:p>
      <w:pPr>
        <w:ind w:left="460"/>
        <w:spacing w:after="0"/>
        <w:rPr>
          <w:sz w:val="20"/>
          <w:szCs w:val="20"/>
          <w:color w:val="auto"/>
        </w:rPr>
      </w:pPr>
      <w:r>
        <w:rPr>
          <w:rFonts w:ascii="Arial" w:cs="Arial" w:eastAsia="Arial" w:hAnsi="Arial"/>
          <w:sz w:val="15"/>
          <w:szCs w:val="15"/>
          <w:color w:val="auto"/>
        </w:rPr>
        <w:t>10 million shares of “blank check” preferred stock with such designations, rights and preferences as may be determined from time to time by our Board.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we have no present intention to issue any shares of our preferred stock, we may do so in the future under appropriate circumstances.</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780"/>
          </w:cols>
          <w:pgMar w:left="320" w:top="465" w:right="79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4"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This prospectus contains forward-looking statements within the meaning of the Private Securities Litigation Reform Act of 1995.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81" w:lineRule="exact"/>
        <w:rPr>
          <w:sz w:val="20"/>
          <w:szCs w:val="20"/>
          <w:color w:val="auto"/>
        </w:rPr>
      </w:pPr>
    </w:p>
    <w:p>
      <w:pPr>
        <w:ind w:left="460" w:right="140" w:firstLine="413"/>
        <w:spacing w:after="0" w:line="274"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191" w:lineRule="exact"/>
        <w:rPr>
          <w:sz w:val="20"/>
          <w:szCs w:val="20"/>
          <w:color w:val="auto"/>
        </w:rPr>
      </w:pPr>
    </w:p>
    <w:p>
      <w:pPr>
        <w:jc w:val="both"/>
        <w:ind w:left="1360" w:right="420" w:hanging="498"/>
        <w:spacing w:after="0" w:line="260" w:lineRule="auto"/>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00" w:lineRule="exact"/>
        <w:rPr>
          <w:rFonts w:ascii="Arial" w:cs="Arial" w:eastAsia="Arial" w:hAnsi="Arial"/>
          <w:sz w:val="17"/>
          <w:szCs w:val="17"/>
          <w:color w:val="auto"/>
        </w:rPr>
      </w:pPr>
    </w:p>
    <w:p>
      <w:pPr>
        <w:ind w:left="1360" w:right="180" w:hanging="498"/>
        <w:spacing w:after="0" w:line="272" w:lineRule="auto"/>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competitiveness of the market in which we operate, such that if we do not compete effectively, it could have a material adverse effect on our business, financial condition and results of operations;</w:t>
      </w:r>
    </w:p>
    <w:p>
      <w:pPr>
        <w:spacing w:after="0" w:line="190" w:lineRule="exact"/>
        <w:rPr>
          <w:rFonts w:ascii="Arial" w:cs="Arial" w:eastAsia="Arial" w:hAnsi="Arial"/>
          <w:sz w:val="17"/>
          <w:szCs w:val="17"/>
          <w:color w:val="auto"/>
        </w:rPr>
      </w:pPr>
    </w:p>
    <w:p>
      <w:pPr>
        <w:ind w:left="1360" w:right="340" w:hanging="498"/>
        <w:spacing w:after="0" w:line="272" w:lineRule="auto"/>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failure to maintain and improve our platform, or develop new modules or insights for healthcare commercial intelligence, whereby competitors could surpass the depth, breadth or accuracy of our platform;</w:t>
      </w:r>
    </w:p>
    <w:p>
      <w:pPr>
        <w:spacing w:after="0" w:line="190" w:lineRule="exact"/>
        <w:rPr>
          <w:rFonts w:ascii="Arial" w:cs="Arial" w:eastAsia="Arial" w:hAnsi="Arial"/>
          <w:sz w:val="17"/>
          <w:szCs w:val="17"/>
          <w:color w:val="auto"/>
        </w:rPr>
      </w:pPr>
    </w:p>
    <w:p>
      <w:pPr>
        <w:ind w:left="1360" w:hanging="498"/>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inability to obtain and maintain accurate, comprehensive or reliable data, could result in reduced demand for our platform;</w:t>
      </w:r>
    </w:p>
    <w:p>
      <w:pPr>
        <w:spacing w:after="0" w:line="235" w:lineRule="exact"/>
        <w:rPr>
          <w:rFonts w:ascii="Arial" w:cs="Arial" w:eastAsia="Arial" w:hAnsi="Arial"/>
          <w:sz w:val="17"/>
          <w:szCs w:val="17"/>
          <w:color w:val="auto"/>
        </w:rPr>
      </w:pPr>
    </w:p>
    <w:p>
      <w:pPr>
        <w:ind w:left="1360" w:hanging="498"/>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risk that our recent growth rates may not be indicative of our future growth;</w:t>
      </w:r>
    </w:p>
    <w:p>
      <w:pPr>
        <w:spacing w:after="0" w:line="235" w:lineRule="exact"/>
        <w:rPr>
          <w:rFonts w:ascii="Arial" w:cs="Arial" w:eastAsia="Arial" w:hAnsi="Arial"/>
          <w:sz w:val="17"/>
          <w:szCs w:val="17"/>
          <w:color w:val="auto"/>
        </w:rPr>
      </w:pPr>
    </w:p>
    <w:p>
      <w:pPr>
        <w:ind w:left="1360" w:hanging="498"/>
        <w:spacing w:after="0"/>
        <w:tabs>
          <w:tab w:leader="none" w:pos="1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inability to achieve or sustain profitability in the future compared to historical levels as we increase investments in our business;</w:t>
      </w:r>
    </w:p>
    <w:p>
      <w:pPr>
        <w:spacing w:after="0" w:line="246" w:lineRule="exact"/>
        <w:rPr>
          <w:rFonts w:ascii="Arial" w:cs="Arial" w:eastAsia="Arial" w:hAnsi="Arial"/>
          <w:sz w:val="16"/>
          <w:szCs w:val="16"/>
          <w:color w:val="auto"/>
        </w:rPr>
      </w:pPr>
    </w:p>
    <w:p>
      <w:pPr>
        <w:ind w:left="1360" w:right="240" w:hanging="498"/>
        <w:spacing w:after="0" w:line="272" w:lineRule="auto"/>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loss of our access to our data providers, which could negatively impact our platform and could have a material adverse effect on our business, financial condition and results of operations;</w:t>
      </w:r>
    </w:p>
    <w:p>
      <w:pPr>
        <w:spacing w:after="0" w:line="190" w:lineRule="exact"/>
        <w:rPr>
          <w:rFonts w:ascii="Arial" w:cs="Arial" w:eastAsia="Arial" w:hAnsi="Arial"/>
          <w:sz w:val="17"/>
          <w:szCs w:val="17"/>
          <w:color w:val="auto"/>
        </w:rPr>
      </w:pPr>
    </w:p>
    <w:p>
      <w:pPr>
        <w:ind w:left="1360" w:right="520" w:hanging="498"/>
        <w:spacing w:after="0" w:line="272" w:lineRule="auto"/>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failure to respond to advances in healthcare commercial intelligence could result in competitors surpassing the depth, breadth or accuracy of our platform;</w:t>
      </w:r>
    </w:p>
    <w:p>
      <w:pPr>
        <w:spacing w:after="0" w:line="190" w:lineRule="exact"/>
        <w:rPr>
          <w:rFonts w:ascii="Arial" w:cs="Arial" w:eastAsia="Arial" w:hAnsi="Arial"/>
          <w:sz w:val="17"/>
          <w:szCs w:val="17"/>
          <w:color w:val="auto"/>
        </w:rPr>
      </w:pPr>
    </w:p>
    <w:p>
      <w:pPr>
        <w:ind w:left="1360" w:right="840" w:hanging="498"/>
        <w:spacing w:after="0" w:line="272" w:lineRule="auto"/>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inability to attract new customers and expand subscriptions of current customers, whereby our revenue growth and financial performance will be negatively impacted;</w:t>
      </w:r>
    </w:p>
    <w:p>
      <w:pPr>
        <w:spacing w:after="0" w:line="190" w:lineRule="exact"/>
        <w:rPr>
          <w:rFonts w:ascii="Arial" w:cs="Arial" w:eastAsia="Arial" w:hAnsi="Arial"/>
          <w:sz w:val="17"/>
          <w:szCs w:val="17"/>
          <w:color w:val="auto"/>
        </w:rPr>
      </w:pPr>
    </w:p>
    <w:p>
      <w:pPr>
        <w:ind w:left="1360" w:right="240" w:hanging="498"/>
        <w:spacing w:after="0" w:line="272" w:lineRule="auto"/>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risk of cyber-attacks and security vulnerabilities could have a material adverse effect on our reputation, business, financial condition and results of operations;</w:t>
      </w:r>
    </w:p>
    <w:p>
      <w:pPr>
        <w:spacing w:after="0" w:line="190" w:lineRule="exact"/>
        <w:rPr>
          <w:rFonts w:ascii="Arial" w:cs="Arial" w:eastAsia="Arial" w:hAnsi="Arial"/>
          <w:sz w:val="17"/>
          <w:szCs w:val="17"/>
          <w:color w:val="auto"/>
        </w:rPr>
      </w:pPr>
    </w:p>
    <w:p>
      <w:pPr>
        <w:ind w:left="1360" w:right="320" w:hanging="498"/>
        <w:spacing w:after="0" w:line="303" w:lineRule="auto"/>
        <w:tabs>
          <w:tab w:leader="none" w:pos="1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168" w:lineRule="exact"/>
        <w:rPr>
          <w:rFonts w:ascii="Arial" w:cs="Arial" w:eastAsia="Arial" w:hAnsi="Arial"/>
          <w:sz w:val="16"/>
          <w:szCs w:val="16"/>
          <w:color w:val="auto"/>
        </w:rPr>
      </w:pPr>
    </w:p>
    <w:p>
      <w:pPr>
        <w:ind w:left="1360" w:hanging="498"/>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other factors set forth under “Risk Factors.”</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780"/>
          </w:cols>
          <w:pgMar w:left="320" w:top="466" w:right="7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8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780"/>
          </w:cols>
          <w:pgMar w:left="320" w:top="466" w:right="7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USE OF PROCEEDS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estimate that the net proceeds to us from our sale of 11,000,000 shares of Class A common stock in this offering will be approximately</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$441,616,250 assuming an offering price of $41.90 per share, the last reported share price of our Class A common stock on Nasdaq on November 12,</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2021, after deducting underwriting discounts and estimated expenses payable by us in connection with this offering. The underwriters also have an</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option to purchase up to an additional 1,650,000 shares of Class A common stock from us. We estimate that the net proceeds to us, if the underwriters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exercise their right to purchase the maximum of 1,650,000 additional shares of Class A common stock from us, will be approximately $508,158,688,</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deducting underwriting discounts and estimated expenses payable by us in connection with this offering.</w:t>
      </w:r>
    </w:p>
    <w:p>
      <w:pPr>
        <w:spacing w:after="0" w:line="198"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We estimate that the offering expenses (other than the underwriting discounts) will be approximately $2.0 million. All of such offering expenses will be paid for or otherwise borne by Definitive OpCo.</w:t>
      </w:r>
    </w:p>
    <w:p>
      <w:pPr>
        <w:spacing w:after="0" w:line="165" w:lineRule="exact"/>
        <w:rPr>
          <w:sz w:val="20"/>
          <w:szCs w:val="20"/>
          <w:color w:val="auto"/>
        </w:rPr>
      </w:pPr>
    </w:p>
    <w:p>
      <w:pPr>
        <w:ind w:left="460" w:right="20" w:firstLine="413"/>
        <w:spacing w:after="0" w:line="285" w:lineRule="auto"/>
        <w:rPr>
          <w:sz w:val="20"/>
          <w:szCs w:val="20"/>
          <w:color w:val="auto"/>
        </w:rPr>
      </w:pPr>
      <w:r>
        <w:rPr>
          <w:rFonts w:ascii="Arial" w:cs="Arial" w:eastAsia="Arial" w:hAnsi="Arial"/>
          <w:sz w:val="15"/>
          <w:szCs w:val="15"/>
          <w:color w:val="auto"/>
        </w:rPr>
        <w:t>We intend to use the net proceeds from this offering (i) for acquisitions or investments and general corporate purposes, including purchasing 7,000,000 newly issued LLC Units from Definitive OpCo, and (ii) to repurchase an aggregate of 2,333,238 shares of Class A common stock and purchase 1,766,762 LLC Units from existing holders, including our Sponsors, officers, directors and their affiliates, in a “synthetic secondary” transaction, at a purchase price per share of Class A common stock and per LLC Unit, in each case, equal to the public offering price of Class A common stock less the underwriting discounts. After this offering, we intend to purchase 7,000,000 newly issued LLC Units using either the net proceeds from this offering or other assets or investments acquired using such net proceeds. In the event the underwriters exercise their option to purchase additional shares, we will use the net proceeds to repurchase additional shares of Class A common stock and to purchase LLC Units from existing holders. Definitive OpCo will not receive any proceeds from the repurchase of shares of Class A common stock or the purchase of LLC Units from existing holders by us. Selective strategic acquisitions and investments continue to be a part of our ongoing strategy, and while there can be no assurance that any potential acquisition or investment will be successful, we are actively pursuing potential strategic transactions. Our strategy to make selective acquisitions and investments to complement our platform depends on our ability to identify, and the availability of, suitable candidates. We may use some or all of the net primary proceeds of this offering for one or more potential transactions. Our completion of one or more potential acquisitions or investments is subject to numerous conditions and contingencies, including the completion to our satisfaction of our due diligence, agreement on the amount and type of consideration, the negotiation and execution of definitive agreements, and the satisfaction of closing conditions. See “Risk Factors—Risks Related to Our Business and Industry—As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165"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If the underwriters exercise their option to purchase additional shares of Class A common stock in full, we estimate that our additional net proceeds will be approximately $66,542,438 based on an assumed public offering price of $41.90 per share. We will use the additional net proceeds we receive pursuant to any exercise of the underwriters’ option to repurchase additional shares of Class A common stock or purchase LLC Units from existing holders.</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680"/>
          </w:cols>
          <w:pgMar w:left="320" w:top="466" w:right="89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A $1.00 increase (decrease) in the assumed public offering price of $41.90 per share would increase (decrease) the amount of proceeds to us from this offering available by approximately $10.6 million, assuming the number of shares offered by us, as set forth on the cover page of this prospectus, remains the same, and after deducting the estimated underwriting discounts. An increase (decrease) of 1,000,000 shares from the expected number of shares to be sold by us in this offering, assuming no change in the assumed public offering price per share, would increase (decrease) the amount of proceeds to us from this offering available by approximately $40.3 million.</w:t>
      </w:r>
    </w:p>
    <w:p>
      <w:pPr>
        <w:spacing w:after="0" w:line="10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720"/>
          </w:cols>
          <w:pgMar w:left="320" w:top="465" w:right="8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DIVIDEND POLICY</w:t>
      </w:r>
    </w:p>
    <w:p>
      <w:pPr>
        <w:spacing w:after="0" w:line="214" w:lineRule="exact"/>
        <w:rPr>
          <w:sz w:val="20"/>
          <w:szCs w:val="20"/>
          <w:color w:val="auto"/>
        </w:rPr>
      </w:pPr>
    </w:p>
    <w:p>
      <w:pPr>
        <w:ind w:left="460" w:right="20" w:firstLine="413"/>
        <w:spacing w:after="0" w:line="301" w:lineRule="auto"/>
        <w:rPr>
          <w:sz w:val="20"/>
          <w:szCs w:val="20"/>
          <w:color w:val="auto"/>
        </w:rPr>
      </w:pPr>
      <w:r>
        <w:rPr>
          <w:rFonts w:ascii="Arial" w:cs="Arial" w:eastAsia="Arial" w:hAnsi="Arial"/>
          <w:sz w:val="15"/>
          <w:szCs w:val="15"/>
          <w:color w:val="auto"/>
        </w:rPr>
        <w:t>We do not currently intend to pay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4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We are a holding company that does not conduct any business operations of our own and has no material assets other than its ownership of LLC Units. As a result, our ability to pay dividends on our common stock, if our Board of Directors determines to do so, will be dependent upon the ability of Definitive OpCo to pay cash dividends and distributions to us. Definitive OpCo’s ability to pay cash dividends and distributions to us is currently restricted by the terms of our Senior Credit Facilities and may be further restricted by any future indebtedness we may incur. See “Description of Material Indebtedness.”</w:t>
      </w:r>
    </w:p>
    <w:p>
      <w:pPr>
        <w:spacing w:after="0" w:line="181" w:lineRule="exact"/>
        <w:rPr>
          <w:sz w:val="20"/>
          <w:szCs w:val="20"/>
          <w:color w:val="auto"/>
        </w:rPr>
      </w:pPr>
    </w:p>
    <w:p>
      <w:pPr>
        <w:ind w:left="460" w:right="120" w:firstLine="413"/>
        <w:spacing w:after="0" w:line="301" w:lineRule="auto"/>
        <w:rPr>
          <w:sz w:val="20"/>
          <w:szCs w:val="20"/>
          <w:color w:val="auto"/>
        </w:rPr>
      </w:pPr>
      <w:r>
        <w:rPr>
          <w:rFonts w:ascii="Arial" w:cs="Arial" w:eastAsia="Arial" w:hAnsi="Arial"/>
          <w:sz w:val="15"/>
          <w:szCs w:val="15"/>
          <w:color w:val="auto"/>
        </w:rPr>
        <w:t>If Definitive OpCo makes such distributions, the holders of LLC Units will be entitled to receive equivalent distributions from Definitive OpCo. However, because we must pay taxes, make payments under the Tax Receivable Agreement and pay our expenses, amounts ultimately distributed as dividends to holders of our Class A common stock are expected to be less than the amounts distributed by Definitive OpCo to the other holders of LLC Units on a per share basis. See “Certain Relationships and Related Party Transactions— Amended Definitive OpCo Agreement.”</w:t>
      </w:r>
    </w:p>
    <w:p>
      <w:pPr>
        <w:spacing w:after="0" w:line="148" w:lineRule="exact"/>
        <w:rPr>
          <w:sz w:val="20"/>
          <w:szCs w:val="20"/>
          <w:color w:val="auto"/>
        </w:rPr>
      </w:pPr>
    </w:p>
    <w:p>
      <w:pPr>
        <w:ind w:left="460" w:firstLine="413"/>
        <w:spacing w:after="0" w:line="267" w:lineRule="auto"/>
        <w:rPr>
          <w:sz w:val="20"/>
          <w:szCs w:val="20"/>
          <w:color w:val="auto"/>
        </w:rPr>
      </w:pPr>
      <w:r>
        <w:rPr>
          <w:rFonts w:ascii="Arial" w:cs="Arial" w:eastAsia="Arial" w:hAnsi="Arial"/>
          <w:sz w:val="16"/>
          <w:szCs w:val="16"/>
          <w:color w:val="auto"/>
        </w:rPr>
        <w:t>Under the Amended LLC Agreement, Definitive OpCo is generally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We may receive tax distributions significantly in excess of our tax liabilities and obligations to make payments under the Tax Receivable Agreement. Our board of directors, in its sole discretion, may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have no obligation to distribute such cash (or other available cash other than any declared dividend) to our stockholders. We also expect, if necessary, to undertake ameliorative actions, which may include pro rata or non-pro rata reclassifications, combinations, subdivisions or adjustments of outstanding LLC Units, to maintain 1:1 parity between LLC Units and shares of Class A common stock. See “Risk Factors—Risks Related to Our Organizational Structure—We are a holding company and our principal asset is our 62.5% economic ownership interest in Definitive OpCo, and we are accordingly dependent upon distributions from Definitive OpCo to pay dividends, if any, and taxes, make payments under the Tax Receivable Agreement and pay other expenses.”</w:t>
      </w:r>
    </w:p>
    <w:p>
      <w:pPr>
        <w:spacing w:after="0" w:line="176" w:lineRule="exact"/>
        <w:rPr>
          <w:sz w:val="20"/>
          <w:szCs w:val="20"/>
          <w:color w:val="auto"/>
        </w:rPr>
      </w:pPr>
    </w:p>
    <w:p>
      <w:pPr>
        <w:ind w:left="460" w:right="760" w:firstLine="413"/>
        <w:spacing w:after="0" w:line="272" w:lineRule="auto"/>
        <w:rPr>
          <w:sz w:val="20"/>
          <w:szCs w:val="20"/>
          <w:color w:val="auto"/>
        </w:rPr>
      </w:pPr>
      <w:r>
        <w:rPr>
          <w:rFonts w:ascii="Arial" w:cs="Arial" w:eastAsia="Arial" w:hAnsi="Arial"/>
          <w:sz w:val="17"/>
          <w:szCs w:val="17"/>
          <w:color w:val="auto"/>
        </w:rPr>
        <w:t>In 2020 and 2019, Definitive OpCo made cash distributions to its equity holders in aggregate amounts of $2.9 million and $7.0 million, respectively, in connection with equity holder tax obligations.</w:t>
      </w:r>
    </w:p>
    <w:p>
      <w:pPr>
        <w:spacing w:after="0" w:line="165"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See “Risk Factors—Risks Related to this Offering and Ownership of Our Class A Common Stock—We do not anticipate paying any dividends on our Class A common stock in the foreseeable future,” “Prospectus Summary—Organizational Structure,” “Management’s Discussion and Analysis of Financial Condition and Results of Operations— Liquidity and Capital Resources,” “Description of Material Indebtedness” and “Description of Capital Stock.”</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780"/>
          </w:cols>
          <w:pgMar w:left="320" w:top="466" w:right="79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CAPITALIZATION</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our cash and cash equivalents and our capitalization as of September 30, 2021:</w:t>
      </w:r>
    </w:p>
    <w:p>
      <w:pPr>
        <w:spacing w:after="0" w:line="121" w:lineRule="exact"/>
        <w:rPr>
          <w:sz w:val="20"/>
          <w:szCs w:val="20"/>
          <w:color w:val="auto"/>
        </w:rPr>
      </w:pPr>
    </w:p>
    <w:p>
      <w:pPr>
        <w:ind w:left="1360" w:hanging="498"/>
        <w:spacing w:after="0"/>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an actual basis for Definitive Healthcare Corp.; and</w:t>
      </w:r>
    </w:p>
    <w:p>
      <w:pPr>
        <w:spacing w:after="0" w:line="121" w:lineRule="exact"/>
        <w:rPr>
          <w:rFonts w:ascii="Arial" w:cs="Arial" w:eastAsia="Arial" w:hAnsi="Arial"/>
          <w:sz w:val="17"/>
          <w:szCs w:val="17"/>
          <w:color w:val="auto"/>
        </w:rPr>
      </w:pPr>
    </w:p>
    <w:p>
      <w:pPr>
        <w:ind w:left="1360" w:right="520" w:hanging="498"/>
        <w:spacing w:after="0" w:line="272" w:lineRule="auto"/>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an as adjusted basis after giving effect to this offering and the application of the net proceeds received by us from this offering as described under “Use of Proceeds.”</w:t>
      </w:r>
    </w:p>
    <w:p>
      <w:pPr>
        <w:spacing w:after="0" w:line="165" w:lineRule="exact"/>
        <w:rPr>
          <w:sz w:val="20"/>
          <w:szCs w:val="20"/>
          <w:color w:val="auto"/>
        </w:rPr>
      </w:pPr>
    </w:p>
    <w:p>
      <w:pPr>
        <w:jc w:val="both"/>
        <w:ind w:left="460" w:right="260" w:firstLine="413"/>
        <w:spacing w:after="0" w:line="260" w:lineRule="auto"/>
        <w:rPr>
          <w:sz w:val="20"/>
          <w:szCs w:val="20"/>
          <w:color w:val="auto"/>
        </w:rPr>
      </w:pPr>
      <w:r>
        <w:rPr>
          <w:rFonts w:ascii="Arial" w:cs="Arial" w:eastAsia="Arial" w:hAnsi="Arial"/>
          <w:sz w:val="17"/>
          <w:szCs w:val="17"/>
          <w:color w:val="auto"/>
        </w:rPr>
        <w:t>This table should be read in conjunction with “Use of Proceeds,” “Unaudited Pro Forma Consolidated Financial Information,” “Management’s Discussion and Analysis of Financial Condition and Results of Operations,” “Description of Capital Stock” and the consolidated financial statements and notes thereto appearing elsewhere in this prospectus.</w:t>
      </w:r>
    </w:p>
    <w:p>
      <w:pPr>
        <w:spacing w:after="0" w:line="193" w:lineRule="exact"/>
        <w:rPr>
          <w:sz w:val="20"/>
          <w:szCs w:val="20"/>
          <w:color w:val="auto"/>
        </w:rPr>
      </w:pPr>
    </w:p>
    <w:p>
      <w:pPr>
        <w:jc w:val="center"/>
        <w:ind w:left="8140"/>
        <w:spacing w:after="0"/>
        <w:rPr>
          <w:sz w:val="20"/>
          <w:szCs w:val="20"/>
          <w:color w:val="auto"/>
        </w:rPr>
      </w:pPr>
      <w:r>
        <w:rPr>
          <w:rFonts w:ascii="Arial" w:cs="Arial" w:eastAsia="Arial" w:hAnsi="Arial"/>
          <w:sz w:val="13"/>
          <w:szCs w:val="13"/>
          <w:b w:val="1"/>
          <w:bCs w:val="1"/>
          <w:color w:val="auto"/>
        </w:rPr>
        <w:t>Definitive Healthcare</w:t>
      </w:r>
    </w:p>
    <w:p>
      <w:pPr>
        <w:spacing w:after="0" w:line="4" w:lineRule="exact"/>
        <w:rPr>
          <w:sz w:val="20"/>
          <w:szCs w:val="20"/>
          <w:color w:val="auto"/>
        </w:rPr>
      </w:pPr>
    </w:p>
    <w:p>
      <w:pPr>
        <w:jc w:val="center"/>
        <w:ind w:left="8140"/>
        <w:spacing w:after="0"/>
        <w:rPr>
          <w:sz w:val="20"/>
          <w:szCs w:val="20"/>
          <w:color w:val="auto"/>
        </w:rPr>
      </w:pPr>
      <w:r>
        <w:rPr>
          <w:rFonts w:ascii="Arial" w:cs="Arial" w:eastAsia="Arial" w:hAnsi="Arial"/>
          <w:sz w:val="13"/>
          <w:szCs w:val="13"/>
          <w:b w:val="1"/>
          <w:bCs w:val="1"/>
          <w:color w:val="auto"/>
        </w:rPr>
        <w:t>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5533390</wp:posOffset>
            </wp:positionH>
            <wp:positionV relativeFrom="paragraph">
              <wp:posOffset>-1905</wp:posOffset>
            </wp:positionV>
            <wp:extent cx="12465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8960"/>
        <w:spacing w:after="0" w:line="227" w:lineRule="auto"/>
        <w:rPr>
          <w:sz w:val="20"/>
          <w:szCs w:val="20"/>
          <w:color w:val="auto"/>
        </w:rPr>
      </w:pPr>
      <w:r>
        <w:rPr>
          <w:rFonts w:ascii="Arial" w:cs="Arial" w:eastAsia="Arial" w:hAnsi="Arial"/>
          <w:sz w:val="13"/>
          <w:szCs w:val="13"/>
          <w:b w:val="1"/>
          <w:bCs w:val="1"/>
          <w:color w:val="auto"/>
        </w:rPr>
        <w:t>As of September 30, 2021</w:t>
      </w:r>
    </w:p>
    <w:tbl>
      <w:tblPr>
        <w:tblLayout w:type="fixed"/>
        <w:tblInd w:w="460" w:type="dxa"/>
        <w:tblCellMar>
          <w:top w:w="0" w:type="dxa"/>
          <w:left w:w="0" w:type="dxa"/>
          <w:bottom w:w="0" w:type="dxa"/>
          <w:right w:w="0" w:type="dxa"/>
        </w:tblCellMar>
      </w:tblPr>
      <w:tr>
        <w:trPr>
          <w:trHeight w:val="126"/>
        </w:trPr>
        <w:tc>
          <w:tcPr>
            <w:tcW w:w="8260" w:type="dxa"/>
            <w:vAlign w:val="bottom"/>
            <w:gridSpan w:val="4"/>
          </w:tcPr>
          <w:p>
            <w:pPr>
              <w:spacing w:after="0" w:line="106" w:lineRule="exact"/>
              <w:rPr>
                <w:sz w:val="20"/>
                <w:szCs w:val="20"/>
                <w:color w:val="auto"/>
              </w:rPr>
            </w:pPr>
            <w:r>
              <w:rPr>
                <w:rFonts w:ascii="Arial" w:cs="Arial" w:eastAsia="Arial" w:hAnsi="Arial"/>
                <w:sz w:val="12"/>
                <w:szCs w:val="12"/>
                <w:color w:val="auto"/>
              </w:rPr>
              <w:t>(in thousands)</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100"/>
              <w:spacing w:after="0" w:line="107" w:lineRule="exact"/>
              <w:rPr>
                <w:sz w:val="20"/>
                <w:szCs w:val="20"/>
                <w:color w:val="auto"/>
              </w:rPr>
            </w:pPr>
            <w:r>
              <w:rPr>
                <w:rFonts w:ascii="Arial" w:cs="Arial" w:eastAsia="Arial" w:hAnsi="Arial"/>
                <w:sz w:val="12"/>
                <w:szCs w:val="12"/>
                <w:b w:val="1"/>
                <w:bCs w:val="1"/>
                <w:color w:val="auto"/>
              </w:rPr>
              <w:t>Actual</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20"/>
              <w:spacing w:after="0" w:line="107" w:lineRule="exact"/>
              <w:rPr>
                <w:sz w:val="20"/>
                <w:szCs w:val="20"/>
                <w:color w:val="auto"/>
              </w:rPr>
            </w:pPr>
            <w:r>
              <w:rPr>
                <w:rFonts w:ascii="Arial" w:cs="Arial" w:eastAsia="Arial" w:hAnsi="Arial"/>
                <w:sz w:val="12"/>
                <w:szCs w:val="12"/>
                <w:b w:val="1"/>
                <w:bCs w:val="1"/>
                <w:color w:val="auto"/>
                <w:w w:val="99"/>
              </w:rPr>
              <w:t>As Adjusted(1)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24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color w:val="auto"/>
              </w:rPr>
              <w:t>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189,752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472,053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60" w:type="dxa"/>
            <w:vAlign w:val="bottom"/>
            <w:gridSpan w:val="4"/>
            <w:vMerge w:val="restart"/>
          </w:tcPr>
          <w:p>
            <w:pPr>
              <w:spacing w:after="0"/>
              <w:rPr>
                <w:sz w:val="20"/>
                <w:szCs w:val="20"/>
                <w:color w:val="auto"/>
              </w:rPr>
            </w:pPr>
            <w:r>
              <w:rPr>
                <w:rFonts w:ascii="Arial" w:cs="Arial" w:eastAsia="Arial" w:hAnsi="Arial"/>
                <w:sz w:val="17"/>
                <w:szCs w:val="17"/>
                <w:color w:val="auto"/>
              </w:rPr>
              <w:t>Debt, including current and long-term (2):</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Term Facility</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7"/>
                <w:szCs w:val="17"/>
                <w:color w:val="auto"/>
                <w:w w:val="94"/>
              </w:rPr>
              <w:t>272,263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272,263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Arial" w:cs="Arial" w:eastAsia="Arial" w:hAnsi="Arial"/>
                <w:sz w:val="17"/>
                <w:szCs w:val="17"/>
                <w:color w:val="auto"/>
              </w:rPr>
              <w:t>Revolving Credit Facility</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Total debt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80"/>
              <w:spacing w:after="0"/>
              <w:rPr>
                <w:sz w:val="20"/>
                <w:szCs w:val="20"/>
                <w:color w:val="auto"/>
              </w:rPr>
            </w:pPr>
            <w:r>
              <w:rPr>
                <w:rFonts w:ascii="Arial" w:cs="Arial" w:eastAsia="Arial" w:hAnsi="Arial"/>
                <w:sz w:val="17"/>
                <w:szCs w:val="17"/>
                <w:color w:val="auto"/>
                <w:w w:val="94"/>
              </w:rPr>
              <w:t>272,263</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272,263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60" w:type="dxa"/>
            <w:vAlign w:val="bottom"/>
            <w:gridSpan w:val="4"/>
          </w:tcPr>
          <w:p>
            <w:pPr>
              <w:spacing w:after="0"/>
              <w:rPr>
                <w:sz w:val="20"/>
                <w:szCs w:val="20"/>
                <w:color w:val="auto"/>
              </w:rPr>
            </w:pPr>
            <w:r>
              <w:rPr>
                <w:rFonts w:ascii="Arial" w:cs="Arial" w:eastAsia="Arial" w:hAnsi="Arial"/>
                <w:sz w:val="17"/>
                <w:szCs w:val="17"/>
                <w:color w:val="auto"/>
              </w:rPr>
              <w:t>Equity:</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40" w:type="dxa"/>
            <w:vAlign w:val="bottom"/>
            <w:gridSpan w:val="3"/>
            <w:shd w:val="clear" w:color="auto" w:fill="CCEEFF"/>
          </w:tcPr>
          <w:p>
            <w:pPr>
              <w:ind w:left="320"/>
              <w:spacing w:after="0" w:line="190" w:lineRule="exact"/>
              <w:rPr>
                <w:sz w:val="20"/>
                <w:szCs w:val="20"/>
                <w:color w:val="auto"/>
              </w:rPr>
            </w:pPr>
            <w:r>
              <w:rPr>
                <w:rFonts w:ascii="Arial" w:cs="Arial" w:eastAsia="Arial" w:hAnsi="Arial"/>
                <w:sz w:val="17"/>
                <w:szCs w:val="17"/>
                <w:color w:val="auto"/>
                <w:w w:val="98"/>
              </w:rPr>
              <w:t>Class A Common Stock, par value $0.001, 600,000,000 shares authorized, 88,263,333 shares issued, and</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outstanding at September 30, 2021, and 97,030,095 shares issued and outstanding as adjusted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gridSpan w:val="3"/>
          </w:tcPr>
          <w:p>
            <w:pPr>
              <w:ind w:left="320"/>
              <w:spacing w:after="0" w:line="190" w:lineRule="exact"/>
              <w:rPr>
                <w:sz w:val="20"/>
                <w:szCs w:val="20"/>
                <w:color w:val="auto"/>
              </w:rPr>
            </w:pPr>
            <w:r>
              <w:rPr>
                <w:rFonts w:ascii="Arial" w:cs="Arial" w:eastAsia="Arial" w:hAnsi="Arial"/>
                <w:sz w:val="17"/>
                <w:szCs w:val="17"/>
                <w:color w:val="auto"/>
                <w:w w:val="93"/>
              </w:rPr>
              <w:t>Class B Common Stock, no par value, 65,000,000 shares authorized, 60,020,525 shares issued and 57,220,661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gridSpan w:val="3"/>
          </w:tcPr>
          <w:p>
            <w:pPr>
              <w:ind w:left="480"/>
              <w:spacing w:after="0"/>
              <w:rPr>
                <w:sz w:val="20"/>
                <w:szCs w:val="20"/>
                <w:color w:val="auto"/>
              </w:rPr>
            </w:pPr>
            <w:r>
              <w:rPr>
                <w:rFonts w:ascii="Arial" w:cs="Arial" w:eastAsia="Arial" w:hAnsi="Arial"/>
                <w:sz w:val="17"/>
                <w:szCs w:val="17"/>
                <w:color w:val="auto"/>
                <w:w w:val="95"/>
              </w:rPr>
              <w:t>outstanding at September 30, 2021, and 58,244,627 shares issued and 55,475,777 outstanding as adjusted</w:t>
            </w:r>
          </w:p>
        </w:tc>
        <w:tc>
          <w:tcPr>
            <w:tcW w:w="10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40" w:type="dxa"/>
            <w:vAlign w:val="bottom"/>
            <w:gridSpan w:val="3"/>
            <w:shd w:val="clear" w:color="auto" w:fill="CCEEFF"/>
          </w:tcPr>
          <w:p>
            <w:pPr>
              <w:ind w:left="320"/>
              <w:spacing w:after="0" w:line="190" w:lineRule="exact"/>
              <w:rPr>
                <w:sz w:val="20"/>
                <w:szCs w:val="20"/>
                <w:color w:val="auto"/>
              </w:rPr>
            </w:pPr>
            <w:r>
              <w:rPr>
                <w:rFonts w:ascii="Arial" w:cs="Arial" w:eastAsia="Arial" w:hAnsi="Arial"/>
                <w:sz w:val="17"/>
                <w:szCs w:val="17"/>
                <w:color w:val="auto"/>
                <w:w w:val="91"/>
              </w:rPr>
              <w:t>Preferred common stock, $0.001 par value per share, 10,000,000 shares authorized, as adjusted, no shares issued</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and outstanding, actual and as adjusted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700,773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909,146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Arial" w:cs="Arial" w:eastAsia="Arial" w:hAnsi="Arial"/>
                <w:sz w:val="17"/>
                <w:szCs w:val="17"/>
                <w:color w:val="auto"/>
              </w:rPr>
              <w:t>Noncontrolling interest</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590,177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648,525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(7,978)</w:t>
            </w:r>
          </w:p>
        </w:tc>
        <w:tc>
          <w:tcPr>
            <w:tcW w:w="0" w:type="dxa"/>
            <w:vAlign w:val="bottom"/>
          </w:tcPr>
          <w:p>
            <w:pPr>
              <w:spacing w:after="0"/>
              <w:rPr>
                <w:sz w:val="1"/>
                <w:szCs w:val="1"/>
                <w:color w:val="auto"/>
              </w:rPr>
            </w:pPr>
          </w:p>
        </w:tc>
      </w:tr>
      <w:tr>
        <w:trPr>
          <w:trHeight w:val="213"/>
        </w:trPr>
        <w:tc>
          <w:tcPr>
            <w:tcW w:w="8260" w:type="dxa"/>
            <w:vAlign w:val="bottom"/>
            <w:gridSpan w:val="4"/>
          </w:tcPr>
          <w:p>
            <w:pPr>
              <w:spacing w:after="0"/>
              <w:rPr>
                <w:sz w:val="20"/>
                <w:szCs w:val="20"/>
                <w:color w:val="auto"/>
              </w:rPr>
            </w:pPr>
            <w:r>
              <w:rPr>
                <w:rFonts w:ascii="Arial" w:cs="Arial" w:eastAsia="Arial" w:hAnsi="Arial"/>
                <w:sz w:val="17"/>
                <w:szCs w:val="17"/>
                <w:color w:val="auto"/>
              </w:rPr>
              <w:t>Total equity</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1,283,084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1,549,814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1,555,347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1,822,077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60" w:right="40" w:hanging="403"/>
        <w:spacing w:after="0" w:line="251"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Each $1.00 increase or decrease in the public offering price per share would increase or decrease, as applicable, our net proceeds, after deducting the underwriting discounts and estimated offering expenses payable by us, by $10.6 million (assuming no exercise of the underwriters’ option to purchase additional shares). Similarly, an increase or decrease of one million shares of Class A common stock sold in this offering by us would increase or decrease, as applicable, our net proceeds, after deducting the underwriting discounts and estimated offering expenses payable by us, by $40.3 million, based on a public offering price of $41.90.</w:t>
      </w:r>
    </w:p>
    <w:p>
      <w:pPr>
        <w:spacing w:after="0" w:line="2" w:lineRule="exact"/>
        <w:rPr>
          <w:rFonts w:ascii="Arial" w:cs="Arial" w:eastAsia="Arial" w:hAnsi="Arial"/>
          <w:sz w:val="17"/>
          <w:szCs w:val="17"/>
          <w:color w:val="auto"/>
        </w:rPr>
      </w:pPr>
    </w:p>
    <w:p>
      <w:pPr>
        <w:ind w:left="860" w:right="180" w:hanging="403"/>
        <w:spacing w:after="0" w:line="257"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a description of our debt, see “Description of Material Indebtedness.” For a description of our debt refinancing, see “Prospectus Summary— Debt Refinancing.”</w:t>
      </w:r>
    </w:p>
    <w:p>
      <w:pPr>
        <w:spacing w:after="0" w:line="11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800"/>
          </w:cols>
          <w:pgMar w:left="320" w:top="465" w:right="77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214" w:lineRule="exact"/>
        <w:rPr>
          <w:sz w:val="20"/>
          <w:szCs w:val="20"/>
          <w:color w:val="auto"/>
        </w:rPr>
      </w:pPr>
    </w:p>
    <w:p>
      <w:pPr>
        <w:ind w:left="460" w:right="60" w:firstLine="413"/>
        <w:spacing w:after="0" w:line="289" w:lineRule="auto"/>
        <w:rPr>
          <w:sz w:val="20"/>
          <w:szCs w:val="20"/>
          <w:color w:val="auto"/>
        </w:rPr>
      </w:pPr>
      <w:r>
        <w:rPr>
          <w:rFonts w:ascii="Arial" w:cs="Arial" w:eastAsia="Arial" w:hAnsi="Arial"/>
          <w:sz w:val="15"/>
          <w:szCs w:val="15"/>
          <w:color w:val="auto"/>
        </w:rPr>
        <w:t>The following unaudited pro forma consolidated statements of operations for the year ended December 31, 2020 and nine months ended September 30, 2021 give effect to the pro forma adjustments related to (i) the Reorganization Transactions, which we refer to as the “Transactions Adjustments,” (ii) the sale of 17,888,888 shares of Class A common stock in our IPO and (iii) the sale of 11,000,000 shares of Class A common stock and the application of the net proceeds from this offering, which we refer to as the “Offering Adjustments.” We refer to the Reorganization Transactions and the Offering Adjustments collectively as the “Transactions.” The unaudited pro forma consolidated statements of operations for the year ended December 31, 2020 and nine months ended September 30, 2021 give pro forma effect to the Transactions as if they had occurred on January 1, 2020. The unaudited pro forma financial information has been prepared by our management and is based on Definitive OpCo’s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w:t>
      </w:r>
    </w:p>
    <w:p>
      <w:pPr>
        <w:spacing w:after="0" w:line="157" w:lineRule="exact"/>
        <w:rPr>
          <w:sz w:val="20"/>
          <w:szCs w:val="20"/>
          <w:color w:val="auto"/>
        </w:rPr>
      </w:pPr>
    </w:p>
    <w:p>
      <w:pPr>
        <w:ind w:left="460" w:right="200" w:firstLine="413"/>
        <w:spacing w:after="0" w:line="340" w:lineRule="auto"/>
        <w:rPr>
          <w:sz w:val="20"/>
          <w:szCs w:val="20"/>
          <w:color w:val="auto"/>
        </w:rPr>
      </w:pPr>
      <w:r>
        <w:rPr>
          <w:rFonts w:ascii="Arial" w:cs="Arial" w:eastAsia="Arial" w:hAnsi="Arial"/>
          <w:sz w:val="15"/>
          <w:szCs w:val="15"/>
          <w:color w:val="auto"/>
        </w:rPr>
        <w:t>Our historical financial information as of September 30, 2021 and for the year ended December 31, 2020 and nine months ended September 30, 2021 has been derived from Definitive OpCo’s consolidated financial statements and accompanying notes included elsewhere in this prospectus.</w:t>
      </w:r>
    </w:p>
    <w:p>
      <w:pPr>
        <w:spacing w:after="0" w:line="119" w:lineRule="exact"/>
        <w:rPr>
          <w:sz w:val="20"/>
          <w:szCs w:val="20"/>
          <w:color w:val="auto"/>
        </w:rPr>
      </w:pPr>
    </w:p>
    <w:p>
      <w:pPr>
        <w:ind w:left="460" w:right="60" w:firstLine="413"/>
        <w:spacing w:after="0" w:line="274" w:lineRule="auto"/>
        <w:rPr>
          <w:sz w:val="20"/>
          <w:szCs w:val="20"/>
          <w:color w:val="auto"/>
        </w:rPr>
      </w:pPr>
      <w:r>
        <w:rPr>
          <w:rFonts w:ascii="Arial" w:cs="Arial" w:eastAsia="Arial" w:hAnsi="Arial"/>
          <w:sz w:val="16"/>
          <w:szCs w:val="16"/>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Definitive OpCo.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65" w:lineRule="exact"/>
        <w:rPr>
          <w:sz w:val="20"/>
          <w:szCs w:val="20"/>
          <w:color w:val="auto"/>
        </w:rPr>
      </w:pPr>
    </w:p>
    <w:p>
      <w:pPr>
        <w:ind w:left="460" w:right="840" w:firstLine="413"/>
        <w:spacing w:after="0" w:line="272" w:lineRule="auto"/>
        <w:rPr>
          <w:sz w:val="20"/>
          <w:szCs w:val="20"/>
          <w:color w:val="auto"/>
        </w:rPr>
      </w:pPr>
      <w:r>
        <w:rPr>
          <w:rFonts w:ascii="Arial" w:cs="Arial" w:eastAsia="Arial" w:hAnsi="Arial"/>
          <w:sz w:val="17"/>
          <w:szCs w:val="17"/>
          <w:color w:val="auto"/>
        </w:rPr>
        <w:t>The pro forma adjustments, which we refer to as the “Transactions Adjustments” are described in the notes to the unaudited pro forma consolidated financial information and primarily include:</w:t>
      </w:r>
    </w:p>
    <w:p>
      <w:pPr>
        <w:spacing w:after="0" w:line="76" w:lineRule="exact"/>
        <w:rPr>
          <w:sz w:val="20"/>
          <w:szCs w:val="20"/>
          <w:color w:val="auto"/>
        </w:rPr>
      </w:pPr>
    </w:p>
    <w:p>
      <w:pPr>
        <w:ind w:left="1360" w:right="80" w:hanging="498"/>
        <w:spacing w:after="0" w:line="272" w:lineRule="auto"/>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recognition of a non-controlling interest in Definitive OpCo held by the Unitholders, which will be exchangeable for shares of Class A common stock on a one-for-one basis in accordance with the terms of the Amended LLC Agreement; and</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provision for federal and state income taxes of Definitive Healthcare Corp. as a taxable corporation;</w:t>
      </w:r>
    </w:p>
    <w:p>
      <w:pPr>
        <w:spacing w:after="0" w:line="210"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pro forma adjustments related to the adjustments relating to this offering, which we refer to as the “Offering Adjustments,” are described in the notes to the unaudited pro forma consolidated financial information and primarily include:</w:t>
      </w:r>
    </w:p>
    <w:p>
      <w:pPr>
        <w:spacing w:after="0" w:line="76" w:lineRule="exact"/>
        <w:rPr>
          <w:sz w:val="20"/>
          <w:szCs w:val="20"/>
          <w:color w:val="auto"/>
        </w:rPr>
      </w:pPr>
    </w:p>
    <w:p>
      <w:pPr>
        <w:ind w:left="1360" w:right="480" w:hanging="498"/>
        <w:spacing w:after="0" w:line="260"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issuance of shares of our Class A common stock to the purchasers in this offering in exchange for net proceeds of approximately $443,616,250, assuming that the shares are offered at $41.90 per share, after deducting underwriting discounts but before offering expenses;</w:t>
      </w:r>
    </w:p>
    <w:p>
      <w:pPr>
        <w:spacing w:after="0" w:line="86" w:lineRule="exact"/>
        <w:rPr>
          <w:rFonts w:ascii="Arial" w:cs="Arial" w:eastAsia="Arial" w:hAnsi="Arial"/>
          <w:sz w:val="17"/>
          <w:szCs w:val="17"/>
          <w:color w:val="auto"/>
        </w:rPr>
      </w:pPr>
    </w:p>
    <w:p>
      <w:pPr>
        <w:jc w:val="both"/>
        <w:ind w:left="1360" w:right="240" w:hanging="498"/>
        <w:spacing w:after="0" w:line="260"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application by Definitive Healthcare Corp. and Definitive OpCo of the net proceeds from this offering to purchase 7,000,000 newly issued LLC Units of Definitive OpCo using either the net proceeds from this offering or other assets or investments acquired using such net proceeds; and</w:t>
      </w:r>
    </w:p>
    <w:p>
      <w:pPr>
        <w:spacing w:after="0" w:line="86" w:lineRule="exact"/>
        <w:rPr>
          <w:rFonts w:ascii="Arial" w:cs="Arial" w:eastAsia="Arial" w:hAnsi="Arial"/>
          <w:sz w:val="17"/>
          <w:szCs w:val="17"/>
          <w:color w:val="auto"/>
        </w:rPr>
      </w:pPr>
    </w:p>
    <w:p>
      <w:pPr>
        <w:ind w:left="1360" w:hanging="498"/>
        <w:spacing w:after="0" w:line="272"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application by Definitive OpCo of a portion of the proceeds of the sale of LLC Units to Definitive Healthcare Corp. as set forth in “Use of Proceeds.”</w:t>
      </w:r>
    </w:p>
    <w:p>
      <w:pPr>
        <w:spacing w:after="0" w:line="165" w:lineRule="exact"/>
        <w:rPr>
          <w:sz w:val="20"/>
          <w:szCs w:val="20"/>
          <w:color w:val="auto"/>
        </w:rPr>
      </w:pPr>
    </w:p>
    <w:p>
      <w:pPr>
        <w:ind w:left="460" w:right="680" w:firstLine="413"/>
        <w:spacing w:after="0" w:line="272" w:lineRule="auto"/>
        <w:rPr>
          <w:sz w:val="20"/>
          <w:szCs w:val="20"/>
          <w:color w:val="auto"/>
        </w:rPr>
      </w:pPr>
      <w:r>
        <w:rPr>
          <w:rFonts w:ascii="Arial" w:cs="Arial" w:eastAsia="Arial" w:hAnsi="Arial"/>
          <w:sz w:val="17"/>
          <w:szCs w:val="17"/>
          <w:color w:val="auto"/>
        </w:rPr>
        <w:t>We are in the process of implementing additional procedures and processes for the purpose of addressing the standards and requirements applicable to public companies. We expect to incur additional annual expenses</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780"/>
          </w:cols>
          <w:pgMar w:left="320" w:top="466" w:right="79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60"/>
        <w:spacing w:after="0" w:line="254" w:lineRule="auto"/>
        <w:rPr>
          <w:sz w:val="20"/>
          <w:szCs w:val="20"/>
          <w:color w:val="auto"/>
        </w:rPr>
      </w:pPr>
      <w:r>
        <w:rPr>
          <w:rFonts w:ascii="Arial" w:cs="Arial" w:eastAsia="Arial" w:hAnsi="Arial"/>
          <w:sz w:val="17"/>
          <w:szCs w:val="17"/>
          <w:color w:val="auto"/>
        </w:rPr>
        <w:t>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81" w:lineRule="exact"/>
        <w:rPr>
          <w:sz w:val="20"/>
          <w:szCs w:val="20"/>
          <w:color w:val="auto"/>
        </w:rPr>
      </w:pPr>
    </w:p>
    <w:p>
      <w:pPr>
        <w:jc w:val="both"/>
        <w:ind w:left="460" w:right="180" w:firstLine="413"/>
        <w:spacing w:after="0" w:line="260" w:lineRule="auto"/>
        <w:rPr>
          <w:sz w:val="20"/>
          <w:szCs w:val="20"/>
          <w:color w:val="auto"/>
        </w:rPr>
      </w:pPr>
      <w:r>
        <w:rPr>
          <w:rFonts w:ascii="Arial" w:cs="Arial" w:eastAsia="Arial" w:hAnsi="Arial"/>
          <w:sz w:val="17"/>
          <w:szCs w:val="17"/>
          <w:color w:val="auto"/>
        </w:rPr>
        <w:t>Because Definitive Healthcare Corp. was formed on May 5, 2021 and had no material assets or results of operations until the completion of the IPO, its historical financial information is not included in the unaudited pro forma consolidated financial information for the year ended December 31, 2020 and nine months ended September 30, 2021.</w:t>
      </w:r>
    </w:p>
    <w:p>
      <w:pPr>
        <w:spacing w:after="0" w:line="175"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48"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The unaudited pro forma consolidated financial information should be read together with “Prospectus Summary—Organizational Structure,” “Capitalization,” “Management’s Discussion and Analysis of Financial Condition and Results of Operations” and our historical financial statements and related notes thereto included elsewhere in this prospectus.</w:t>
      </w: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00"/>
          </w:cols>
          <w:pgMar w:left="320" w:top="465" w:right="7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UNAUDITED PRO FORMA CONSOLIDATED STATEMENT OF OPERATIONS Nine Months Ended September 30, 2021</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3"/>
                <w:szCs w:val="13"/>
                <w:b w:val="1"/>
                <w:bCs w:val="1"/>
                <w:color w:val="auto"/>
              </w:rPr>
              <w:t>Definitive</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Pro forma</w:t>
            </w: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Transaction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4"/>
              </w:rPr>
              <w:t>Offering</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Definitive</w:t>
            </w: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92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Healthcare</w:t>
            </w:r>
          </w:p>
        </w:tc>
        <w:tc>
          <w:tcPr>
            <w:tcW w:w="9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80"/>
              <w:spacing w:after="0" w:line="139" w:lineRule="exact"/>
              <w:rPr>
                <w:sz w:val="20"/>
                <w:szCs w:val="20"/>
                <w:color w:val="auto"/>
              </w:rPr>
            </w:pPr>
            <w:r>
              <w:rPr>
                <w:rFonts w:ascii="Arial" w:cs="Arial" w:eastAsia="Arial" w:hAnsi="Arial"/>
                <w:sz w:val="13"/>
                <w:szCs w:val="13"/>
                <w:b w:val="1"/>
                <w:bCs w:val="1"/>
                <w:color w:val="auto"/>
              </w:rPr>
              <w:t>Definitive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6"/>
              </w:rPr>
              <w:t>Healthcare</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Corp.</w:t>
            </w: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5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Healthcare Corp.</w:t>
            </w:r>
          </w:p>
        </w:tc>
        <w:tc>
          <w:tcPr>
            <w:tcW w:w="1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Adjustment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Corp.</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 in thousands, except per share data)</w:t>
            </w: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119,841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119,841</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119,841</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Cost of revenue exclusive of amortization shown below</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13,895</w:t>
            </w: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13,895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13,895</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15,896</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15,896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15,896</w:t>
            </w:r>
          </w:p>
        </w:tc>
        <w:tc>
          <w:tcPr>
            <w:tcW w:w="0" w:type="dxa"/>
            <w:vAlign w:val="bottom"/>
          </w:tcPr>
          <w:p>
            <w:pPr>
              <w:spacing w:after="0"/>
              <w:rPr>
                <w:sz w:val="1"/>
                <w:szCs w:val="1"/>
                <w:color w:val="auto"/>
              </w:rPr>
            </w:pPr>
          </w:p>
        </w:tc>
      </w:tr>
      <w:tr>
        <w:trPr>
          <w:trHeight w:val="195"/>
        </w:trPr>
        <w:tc>
          <w:tcPr>
            <w:tcW w:w="4320" w:type="dxa"/>
            <w:vAlign w:val="bottom"/>
          </w:tcPr>
          <w:p>
            <w:pPr>
              <w:ind w:left="64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90,050</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39,003</w:t>
            </w: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39,003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39,003</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Product development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12,817</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12,817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12,817</w:t>
            </w: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18,891</w:t>
            </w: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18,891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18,891</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28,814</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28,814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28,814</w:t>
            </w: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Transaction expenses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3,332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3,332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9,459</w:t>
            </w:r>
          </w:p>
        </w:tc>
        <w:tc>
          <w:tcPr>
            <w:tcW w:w="56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12,791</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32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Total operating expenses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102,857</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102,857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9,459</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112,316</w:t>
            </w:r>
          </w:p>
        </w:tc>
        <w:tc>
          <w:tcPr>
            <w:tcW w:w="0" w:type="dxa"/>
            <w:vAlign w:val="bottom"/>
          </w:tcPr>
          <w:p>
            <w:pPr>
              <w:spacing w:after="0"/>
              <w:rPr>
                <w:sz w:val="1"/>
                <w:szCs w:val="1"/>
                <w:color w:val="auto"/>
              </w:rPr>
            </w:pPr>
          </w:p>
        </w:tc>
      </w:tr>
      <w:tr>
        <w:trPr>
          <w:trHeight w:val="190"/>
        </w:trPr>
        <w:tc>
          <w:tcPr>
            <w:tcW w:w="4320" w:type="dxa"/>
            <w:vAlign w:val="bottom"/>
          </w:tcPr>
          <w:p>
            <w:pPr>
              <w:ind w:left="960"/>
              <w:spacing w:after="0"/>
              <w:rPr>
                <w:sz w:val="20"/>
                <w:szCs w:val="20"/>
                <w:color w:val="auto"/>
              </w:rPr>
            </w:pPr>
            <w:r>
              <w:rPr>
                <w:rFonts w:ascii="Arial" w:cs="Arial" w:eastAsia="Arial" w:hAnsi="Arial"/>
                <w:sz w:val="16"/>
                <w:szCs w:val="16"/>
                <w:color w:val="auto"/>
              </w:rPr>
              <w:t>(Loss) income from operations</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(12,807)</w:t>
            </w: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(12,807)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(9,459)</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(22,266)</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Foreign currency transactions loss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(23,956)</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18,502</w:t>
            </w:r>
          </w:p>
        </w:tc>
        <w:tc>
          <w:tcPr>
            <w:tcW w:w="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(5,454)</w:t>
            </w: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(9,873)</w:t>
            </w:r>
          </w:p>
        </w:tc>
        <w:tc>
          <w:tcPr>
            <w:tcW w:w="16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(9,873)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9,873</w:t>
            </w:r>
          </w:p>
        </w:tc>
        <w:tc>
          <w:tcPr>
            <w:tcW w:w="56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3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expense, net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(33,686)</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(33,686)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18,502</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(5,311)</w:t>
            </w:r>
          </w:p>
        </w:tc>
        <w:tc>
          <w:tcPr>
            <w:tcW w:w="0" w:type="dxa"/>
            <w:vAlign w:val="bottom"/>
          </w:tcPr>
          <w:p>
            <w:pPr>
              <w:spacing w:after="0"/>
              <w:rPr>
                <w:sz w:val="1"/>
                <w:szCs w:val="1"/>
                <w:color w:val="auto"/>
              </w:rPr>
            </w:pPr>
          </w:p>
        </w:tc>
      </w:tr>
      <w:tr>
        <w:trPr>
          <w:trHeight w:val="195"/>
        </w:trPr>
        <w:tc>
          <w:tcPr>
            <w:tcW w:w="4320" w:type="dxa"/>
            <w:vAlign w:val="bottom"/>
          </w:tcPr>
          <w:p>
            <w:pPr>
              <w:ind w:left="640"/>
              <w:spacing w:after="0"/>
              <w:rPr>
                <w:sz w:val="20"/>
                <w:szCs w:val="20"/>
                <w:color w:val="auto"/>
              </w:rPr>
            </w:pPr>
            <w:r>
              <w:rPr>
                <w:rFonts w:ascii="Arial" w:cs="Arial" w:eastAsia="Arial" w:hAnsi="Arial"/>
                <w:sz w:val="16"/>
                <w:szCs w:val="16"/>
                <w:b w:val="1"/>
                <w:bCs w:val="1"/>
                <w:color w:val="auto"/>
              </w:rPr>
              <w:t>Loss before income taxes</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(46,493)</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(46,493)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9,043</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320" w:type="dxa"/>
            <w:vAlign w:val="bottom"/>
          </w:tcPr>
          <w:p>
            <w:pPr>
              <w:ind w:left="32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(46,493)</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(46,493)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9,043</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interests</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(5,172)</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20,667</w:t>
            </w: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(25,839)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15,808</w:t>
            </w:r>
          </w:p>
        </w:tc>
        <w:tc>
          <w:tcPr>
            <w:tcW w:w="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(10,032)</w:t>
            </w:r>
          </w:p>
        </w:tc>
        <w:tc>
          <w:tcPr>
            <w:tcW w:w="0" w:type="dxa"/>
            <w:vAlign w:val="bottom"/>
          </w:tcPr>
          <w:p>
            <w:pPr>
              <w:spacing w:after="0"/>
              <w:rPr>
                <w:sz w:val="1"/>
                <w:szCs w:val="1"/>
                <w:color w:val="auto"/>
              </w:rPr>
            </w:pPr>
          </w:p>
        </w:tc>
      </w:tr>
      <w:tr>
        <w:trPr>
          <w:trHeight w:val="195"/>
        </w:trPr>
        <w:tc>
          <w:tcPr>
            <w:tcW w:w="4320" w:type="dxa"/>
            <w:vAlign w:val="bottom"/>
          </w:tcPr>
          <w:p>
            <w:pPr>
              <w:ind w:left="320"/>
              <w:spacing w:after="0"/>
              <w:rPr>
                <w:sz w:val="20"/>
                <w:szCs w:val="20"/>
                <w:color w:val="auto"/>
              </w:rPr>
            </w:pPr>
            <w:r>
              <w:rPr>
                <w:rFonts w:ascii="Arial" w:cs="Arial" w:eastAsia="Arial" w:hAnsi="Arial"/>
                <w:sz w:val="16"/>
                <w:szCs w:val="16"/>
                <w:color w:val="auto"/>
              </w:rPr>
              <w:t>Net loss attributable to Definitive Healthcare Corp.</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(41,321</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w w:val="84"/>
              </w:rPr>
              <w:t>(20,667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(20,654)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(6,765</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5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3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Pro forma net loss per share data</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20" w:type="dxa"/>
            <w:vAlign w:val="bottom"/>
          </w:tcPr>
          <w:p>
            <w:pPr>
              <w:spacing w:after="0" w:line="172" w:lineRule="exact"/>
              <w:rPr>
                <w:sz w:val="20"/>
                <w:szCs w:val="20"/>
                <w:color w:val="auto"/>
              </w:rPr>
            </w:pPr>
            <w:r>
              <w:rPr>
                <w:rFonts w:ascii="Arial" w:cs="Arial" w:eastAsia="Arial" w:hAnsi="Arial"/>
                <w:sz w:val="16"/>
                <w:szCs w:val="16"/>
                <w:color w:val="auto"/>
                <w:w w:val="97"/>
              </w:rPr>
              <w:t>Pro forma weighted-average shares of Class A common stock</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160"/>
              <w:spacing w:after="0"/>
              <w:rPr>
                <w:sz w:val="20"/>
                <w:szCs w:val="20"/>
                <w:color w:val="auto"/>
              </w:rPr>
            </w:pPr>
            <w:r>
              <w:rPr>
                <w:rFonts w:ascii="Arial" w:cs="Arial" w:eastAsia="Arial" w:hAnsi="Arial"/>
                <w:sz w:val="16"/>
                <w:szCs w:val="16"/>
                <w:color w:val="auto"/>
              </w:rPr>
              <w:t>outstanding (3)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97,030,095</w:t>
            </w: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97,030,095</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of Class A common stock</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32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800"/>
          </w:cols>
          <w:pgMar w:left="320" w:top="466" w:right="77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UNAUDITED PRO FORMA CONSOLIDATED STATEMENT OF OPERATIONS For the Year Ended December 31, 2020</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7"/>
              </w:rPr>
              <w:t>Historical</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Pro forma</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Pro forma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Transaction</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5"/>
              </w:rPr>
              <w:t>Definitive</w:t>
            </w:r>
          </w:p>
        </w:tc>
        <w:tc>
          <w:tcPr>
            <w:tcW w:w="10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94"/>
              </w:rPr>
              <w:t>Offering</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5"/>
              </w:rPr>
              <w:t>Definitive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5"/>
              </w:rPr>
              <w:t>Definitive</w:t>
            </w:r>
          </w:p>
        </w:tc>
        <w:tc>
          <w:tcPr>
            <w:tcW w:w="4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6"/>
              </w:rPr>
              <w:t>Healthcare</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6"/>
              </w:rPr>
              <w:t>Healthcare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OpCo</w:t>
            </w:r>
          </w:p>
        </w:tc>
        <w:tc>
          <w:tcPr>
            <w:tcW w:w="42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Corp.</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Corp.</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 in thousands, except per share data)</w:t>
            </w: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Revenue</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81"/>
              </w:rPr>
              <w:t>$ 118,317</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w w:val="92"/>
              </w:rPr>
              <w:t>$ 118,317</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118,317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Cost of revenue exclusive of amortization shown below</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11,085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11,085</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11,085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19,383</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19,383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19,383</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Gross profit</w:t>
            </w: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87,849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87,849</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87,849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Sales and marketing</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34,332</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34,332</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34,332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11,062</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11,062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12,927</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12,927</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12,927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40,197</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40,197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Transaction expenses</w:t>
            </w:r>
          </w:p>
        </w:tc>
        <w:tc>
          <w:tcPr>
            <w:tcW w:w="640" w:type="dxa"/>
            <w:vAlign w:val="bottom"/>
          </w:tcPr>
          <w:p>
            <w:pPr>
              <w:jc w:val="right"/>
              <w:spacing w:after="0"/>
              <w:rPr>
                <w:sz w:val="20"/>
                <w:szCs w:val="20"/>
                <w:color w:val="auto"/>
              </w:rPr>
            </w:pPr>
            <w:r>
              <w:rPr>
                <w:rFonts w:ascii="Arial" w:cs="Arial" w:eastAsia="Arial" w:hAnsi="Arial"/>
                <w:sz w:val="17"/>
                <w:szCs w:val="17"/>
                <w:color w:val="auto"/>
              </w:rPr>
              <w:t>3,776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3,776</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13,348</w:t>
            </w:r>
          </w:p>
        </w:tc>
        <w:tc>
          <w:tcPr>
            <w:tcW w:w="36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17,124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operating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102,294</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102,294</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13,348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(Loss) income from operations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(14,445)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(14,445)</w:t>
            </w: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(13,348)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(27,793)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Foreign currency transaction gain (loss)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(222)</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(36,490)</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(36,490)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29,097</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Loss on extinguishment of debt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(9,873)</w:t>
            </w:r>
          </w:p>
        </w:tc>
        <w:tc>
          <w:tcPr>
            <w:tcW w:w="36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(9,873)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other expense, net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(36,712)</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(36,712)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19,224</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(17,488)</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before income taxes</w:t>
            </w: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gridSpan w:val="2"/>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(51,157)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(51,157)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5,876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(45,281)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7"/>
                <w:szCs w:val="17"/>
                <w:color w:val="auto"/>
              </w:rPr>
              <w:t>Net loss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(51,157)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(51,157)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5,876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(45,281)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22,740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(22,740)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6,269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320"/>
              <w:spacing w:after="0"/>
              <w:rPr>
                <w:sz w:val="20"/>
                <w:szCs w:val="20"/>
                <w:color w:val="auto"/>
              </w:rPr>
            </w:pPr>
            <w:r>
              <w:rPr>
                <w:rFonts w:ascii="Arial" w:cs="Arial" w:eastAsia="Arial" w:hAnsi="Arial"/>
                <w:sz w:val="17"/>
                <w:szCs w:val="17"/>
                <w:color w:val="auto"/>
              </w:rPr>
              <w:t>Net loss attributable to Definitive Healthcare Corp.</w:t>
            </w: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 (51,157)</w:t>
            </w:r>
          </w:p>
        </w:tc>
        <w:tc>
          <w:tcPr>
            <w:tcW w:w="58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(22,740)</w:t>
            </w:r>
          </w:p>
        </w:tc>
        <w:tc>
          <w:tcPr>
            <w:tcW w:w="3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w w:val="98"/>
              </w:rPr>
              <w:t>$ (28,417)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(393)</w:t>
            </w:r>
          </w:p>
        </w:tc>
        <w:tc>
          <w:tcPr>
            <w:tcW w:w="3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(28,810)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Pro forma net loss per share data</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60" w:type="dxa"/>
            <w:vAlign w:val="bottom"/>
          </w:tcPr>
          <w:p>
            <w:pPr>
              <w:spacing w:after="0" w:line="190" w:lineRule="exact"/>
              <w:rPr>
                <w:sz w:val="20"/>
                <w:szCs w:val="20"/>
                <w:color w:val="auto"/>
              </w:rPr>
            </w:pPr>
            <w:r>
              <w:rPr>
                <w:rFonts w:ascii="Arial" w:cs="Arial" w:eastAsia="Arial" w:hAnsi="Arial"/>
                <w:sz w:val="17"/>
                <w:szCs w:val="17"/>
                <w:color w:val="auto"/>
                <w:w w:val="99"/>
              </w:rPr>
              <w:t>Pro forma weighted-average shares of Class A common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outstanding (3)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6"/>
              </w:rPr>
              <w:t>97,030,095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320"/>
              <w:spacing w:after="0"/>
              <w:rPr>
                <w:sz w:val="20"/>
                <w:szCs w:val="20"/>
                <w:color w:val="auto"/>
              </w:rPr>
            </w:pPr>
            <w:r>
              <w:rPr>
                <w:rFonts w:ascii="Arial" w:cs="Arial" w:eastAsia="Arial" w:hAnsi="Arial"/>
                <w:sz w:val="17"/>
                <w:szCs w:val="17"/>
                <w:color w:val="auto"/>
              </w:rPr>
              <w:t>Diluted</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97,030,095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of Class A common stock</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320"/>
              <w:spacing w:after="0"/>
              <w:rPr>
                <w:sz w:val="20"/>
                <w:szCs w:val="20"/>
                <w:color w:val="auto"/>
              </w:rPr>
            </w:pPr>
            <w:r>
              <w:rPr>
                <w:rFonts w:ascii="Arial" w:cs="Arial" w:eastAsia="Arial" w:hAnsi="Arial"/>
                <w:sz w:val="17"/>
                <w:szCs w:val="17"/>
                <w:color w:val="auto"/>
              </w:rPr>
              <w:t>Basic</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See accompanying notes to unaudited pro forma financial information.</w:t>
      </w:r>
    </w:p>
    <w:p>
      <w:pPr>
        <w:spacing w:after="0" w:line="146" w:lineRule="exact"/>
        <w:rPr>
          <w:sz w:val="20"/>
          <w:szCs w:val="20"/>
          <w:color w:val="auto"/>
        </w:rPr>
      </w:pPr>
    </w:p>
    <w:p>
      <w:pPr>
        <w:jc w:val="center"/>
        <w:ind w:right="-65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800"/>
          </w:cols>
          <w:pgMar w:left="320" w:top="465" w:right="7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right="260"/>
        <w:spacing w:after="0" w:line="276" w:lineRule="auto"/>
        <w:rPr>
          <w:sz w:val="20"/>
          <w:szCs w:val="20"/>
          <w:color w:val="auto"/>
        </w:rPr>
      </w:pPr>
      <w:r>
        <w:rPr>
          <w:rFonts w:ascii="Arial" w:cs="Arial" w:eastAsia="Arial" w:hAnsi="Arial"/>
          <w:sz w:val="17"/>
          <w:szCs w:val="17"/>
          <w:b w:val="1"/>
          <w:bCs w:val="1"/>
          <w:color w:val="auto"/>
        </w:rPr>
        <w:t>Notes to Unaudited Pro Forma Consolidated Financial Information (Year Ended December 31, 2020 and the Nine Months Ended September 30, 2021)</w:t>
      </w:r>
    </w:p>
    <w:p>
      <w:pPr>
        <w:spacing w:after="0" w:line="74" w:lineRule="exact"/>
        <w:rPr>
          <w:sz w:val="20"/>
          <w:szCs w:val="20"/>
          <w:color w:val="auto"/>
        </w:rPr>
      </w:pPr>
    </w:p>
    <w:p>
      <w:pPr>
        <w:ind w:left="860" w:right="140" w:hanging="403"/>
        <w:spacing w:after="0" w:line="252" w:lineRule="auto"/>
        <w:tabs>
          <w:tab w:leader="none" w:pos="8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Following the Reorganization Transactions, Definitive Healthcare Corp. became subject to U.S. federal, state, local and foreign income taxes. Definitive OpCo is, and will continue to be, taxed as a partnership for federal income tax purposes and applicable state and local income tax purposes, and, as a result, its members, including Definitive Healthcare Corp., pays income taxes with respect to their allocable shares of its taxable income. The pro forma adjustment for income tax expense represents tax expense on income that is taxable in jurisdictions after our corporate reorganization that previously had not been taxable. As a result, the pro forma statement of operations reflects an adjustment to income tax expense for corporate income taxes of $0.4 million for the year ended December 31, 2020 and $0.2 million for the nine months ended September 30, 2021.</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2"/>
          </w:tcPr>
          <w:p>
            <w:pPr>
              <w:jc w:val="right"/>
              <w:ind w:right="1400"/>
              <w:spacing w:after="0"/>
              <w:rPr>
                <w:sz w:val="20"/>
                <w:szCs w:val="20"/>
                <w:color w:val="auto"/>
              </w:rPr>
            </w:pPr>
            <w:r>
              <w:rPr>
                <w:rFonts w:ascii="Arial" w:cs="Arial" w:eastAsia="Arial" w:hAnsi="Arial"/>
                <w:sz w:val="13"/>
                <w:szCs w:val="13"/>
                <w:b w:val="1"/>
                <w:bCs w:val="1"/>
                <w:color w:val="auto"/>
                <w:w w:val="92"/>
              </w:rPr>
              <w:t>Twelve Months</w:t>
            </w:r>
          </w:p>
        </w:tc>
        <w:tc>
          <w:tcPr>
            <w:tcW w:w="14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Nine Months</w:t>
            </w:r>
          </w:p>
        </w:tc>
      </w:tr>
      <w:tr>
        <w:trPr>
          <w:trHeight w:val="139"/>
        </w:trPr>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right"/>
              <w:ind w:right="1640"/>
              <w:spacing w:after="0" w:line="139" w:lineRule="exact"/>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2"/>
                <w:szCs w:val="12"/>
                <w:color w:val="auto"/>
              </w:rPr>
            </w:pPr>
          </w:p>
        </w:tc>
        <w:tc>
          <w:tcPr>
            <w:tcW w:w="1160" w:type="dxa"/>
            <w:vAlign w:val="bottom"/>
            <w:gridSpan w:val="2"/>
          </w:tcPr>
          <w:p>
            <w:pPr>
              <w:jc w:val="right"/>
              <w:ind w:right="560"/>
              <w:spacing w:after="0" w:line="139" w:lineRule="exact"/>
              <w:rPr>
                <w:sz w:val="20"/>
                <w:szCs w:val="20"/>
                <w:color w:val="auto"/>
              </w:rPr>
            </w:pPr>
            <w:r>
              <w:rPr>
                <w:rFonts w:ascii="Arial" w:cs="Arial" w:eastAsia="Arial" w:hAnsi="Arial"/>
                <w:sz w:val="13"/>
                <w:szCs w:val="13"/>
                <w:b w:val="1"/>
                <w:bCs w:val="1"/>
                <w:color w:val="auto"/>
              </w:rPr>
              <w:t>Ended</w:t>
            </w:r>
          </w:p>
        </w:tc>
      </w:tr>
      <w:tr>
        <w:trPr>
          <w:trHeight w:val="160"/>
        </w:trPr>
        <w:tc>
          <w:tcPr>
            <w:tcW w:w="3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80" w:type="dxa"/>
            <w:vAlign w:val="bottom"/>
            <w:gridSpan w:val="3"/>
          </w:tcPr>
          <w:p>
            <w:pPr>
              <w:spacing w:after="0"/>
              <w:rPr>
                <w:sz w:val="20"/>
                <w:szCs w:val="20"/>
                <w:color w:val="auto"/>
              </w:rPr>
            </w:pPr>
            <w:r>
              <w:rPr>
                <w:rFonts w:ascii="Arial" w:cs="Arial" w:eastAsia="Arial" w:hAnsi="Arial"/>
                <w:sz w:val="13"/>
                <w:szCs w:val="13"/>
                <w:b w:val="1"/>
                <w:bCs w:val="1"/>
                <w:color w:val="auto"/>
              </w:rPr>
              <w:t>December 31, 2020</w:t>
            </w: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September 30, 2021</w:t>
            </w:r>
          </w:p>
        </w:tc>
      </w:tr>
      <w:tr>
        <w:trPr>
          <w:trHeight w:val="195"/>
        </w:trPr>
        <w:tc>
          <w:tcPr>
            <w:tcW w:w="34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Income tax expense</w:t>
            </w: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80" w:type="dxa"/>
            <w:vAlign w:val="bottom"/>
            <w:tcBorders>
              <w:top w:val="single" w:sz="8" w:color="CCEEFF"/>
            </w:tcBorders>
            <w:shd w:val="clear" w:color="auto" w:fill="CCEEFF"/>
          </w:tcPr>
          <w:p>
            <w:pPr>
              <w:spacing w:after="0"/>
              <w:rPr>
                <w:sz w:val="16"/>
                <w:szCs w:val="16"/>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7"/>
                <w:szCs w:val="17"/>
                <w:color w:val="auto"/>
              </w:rPr>
              <w:t>Ownership % of the controlling interest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right"/>
              <w:ind w:right="1140"/>
              <w:spacing w:after="0"/>
              <w:rPr>
                <w:sz w:val="20"/>
                <w:szCs w:val="20"/>
                <w:color w:val="auto"/>
              </w:rPr>
            </w:pPr>
            <w:r>
              <w:rPr>
                <w:rFonts w:ascii="Arial" w:cs="Arial" w:eastAsia="Arial" w:hAnsi="Arial"/>
                <w:sz w:val="17"/>
                <w:szCs w:val="17"/>
                <w:color w:val="auto"/>
              </w:rPr>
              <w:t>55.5%</w:t>
            </w:r>
          </w:p>
        </w:tc>
        <w:tc>
          <w:tcPr>
            <w:tcW w:w="14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55.5%</w:t>
            </w:r>
          </w:p>
        </w:tc>
      </w:tr>
      <w:tr>
        <w:trPr>
          <w:trHeight w:val="190"/>
        </w:trPr>
        <w:tc>
          <w:tcPr>
            <w:tcW w:w="34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Pro forma income attributable to the</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5"/>
        </w:trPr>
        <w:tc>
          <w:tcPr>
            <w:tcW w:w="3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controlling interest</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8"/>
                <w:szCs w:val="18"/>
                <w:color w:val="auto"/>
              </w:rPr>
            </w:pPr>
          </w:p>
        </w:tc>
      </w:tr>
    </w:tbl>
    <w:p>
      <w:pPr>
        <w:spacing w:after="0" w:line="114" w:lineRule="exact"/>
        <w:rPr>
          <w:sz w:val="20"/>
          <w:szCs w:val="20"/>
          <w:color w:val="auto"/>
        </w:rPr>
      </w:pPr>
    </w:p>
    <w:p>
      <w:pPr>
        <w:ind w:left="860" w:right="20" w:hanging="403"/>
        <w:spacing w:after="0" w:line="289" w:lineRule="auto"/>
        <w:tabs>
          <w:tab w:leader="none" w:pos="8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are the sole managing member of Definitive OpCo pursuant to the Amended LLC Agreement. As a result, while we own less than 100% of the economic interest in Definitive OpCo, we have 100% of the voting power and control the management of Definitive OpCo. Because we manage and operate the business and control the strategic decisions and day-to-day operations of Definitive OpCo and also have a substantial financial interest in Definitive OpCo, we consolidate the financial results of Definitive OpCo, and a portion of our net income (loss) is allocated to the noncontrolling interest to reflect the entitlement of Unitholders to a portion of Definitive OpCo’s net income (loss). We hold approximately 63.6% of Definitive OpCo’s outstanding LLC Units, exclusive of unvested incentive units as of the IPO date (or approximately 64.1% if the underwriters exercise their option to purchase additional shares of Class A common stock in full), and the remaining LLC Units of Definitive OpCo are held by the Unitholders. Immediately following the Transactions, the ownership percentage held by the noncontrolling interest was approximately 36.4%. Net loss attributable to the noncontrolling interest will represent approximately 36.4% of net loss.</w:t>
      </w:r>
    </w:p>
    <w:p>
      <w:pPr>
        <w:spacing w:after="0" w:line="68" w:lineRule="exact"/>
        <w:rPr>
          <w:rFonts w:ascii="Arial" w:cs="Arial" w:eastAsia="Arial" w:hAnsi="Arial"/>
          <w:sz w:val="15"/>
          <w:szCs w:val="15"/>
          <w:color w:val="auto"/>
        </w:rPr>
      </w:pPr>
    </w:p>
    <w:p>
      <w:pPr>
        <w:ind w:left="860" w:right="300" w:hanging="403"/>
        <w:spacing w:after="0" w:line="301" w:lineRule="auto"/>
        <w:tabs>
          <w:tab w:leader="none" w:pos="8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w:t>
      </w:r>
    </w:p>
    <w:p>
      <w:pPr>
        <w:spacing w:after="0" w:line="155"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jc w:val="right"/>
              <w:ind w:right="882"/>
              <w:spacing w:after="0"/>
              <w:rPr>
                <w:sz w:val="20"/>
                <w:szCs w:val="20"/>
                <w:color w:val="auto"/>
              </w:rPr>
            </w:pPr>
            <w:r>
              <w:rPr>
                <w:rFonts w:ascii="Arial" w:cs="Arial" w:eastAsia="Arial" w:hAnsi="Arial"/>
                <w:sz w:val="13"/>
                <w:szCs w:val="13"/>
                <w:b w:val="1"/>
                <w:bCs w:val="1"/>
                <w:color w:val="auto"/>
                <w:w w:val="92"/>
              </w:rPr>
              <w:t>For the Twelve Months</w:t>
            </w:r>
          </w:p>
        </w:tc>
        <w:tc>
          <w:tcPr>
            <w:tcW w:w="1400" w:type="dxa"/>
            <w:vAlign w:val="bottom"/>
            <w:gridSpan w:val="3"/>
          </w:tcPr>
          <w:p>
            <w:pPr>
              <w:ind w:left="1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0"/>
        </w:trPr>
        <w:tc>
          <w:tcPr>
            <w:tcW w:w="5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 forma loss per share of Class A common stock</w:t>
            </w:r>
          </w:p>
        </w:tc>
        <w:tc>
          <w:tcPr>
            <w:tcW w:w="480" w:type="dxa"/>
            <w:vAlign w:val="bottom"/>
          </w:tcPr>
          <w:p>
            <w:pPr>
              <w:spacing w:after="0"/>
              <w:rPr>
                <w:sz w:val="13"/>
                <w:szCs w:val="13"/>
                <w:color w:val="auto"/>
              </w:rPr>
            </w:pPr>
          </w:p>
        </w:tc>
        <w:tc>
          <w:tcPr>
            <w:tcW w:w="2380" w:type="dxa"/>
            <w:vAlign w:val="bottom"/>
            <w:gridSpan w:val="2"/>
          </w:tcPr>
          <w:p>
            <w:pPr>
              <w:ind w:left="20"/>
              <w:spacing w:after="0"/>
              <w:rPr>
                <w:sz w:val="20"/>
                <w:szCs w:val="20"/>
                <w:color w:val="auto"/>
              </w:rPr>
            </w:pPr>
            <w:r>
              <w:rPr>
                <w:rFonts w:ascii="Arial" w:cs="Arial" w:eastAsia="Arial" w:hAnsi="Arial"/>
                <w:sz w:val="13"/>
                <w:szCs w:val="13"/>
                <w:b w:val="1"/>
                <w:bCs w:val="1"/>
                <w:color w:val="auto"/>
              </w:rPr>
              <w:t>Ended December 31, 2020</w:t>
            </w:r>
          </w:p>
        </w:tc>
        <w:tc>
          <w:tcPr>
            <w:tcW w:w="1400" w:type="dxa"/>
            <w:vAlign w:val="bottom"/>
            <w:gridSpan w:val="3"/>
          </w:tcPr>
          <w:p>
            <w:pPr>
              <w:ind w:left="140"/>
              <w:spacing w:after="0"/>
              <w:rPr>
                <w:sz w:val="20"/>
                <w:szCs w:val="20"/>
                <w:color w:val="auto"/>
              </w:rPr>
            </w:pPr>
            <w:r>
              <w:rPr>
                <w:rFonts w:ascii="Arial" w:cs="Arial" w:eastAsia="Arial" w:hAnsi="Arial"/>
                <w:sz w:val="13"/>
                <w:szCs w:val="13"/>
                <w:b w:val="1"/>
                <w:bCs w:val="1"/>
                <w:color w:val="auto"/>
              </w:rPr>
              <w:t>September 30, 2021</w:t>
            </w:r>
          </w:p>
        </w:tc>
        <w:tc>
          <w:tcPr>
            <w:tcW w:w="0" w:type="dxa"/>
            <w:vAlign w:val="bottom"/>
          </w:tcPr>
          <w:p>
            <w:pPr>
              <w:spacing w:after="0"/>
              <w:rPr>
                <w:sz w:val="1"/>
                <w:szCs w:val="1"/>
                <w:color w:val="auto"/>
              </w:rPr>
            </w:pPr>
          </w:p>
        </w:tc>
      </w:tr>
      <w:tr>
        <w:trPr>
          <w:trHeight w:val="119"/>
        </w:trPr>
        <w:tc>
          <w:tcPr>
            <w:tcW w:w="56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tcPr>
          <w:p>
            <w:pPr>
              <w:jc w:val="right"/>
              <w:ind w:right="42"/>
              <w:spacing w:after="0" w:line="107" w:lineRule="exact"/>
              <w:rPr>
                <w:sz w:val="20"/>
                <w:szCs w:val="20"/>
                <w:color w:val="auto"/>
              </w:rPr>
            </w:pPr>
            <w:r>
              <w:rPr>
                <w:rFonts w:ascii="Arial" w:cs="Arial" w:eastAsia="Arial" w:hAnsi="Arial"/>
                <w:sz w:val="12"/>
                <w:szCs w:val="12"/>
                <w:b w:val="1"/>
                <w:bCs w:val="1"/>
                <w:color w:val="auto"/>
              </w:rPr>
              <w:t>(in thousands)</w:t>
            </w:r>
          </w:p>
        </w:tc>
        <w:tc>
          <w:tcPr>
            <w:tcW w:w="3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6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Numerator:</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gridSpan w:val="2"/>
          </w:tcPr>
          <w:p>
            <w:pPr>
              <w:spacing w:after="0" w:line="190" w:lineRule="exact"/>
              <w:rPr>
                <w:sz w:val="20"/>
                <w:szCs w:val="20"/>
                <w:color w:val="auto"/>
              </w:rPr>
            </w:pPr>
            <w:r>
              <w:rPr>
                <w:rFonts w:ascii="Arial" w:cs="Arial" w:eastAsia="Arial" w:hAnsi="Arial"/>
                <w:sz w:val="17"/>
                <w:szCs w:val="17"/>
                <w:color w:val="auto"/>
                <w:w w:val="98"/>
              </w:rPr>
              <w:t>Pro forma net loss attributable to the Issuer’s Class A common stockholders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60" w:type="dxa"/>
            <w:vAlign w:val="bottom"/>
            <w:gridSpan w:val="2"/>
          </w:tcPr>
          <w:p>
            <w:pPr>
              <w:ind w:left="160"/>
              <w:spacing w:after="0"/>
              <w:rPr>
                <w:sz w:val="20"/>
                <w:szCs w:val="20"/>
                <w:color w:val="auto"/>
              </w:rPr>
            </w:pPr>
            <w:r>
              <w:rPr>
                <w:rFonts w:ascii="Arial" w:cs="Arial" w:eastAsia="Arial" w:hAnsi="Arial"/>
                <w:sz w:val="17"/>
                <w:szCs w:val="17"/>
                <w:color w:val="auto"/>
              </w:rPr>
              <w:t>(basic and diluted)</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2280" w:type="dxa"/>
            <w:vAlign w:val="bottom"/>
          </w:tcPr>
          <w:p>
            <w:pPr>
              <w:jc w:val="right"/>
              <w:ind w:right="722"/>
              <w:spacing w:after="0"/>
              <w:rPr>
                <w:sz w:val="20"/>
                <w:szCs w:val="20"/>
                <w:color w:val="auto"/>
              </w:rPr>
            </w:pPr>
            <w:r>
              <w:rPr>
                <w:rFonts w:ascii="Arial" w:cs="Arial" w:eastAsia="Arial" w:hAnsi="Arial"/>
                <w:sz w:val="17"/>
                <w:szCs w:val="17"/>
                <w:color w:val="auto"/>
              </w:rPr>
              <w:t>(28,810)</w:t>
            </w:r>
          </w:p>
        </w:tc>
        <w:tc>
          <w:tcPr>
            <w:tcW w:w="360" w:type="dxa"/>
            <w:vAlign w:val="bottom"/>
          </w:tcPr>
          <w:p>
            <w:pPr>
              <w:ind w:left="1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(17,545)</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60" w:type="dxa"/>
            <w:vAlign w:val="bottom"/>
            <w:gridSpan w:val="2"/>
          </w:tcPr>
          <w:p>
            <w:pPr>
              <w:spacing w:after="0" w:line="190" w:lineRule="exact"/>
              <w:rPr>
                <w:sz w:val="20"/>
                <w:szCs w:val="20"/>
                <w:color w:val="auto"/>
              </w:rPr>
            </w:pPr>
            <w:r>
              <w:rPr>
                <w:rFonts w:ascii="Arial" w:cs="Arial" w:eastAsia="Arial" w:hAnsi="Arial"/>
                <w:sz w:val="17"/>
                <w:szCs w:val="17"/>
                <w:color w:val="auto"/>
                <w:w w:val="97"/>
              </w:rPr>
              <w:t>Pro forma weighted average of shares of Class A common stock outstanding</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60" w:type="dxa"/>
            <w:vAlign w:val="bottom"/>
            <w:gridSpan w:val="2"/>
          </w:tcPr>
          <w:p>
            <w:pPr>
              <w:ind w:left="160"/>
              <w:spacing w:after="0"/>
              <w:rPr>
                <w:sz w:val="20"/>
                <w:szCs w:val="20"/>
                <w:color w:val="auto"/>
              </w:rPr>
            </w:pPr>
            <w:r>
              <w:rPr>
                <w:rFonts w:ascii="Arial" w:cs="Arial" w:eastAsia="Arial" w:hAnsi="Arial"/>
                <w:sz w:val="17"/>
                <w:szCs w:val="17"/>
                <w:color w:val="auto"/>
              </w:rPr>
              <w:t>(basic)</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782"/>
              <w:spacing w:after="0"/>
              <w:rPr>
                <w:sz w:val="20"/>
                <w:szCs w:val="20"/>
                <w:color w:val="auto"/>
              </w:rPr>
            </w:pPr>
            <w:r>
              <w:rPr>
                <w:rFonts w:ascii="Arial" w:cs="Arial" w:eastAsia="Arial" w:hAnsi="Arial"/>
                <w:sz w:val="17"/>
                <w:szCs w:val="17"/>
                <w:color w:val="auto"/>
              </w:rPr>
              <w:t>97,030,095</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97,030,095</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 forma basic loss per share</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2280" w:type="dxa"/>
            <w:vAlign w:val="bottom"/>
            <w:shd w:val="clear" w:color="auto" w:fill="CCEEFF"/>
          </w:tcPr>
          <w:p>
            <w:pPr>
              <w:jc w:val="right"/>
              <w:ind w:right="722"/>
              <w:spacing w:after="0"/>
              <w:rPr>
                <w:sz w:val="20"/>
                <w:szCs w:val="20"/>
                <w:color w:val="auto"/>
              </w:rPr>
            </w:pPr>
            <w:r>
              <w:rPr>
                <w:rFonts w:ascii="Arial" w:cs="Arial" w:eastAsia="Arial" w:hAnsi="Arial"/>
                <w:sz w:val="17"/>
                <w:szCs w:val="17"/>
                <w:color w:val="auto"/>
              </w:rPr>
              <w:t>(0.30)</w:t>
            </w:r>
          </w:p>
        </w:tc>
        <w:tc>
          <w:tcPr>
            <w:tcW w:w="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18"/>
        </w:trPr>
        <w:tc>
          <w:tcPr>
            <w:tcW w:w="5660" w:type="dxa"/>
            <w:vAlign w:val="bottom"/>
            <w:gridSpan w:val="2"/>
          </w:tcPr>
          <w:p>
            <w:pPr>
              <w:spacing w:after="0"/>
              <w:rPr>
                <w:sz w:val="20"/>
                <w:szCs w:val="20"/>
                <w:color w:val="auto"/>
              </w:rPr>
            </w:pPr>
            <w:r>
              <w:rPr>
                <w:rFonts w:ascii="Arial" w:cs="Arial" w:eastAsia="Arial" w:hAnsi="Arial"/>
                <w:sz w:val="17"/>
                <w:szCs w:val="17"/>
                <w:b w:val="1"/>
                <w:bCs w:val="1"/>
                <w:color w:val="auto"/>
              </w:rPr>
              <w:t>Antidilutive shares excluded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782"/>
              <w:spacing w:after="0"/>
              <w:rPr>
                <w:sz w:val="20"/>
                <w:szCs w:val="20"/>
                <w:color w:val="auto"/>
              </w:rPr>
            </w:pPr>
            <w:r>
              <w:rPr>
                <w:rFonts w:ascii="Arial" w:cs="Arial" w:eastAsia="Arial" w:hAnsi="Arial"/>
                <w:sz w:val="17"/>
                <w:szCs w:val="17"/>
                <w:color w:val="auto"/>
              </w:rPr>
              <w:t>55,475,777</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55,475,777</w:t>
            </w:r>
          </w:p>
        </w:tc>
        <w:tc>
          <w:tcPr>
            <w:tcW w:w="0" w:type="dxa"/>
            <w:vAlign w:val="bottom"/>
          </w:tcPr>
          <w:p>
            <w:pPr>
              <w:spacing w:after="0"/>
              <w:rPr>
                <w:sz w:val="1"/>
                <w:szCs w:val="1"/>
                <w:color w:val="auto"/>
              </w:rPr>
            </w:pPr>
          </w:p>
        </w:tc>
      </w:tr>
      <w:tr>
        <w:trPr>
          <w:trHeight w:val="325"/>
        </w:trPr>
        <w:tc>
          <w:tcPr>
            <w:tcW w:w="5660" w:type="dxa"/>
            <w:vAlign w:val="bottom"/>
            <w:gridSpan w:val="2"/>
          </w:tcPr>
          <w:p>
            <w:pPr>
              <w:ind w:left="4760"/>
              <w:spacing w:after="0"/>
              <w:rPr>
                <w:sz w:val="20"/>
                <w:szCs w:val="20"/>
                <w:color w:val="auto"/>
              </w:rPr>
            </w:pPr>
            <w:r>
              <w:rPr>
                <w:rFonts w:ascii="Arial" w:cs="Arial" w:eastAsia="Arial" w:hAnsi="Arial"/>
                <w:sz w:val="17"/>
                <w:szCs w:val="17"/>
                <w:color w:val="auto"/>
              </w:rPr>
              <w:t>77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66" w:right="77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Reflects the effects of the following equity-based compensation expenses:</w:t>
      </w:r>
    </w:p>
    <w:p>
      <w:pPr>
        <w:spacing w:after="0" w:line="121" w:lineRule="exact"/>
        <w:rPr>
          <w:rFonts w:ascii="Arial" w:cs="Arial" w:eastAsia="Arial" w:hAnsi="Arial"/>
          <w:sz w:val="17"/>
          <w:szCs w:val="17"/>
          <w:color w:val="auto"/>
        </w:rPr>
      </w:pPr>
    </w:p>
    <w:p>
      <w:pPr>
        <w:jc w:val="both"/>
        <w:ind w:left="1360" w:right="200" w:hanging="498"/>
        <w:spacing w:after="0" w:line="254" w:lineRule="auto"/>
        <w:tabs>
          <w:tab w:leader="none" w:pos="13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$8.8 million and $6.2 million of equity-based compensation expense for the year ended December 31, 2020 and the nine months ended September 30, 2021, respectively, in relation to new awards under the Definitive Healthcare Corp. 2021 Equity Incentive Plan issued to certain key personnel in connection with the IPO and vesting over periods greater than one year commencing on the awards’ grant date, which for pro forma purposes would be January 1, 2020. Such awards were granted by Definitive Healthcare Corp., accordingly none of the related expense is attributable to non-controlling interests.</w:t>
      </w:r>
    </w:p>
    <w:p>
      <w:pPr>
        <w:spacing w:after="0" w:line="92" w:lineRule="exact"/>
        <w:rPr>
          <w:rFonts w:ascii="Arial" w:cs="Arial" w:eastAsia="Arial" w:hAnsi="Arial"/>
          <w:sz w:val="17"/>
          <w:szCs w:val="17"/>
          <w:color w:val="auto"/>
        </w:rPr>
      </w:pPr>
    </w:p>
    <w:p>
      <w:pPr>
        <w:jc w:val="both"/>
        <w:ind w:left="1360" w:right="300" w:hanging="498"/>
        <w:spacing w:after="0" w:line="311" w:lineRule="auto"/>
        <w:tabs>
          <w:tab w:leader="none" w:pos="1360" w:val="left"/>
        </w:tabs>
        <w:numPr>
          <w:ilvl w:val="1"/>
          <w:numId w:val="61"/>
        </w:numPr>
        <w:rPr>
          <w:rFonts w:ascii="Arial" w:cs="Arial" w:eastAsia="Arial" w:hAnsi="Arial"/>
          <w:sz w:val="15"/>
          <w:szCs w:val="15"/>
          <w:color w:val="auto"/>
        </w:rPr>
      </w:pPr>
      <w:r>
        <w:rPr>
          <w:rFonts w:ascii="Arial" w:cs="Arial" w:eastAsia="Arial" w:hAnsi="Arial"/>
          <w:sz w:val="15"/>
          <w:szCs w:val="15"/>
          <w:color w:val="auto"/>
        </w:rPr>
        <w:t>$1.6 million and $1.0 million of equity-based compensation expense for the year ended December 31, 2020 and the nine months ended September 30, 2021, for awards under the 2019 Equity Incentive Plan will be recorded in periods following this offering in accordance with the performance-based vesting criteria which can be exchanged for our Class A common stock after an initial public offering.</w:t>
      </w:r>
    </w:p>
    <w:p>
      <w:pPr>
        <w:spacing w:after="0" w:line="51" w:lineRule="exact"/>
        <w:rPr>
          <w:rFonts w:ascii="Arial" w:cs="Arial" w:eastAsia="Arial" w:hAnsi="Arial"/>
          <w:sz w:val="15"/>
          <w:szCs w:val="15"/>
          <w:color w:val="auto"/>
        </w:rPr>
      </w:pPr>
    </w:p>
    <w:p>
      <w:pPr>
        <w:ind w:left="1360" w:right="160" w:hanging="498"/>
        <w:spacing w:after="0" w:line="260" w:lineRule="auto"/>
        <w:tabs>
          <w:tab w:leader="none" w:pos="13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$3.0 million and $2.2 million of equity-based compensation expense for the year ended December 31, 2020 and the nine months ended September 30, 2021, respectively, in relation to the modification of certain pre-IPO equity-based awards under the 2019 Equity Incentive Plan to remove certain forfeiture terms.</w:t>
      </w:r>
    </w:p>
    <w:p>
      <w:pPr>
        <w:spacing w:after="0" w:line="86" w:lineRule="exact"/>
        <w:rPr>
          <w:rFonts w:ascii="Arial" w:cs="Arial" w:eastAsia="Arial" w:hAnsi="Arial"/>
          <w:sz w:val="17"/>
          <w:szCs w:val="17"/>
          <w:color w:val="auto"/>
        </w:rPr>
      </w:pPr>
    </w:p>
    <w:p>
      <w:pPr>
        <w:ind w:left="1360" w:right="220" w:hanging="498"/>
        <w:spacing w:after="0" w:line="260" w:lineRule="auto"/>
        <w:tabs>
          <w:tab w:leader="none" w:pos="13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awards under the 2021 Equity Incentive Plan and 2019 Equity Incentive Plan are estimated to have total unrecognized equity-based compensation expense of $39.1 million and $18.4 million, respectively at the time of this offering, to be recognized over the remaining vesting terms.</w:t>
      </w:r>
    </w:p>
    <w:p>
      <w:pPr>
        <w:spacing w:after="0" w:line="86" w:lineRule="exact"/>
        <w:rPr>
          <w:rFonts w:ascii="Arial" w:cs="Arial" w:eastAsia="Arial" w:hAnsi="Arial"/>
          <w:sz w:val="17"/>
          <w:szCs w:val="17"/>
          <w:color w:val="auto"/>
        </w:rPr>
      </w:pPr>
    </w:p>
    <w:p>
      <w:pPr>
        <w:ind w:left="860" w:hanging="403"/>
        <w:spacing w:after="0" w:line="253" w:lineRule="auto"/>
        <w:tabs>
          <w:tab w:leader="none" w:pos="8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Definitive OpCo used a portion of the proceeds from the issuance of LLC Units to Definitive Healthcare Corp. to repay $195.4 million of our indebtedness. The interest rate of the outstanding debt prior to refinancing was 6.25%. The remaining outstanding debt balance was refinanced at a lower interest rate, which was 2.37% at September 30, 2021. As such, interest expense will be reduced by $29.1 million and $18.5 million resulting from both the lower borrowings outstanding and the lower interest rate for the year ended December 31, 2020 and nine months ended September 30, 2021, respectively. A loss of $9.9 million for the extinguishment of debt is recorded for the year ended December 31, 2020, as a result of the refinancing of our credit agreements.</w:t>
      </w:r>
    </w:p>
    <w:p>
      <w:pPr>
        <w:spacing w:after="0" w:line="1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780"/>
          </w:cols>
          <w:pgMar w:left="320" w:top="465" w:right="79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88" w:lineRule="exact"/>
        <w:rPr>
          <w:sz w:val="20"/>
          <w:szCs w:val="20"/>
          <w:color w:val="auto"/>
        </w:rPr>
      </w:pPr>
    </w:p>
    <w:p>
      <w:pPr>
        <w:ind w:left="460" w:right="80" w:firstLine="413"/>
        <w:spacing w:after="0" w:line="270" w:lineRule="auto"/>
        <w:rPr>
          <w:sz w:val="20"/>
          <w:szCs w:val="20"/>
          <w:color w:val="auto"/>
        </w:rPr>
      </w:pPr>
      <w:r>
        <w:rPr>
          <w:rFonts w:ascii="Arial" w:cs="Arial" w:eastAsia="Arial" w:hAnsi="Arial"/>
          <w:sz w:val="16"/>
          <w:szCs w:val="16"/>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in conjunction with the sections titled “Unaudited Pro Forma Consolidated Financial Information” and our historical consolidated financial statements and related notes included elsewhere in this prospectus. We conduct our business through Definitive OpCo and its subsidiaries. The historical consolidated financial data discussed below reflects our historical results of operations and financial condition and does not give effect to pro forma adjustments. As a result, the following discussion does not reflect the significant impact that such events will have on us. See “Prospectus Summary—Organizational Structure” and “Unaudited Pro Forma Consolidated Financial Information” for more information.</w:t>
      </w:r>
    </w:p>
    <w:p>
      <w:pPr>
        <w:spacing w:after="0" w:line="172"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This discussion contains forward-looking statements that involve risks and uncertainties. Our actual results may differ materially from those discussed below. Factors that could cause or contribute to such difference include, but are not limited to, those identified below and those discussed in the sections titled “Risk Factors” and “Cautionary Note Regarding Forward-Looking Statements” included elsewhere in this prospectus. Information presented for the period from January 1 to July 15, 2019 is derived from our Predecessor Company’s audited consolidated financial statements included elsewhere in this prospectus. Information presented for the period from July 16, 2019 to December 31, 2019 and for the year ended December 31, 2020 is derived from the Successor Company’s audited consolidated financial statements for those periods included elsewhere in this prospectus. Information presented for the nine-month periods ended September 30, 2021 and 2020 is derived from our unaudited condensed consolidated financial statements included elsewhere in this prospectus. We assume no obligation to update any of these forward-looking statements.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Overview</w:t>
      </w:r>
    </w:p>
    <w:p>
      <w:pPr>
        <w:spacing w:after="0" w:line="87"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2,700 customers as of September 30, 2021. We define a customer as a company that maintains one or more active paid subscriptions to our platform.</w:t>
      </w:r>
    </w:p>
    <w:p>
      <w:pPr>
        <w:spacing w:after="0" w:line="8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740"/>
          </w:cols>
          <w:pgMar w:left="320" w:top="465" w:right="8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firstLine="413"/>
        <w:spacing w:after="0" w:line="284" w:lineRule="auto"/>
        <w:rPr>
          <w:sz w:val="20"/>
          <w:szCs w:val="20"/>
          <w:color w:val="auto"/>
        </w:rPr>
      </w:pPr>
      <w:r>
        <w:rPr>
          <w:rFonts w:ascii="Arial" w:cs="Arial" w:eastAsia="Arial" w:hAnsi="Arial"/>
          <w:sz w:val="16"/>
          <w:szCs w:val="16"/>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123825</wp:posOffset>
            </wp:positionV>
            <wp:extent cx="4414520" cy="2171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414520" cy="2171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view these attributes as key to our financial model:</w:t>
      </w:r>
    </w:p>
    <w:p>
      <w:pPr>
        <w:spacing w:after="0" w:line="121" w:lineRule="exact"/>
        <w:rPr>
          <w:sz w:val="20"/>
          <w:szCs w:val="20"/>
          <w:color w:val="auto"/>
        </w:rPr>
      </w:pPr>
    </w:p>
    <w:p>
      <w:pPr>
        <w:ind w:left="860" w:hanging="301"/>
        <w:spacing w:after="0" w:line="260" w:lineRule="auto"/>
        <w:tabs>
          <w:tab w:leader="none" w:pos="86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an increase of 38%. We generated revenue of $119.8 million and $84.7 million in the nine months ended September 30, 2021 and 2020, respectively, representing an increase of 41%.</w:t>
      </w:r>
    </w:p>
    <w:p>
      <w:pPr>
        <w:spacing w:after="0" w:line="86" w:lineRule="exact"/>
        <w:rPr>
          <w:rFonts w:ascii="Arial" w:cs="Arial" w:eastAsia="Arial" w:hAnsi="Arial"/>
          <w:sz w:val="17"/>
          <w:szCs w:val="17"/>
          <w:color w:val="auto"/>
        </w:rPr>
      </w:pPr>
    </w:p>
    <w:p>
      <w:pPr>
        <w:ind w:left="860" w:hanging="301"/>
        <w:spacing w:after="0" w:line="252" w:lineRule="auto"/>
        <w:tabs>
          <w:tab w:leader="none" w:pos="86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Subscription-based Business Model with Significant Visibility. </w:t>
      </w:r>
      <w:r>
        <w:rPr>
          <w:rFonts w:ascii="Arial" w:cs="Arial" w:eastAsia="Arial" w:hAnsi="Arial"/>
          <w:sz w:val="17"/>
          <w:szCs w:val="17"/>
          <w:color w:val="auto"/>
        </w:rPr>
        <w:t>We offer access to our platform on a subscription basis and we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substantially all of our revenue from subscription fees, which accounted for 99% of revenue for 2020 and the nine months ended September 30, 2021. Subscriptions generally range from 1 to 3 years and are non-cancellable during the subscription term. Over 60% of our ARR as of September 30, 2021 was from multi-year agreements. Our subscription agreements typically include annual contracted price escalations, reflecting the value of our continuing addition of data and functionality to our intelligence modules. Subscription revenue is recognized ratably over the contract terms beginning on the date the product is made available to customers, which typically begins on the commencement date of each contract.</w:t>
      </w:r>
    </w:p>
    <w:p>
      <w:pPr>
        <w:spacing w:after="0" w:line="91" w:lineRule="exact"/>
        <w:rPr>
          <w:rFonts w:ascii="Arial" w:cs="Arial" w:eastAsia="Arial" w:hAnsi="Arial"/>
          <w:sz w:val="17"/>
          <w:szCs w:val="17"/>
          <w:color w:val="auto"/>
        </w:rPr>
      </w:pPr>
    </w:p>
    <w:p>
      <w:pPr>
        <w:ind w:left="860" w:right="120" w:hanging="301"/>
        <w:spacing w:after="0" w:line="270" w:lineRule="auto"/>
        <w:tabs>
          <w:tab w:leader="none" w:pos="86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Diversified Customer Base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2,700 companies use our platform to help sell into or compete in the healthcare ecosystem as of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In the nine months ended September 30, 2021, no single customer contributed more than 2% of our revenue. Our target customers include any company looking to sell into or compete in the healthcare ecosystem including: Life Sciences, HCIT, Healthcare Providers and Other companies seeking to sell into the healthcare ecosystem, such as financial institutions, staffing firms and consultants. At September 30, 2021, as measured by ARR, 49% of our customers operated in Life Sciences; 20% of our customers operated in HCIT; 7% of our customers were Healthcare Providers; and 24% of our customers operated in non-healthcare focused areas. At year-end 2020, as measured by ARR, 48% of our customers operated in Life Sciences; 21% of our customers operated in HCIT; 6% of our customers were Healthcare Providers; and 24% of our customers operated in diversified areas.</w:t>
      </w:r>
    </w:p>
    <w:p>
      <w:pPr>
        <w:spacing w:after="0" w:line="83" w:lineRule="exact"/>
        <w:rPr>
          <w:rFonts w:ascii="Arial" w:cs="Arial" w:eastAsia="Arial" w:hAnsi="Arial"/>
          <w:sz w:val="16"/>
          <w:szCs w:val="16"/>
          <w:color w:val="auto"/>
        </w:rPr>
      </w:pPr>
    </w:p>
    <w:p>
      <w:pPr>
        <w:ind w:left="860" w:hanging="301"/>
        <w:spacing w:after="0" w:line="256" w:lineRule="auto"/>
        <w:tabs>
          <w:tab w:leader="none" w:pos="86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Retention and Growth of Existing Customers. </w:t>
      </w:r>
      <w:r>
        <w:rPr>
          <w:rFonts w:ascii="Arial" w:cs="Arial" w:eastAsia="Arial" w:hAnsi="Arial"/>
          <w:sz w:val="17"/>
          <w:szCs w:val="17"/>
          <w:color w:val="auto"/>
        </w:rPr>
        <w:t>Our ability to grow customer relationships is reflected in our Net Dollar Retention Rate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Enterprise Customers. For 2020, our NDR for all</w:t>
      </w:r>
    </w:p>
    <w:p>
      <w:pPr>
        <w:ind w:left="860"/>
        <w:spacing w:after="0"/>
        <w:rPr>
          <w:rFonts w:ascii="Arial" w:cs="Arial" w:eastAsia="Arial" w:hAnsi="Arial"/>
          <w:sz w:val="17"/>
          <w:szCs w:val="17"/>
          <w:color w:val="auto"/>
        </w:rPr>
      </w:pPr>
      <w:r>
        <w:rPr>
          <w:rFonts w:ascii="Arial" w:cs="Arial" w:eastAsia="Arial" w:hAnsi="Arial"/>
          <w:sz w:val="17"/>
          <w:szCs w:val="17"/>
          <w:color w:val="auto"/>
        </w:rPr>
        <w:t>customers over $17,500 in ARR was 107%. For the year ended December 31, 2020, our NDR for Enterprise</w:t>
      </w:r>
    </w:p>
    <w:p>
      <w:pPr>
        <w:spacing w:after="0" w:line="13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780"/>
          </w:cols>
          <w:pgMar w:left="320" w:top="465" w:right="79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spacing w:after="0" w:line="256" w:lineRule="auto"/>
        <w:rPr>
          <w:sz w:val="20"/>
          <w:szCs w:val="20"/>
          <w:color w:val="auto"/>
        </w:rPr>
      </w:pPr>
      <w:r>
        <w:rPr>
          <w:rFonts w:ascii="Arial" w:cs="Arial" w:eastAsia="Arial" w:hAnsi="Arial"/>
          <w:sz w:val="17"/>
          <w:szCs w:val="17"/>
          <w:color w:val="auto"/>
        </w:rPr>
        <w:t>Customers was 124%. For the trailing twelve months ended June 30, 2021, our NDR for Enterprise Customers was 125% and our NDR for all customers over $17,500 in ARR was 111%. In 2020, 292 customers generated more than $100,000 in ARR, representing 53% of our total ARR. In the trailing twelve months ended June 30, 2021, 349 customers generated more than $100,000 in ARR, representing 54% of our total ARR. See “—Key Metrics-Net Dollar Retention Rate” below.</w:t>
      </w:r>
    </w:p>
    <w:p>
      <w:pPr>
        <w:spacing w:after="0" w:line="90" w:lineRule="exact"/>
        <w:rPr>
          <w:sz w:val="20"/>
          <w:szCs w:val="20"/>
          <w:color w:val="auto"/>
        </w:rPr>
      </w:pPr>
    </w:p>
    <w:p>
      <w:pPr>
        <w:ind w:left="860" w:right="300" w:hanging="301"/>
        <w:spacing w:after="0" w:line="301" w:lineRule="auto"/>
        <w:tabs>
          <w:tab w:leader="none" w:pos="860"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Highly Efficient Go-to-Market Engine. </w:t>
      </w:r>
      <w:r>
        <w:rPr>
          <w:rFonts w:ascii="Arial" w:cs="Arial" w:eastAsia="Arial" w:hAnsi="Arial"/>
          <w:sz w:val="15"/>
          <w:szCs w:val="15"/>
          <w:color w:val="auto"/>
        </w:rPr>
        <w:t>We have developed a highly efficient and effective go-to-market engine that combines effective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marketing with an inside sales force made up of highly trained, vertically focused SEs. The efficiency of the team is demonstrated through our 2020 LTV to CAC ratio of over 10x. We believe this metric highlights the effectiveness of our commercial team as well as the strong value proposition of our platform and solutions for our customers. Only approximately one-third of a sales representative’s day is spent selling.</w:t>
      </w:r>
    </w:p>
    <w:p>
      <w:pPr>
        <w:spacing w:after="0" w:line="59" w:lineRule="exact"/>
        <w:rPr>
          <w:rFonts w:ascii="Arial" w:cs="Arial" w:eastAsia="Arial" w:hAnsi="Arial"/>
          <w:sz w:val="15"/>
          <w:szCs w:val="15"/>
          <w:color w:val="auto"/>
        </w:rPr>
      </w:pPr>
    </w:p>
    <w:p>
      <w:pPr>
        <w:ind w:left="860" w:right="80" w:hanging="301"/>
        <w:spacing w:after="0" w:line="293" w:lineRule="auto"/>
        <w:tabs>
          <w:tab w:leader="none" w:pos="860"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History of Strong Financial Performance. </w:t>
      </w:r>
      <w:r>
        <w:rPr>
          <w:rFonts w:ascii="Arial" w:cs="Arial" w:eastAsia="Arial" w:hAnsi="Arial"/>
          <w:sz w:val="15"/>
          <w:szCs w:val="15"/>
          <w:color w:val="auto"/>
        </w:rPr>
        <w:t>Our net loss was $51.2 million for the year ended December 31, 2020 as compared to a net loss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$49.3 million for the period from July 16, 2019 to December 31, 2019 and net income of $12.9 million for the period from January 1, 2019 to July 15, 2019. Our net loss was $46.5 million and $35.3 million for the nine months ended September 30, 2021 and 2020, respectively. Our Net (Loss) Income Margin was (43)% for the year ended December 31, 2020 as compared to (123)% for the period from July 16, 2019 to December 31, 2019 and 28% for the period from January 1, 2019 to July 15, 2019. Our Gross Margin was 74% for the year ended December 31, 2020 as compared to 67% for the period from July 16, 2019 to December 31, 2019 and 88% for the period from January 1, 2019 to July 15, 2019.</w:t>
      </w:r>
    </w:p>
    <w:p>
      <w:pPr>
        <w:spacing w:after="0" w:line="155"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In addition to our consolidated GAAP financial measures, we use various non-GAAP financial measures, including Adjusted Gross Profit and Adjusted EBITDA, to measure our operating performance. See “—Key Metrics.” Our Adjusted Gross Profit was $107.1 million for the year ended December 31, 2020, as compared to $76.3 million in 2019, and $105.3 million for the nine months ended September 30, 2021, as compared to $76.7 million for the nine months ended September 30, 2020, resulting in Adjusted Gross Margins of 91% and 89%, for fiscal 2020 and 2019 respectively, and 88% and 91%, for the nine months ended September 30, 2021 and 2020, respectively. Our Adjusted EBITDA was $53.5 million for the year ended December 31, 2020, as compared to $42.3 million in 2019, and $42.9 million for the nine months ended September 30, 2021 and</w:t>
      </w:r>
    </w:p>
    <w:p>
      <w:pPr>
        <w:spacing w:after="0" w:line="3" w:lineRule="exact"/>
        <w:rPr>
          <w:sz w:val="20"/>
          <w:szCs w:val="20"/>
          <w:color w:val="auto"/>
        </w:rPr>
      </w:pPr>
    </w:p>
    <w:p>
      <w:pPr>
        <w:ind w:left="460" w:right="140"/>
        <w:spacing w:after="0" w:line="272" w:lineRule="auto"/>
        <w:rPr>
          <w:sz w:val="20"/>
          <w:szCs w:val="20"/>
          <w:color w:val="auto"/>
        </w:rPr>
      </w:pPr>
      <w:r>
        <w:rPr>
          <w:rFonts w:ascii="Arial" w:cs="Arial" w:eastAsia="Arial" w:hAnsi="Arial"/>
          <w:sz w:val="16"/>
          <w:szCs w:val="16"/>
          <w:color w:val="auto"/>
        </w:rPr>
        <w:t>$40.7 million for the nine months ended September 30, 2020, reflecting Adjusted EBITDA Margins of 45% and 49%, for 2020 and 2019, respectively, and 36% and 48% for the nine months ended September 30, 2021 and 2020, respectively. We delivered strong financial performance even as we invested for growth and scalability. See “Summary Historical and Pro Forma Consolidated Financial and Other Data” and “—Key Metrics” below for additional information regarding our non-GAAP numbers and a reconciliation to the corresponding GAAP metric.</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believe that the growth and future success of our business depends on many factors, including the following:</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Acquiring New Customers</w:t>
      </w:r>
    </w:p>
    <w:p>
      <w:pPr>
        <w:spacing w:after="0" w:line="108" w:lineRule="exact"/>
        <w:rPr>
          <w:sz w:val="20"/>
          <w:szCs w:val="20"/>
          <w:color w:val="auto"/>
        </w:rPr>
      </w:pPr>
    </w:p>
    <w:p>
      <w:pPr>
        <w:ind w:left="460" w:right="20" w:firstLine="413"/>
        <w:spacing w:after="0" w:line="291" w:lineRule="auto"/>
        <w:rPr>
          <w:sz w:val="20"/>
          <w:szCs w:val="20"/>
          <w:color w:val="auto"/>
        </w:rPr>
      </w:pPr>
      <w:r>
        <w:rPr>
          <w:rFonts w:ascii="Arial" w:cs="Arial" w:eastAsia="Arial" w:hAnsi="Arial"/>
          <w:sz w:val="15"/>
          <w:szCs w:val="15"/>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September 30, 2021, we had over 2,700 customers. As of December 31, 2020, we had over 2,500 customers. As of December 31, 2019, we had over 2,000 customers.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9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780"/>
          </w:cols>
          <w:pgMar w:left="320" w:top="465" w:right="79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Expanding Relationships with Existing Customers</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We believe there is a significant opportunity to generate additional revenue from our existing customer base. Our customers have historically increased their spend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82"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Our platform currently offers 14 intelligence modules. As of September 30, 2021, 76% of our customers subscribed to fewer than four intelligence modules, highlighting the opportunity to expand the usage of our platform across our clients’ organizations. Our success in expanding usage of our platform with our existing customers is demonstrated by our NDR. For the year ended December 31, 2020, our NDR for Enterprise Customers was 124% and our NDR for all customers over $17,500 ARR was 108%. For the trailing twelve months ended June 30, 2021, our NDR for Enterprise Customers was 125% and our NDR for all customers over $17,500 in ARR was 111%.</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Continuing to Innovate and Expand Our Platform</w:t>
      </w:r>
    </w:p>
    <w:p>
      <w:pPr>
        <w:spacing w:after="0" w:line="108"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Impact of the COVID-19 Pandemic</w:t>
      </w:r>
    </w:p>
    <w:p>
      <w:pPr>
        <w:spacing w:after="0" w:line="112" w:lineRule="exact"/>
        <w:rPr>
          <w:sz w:val="20"/>
          <w:szCs w:val="20"/>
          <w:color w:val="auto"/>
        </w:rPr>
      </w:pPr>
    </w:p>
    <w:p>
      <w:pPr>
        <w:ind w:left="460" w:right="60" w:firstLine="413"/>
        <w:spacing w:after="0" w:line="289" w:lineRule="auto"/>
        <w:rPr>
          <w:sz w:val="20"/>
          <w:szCs w:val="20"/>
          <w:color w:val="auto"/>
        </w:rPr>
      </w:pPr>
      <w:r>
        <w:rPr>
          <w:rFonts w:ascii="Arial" w:cs="Arial" w:eastAsia="Arial" w:hAnsi="Arial"/>
          <w:sz w:val="15"/>
          <w:szCs w:val="15"/>
          <w:color w:val="auto"/>
        </w:rPr>
        <w:t>The effects of the COVID-19 pandemic are continuing to evolve and its impact on the economy and healthcare ecosystem have been vast. However, other than a brief slowdown in new bookings during the second quarter of 2020 at the outset of the pandemic and reduced expenses, we continued to invest in our sales force and the business, and the pandemic has not adversely affected our business, results of operations or financial condition. We have not experienced any known business disruptions as a result of the pandemic, as most of our services are already delivered remotely or are capable of being delivered remotely. We have demonstrated our agility to deal with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Key Metrics</w:t>
      </w:r>
    </w:p>
    <w:p>
      <w:pPr>
        <w:spacing w:after="0" w:line="112"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We monitor the following key metrics to help us evaluate our business performance, identify financial trends, formulate business plans and make strategic operational decisions.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Gross Profit</w:t>
      </w:r>
    </w:p>
    <w:p>
      <w:pPr>
        <w:spacing w:after="0" w:line="108"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We define Adjusted Gross Profit as revenue less cost of revenue (excluding acquisition-related depreciation and amortization) and a small quantity of stock based compensation. Adjusted Gross Profit differs from Gross</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780"/>
          </w:cols>
          <w:pgMar w:left="320" w:top="465" w:right="79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60"/>
        <w:spacing w:after="0" w:line="284" w:lineRule="auto"/>
        <w:rPr>
          <w:sz w:val="20"/>
          <w:szCs w:val="20"/>
          <w:color w:val="auto"/>
        </w:rPr>
      </w:pPr>
      <w:r>
        <w:rPr>
          <w:rFonts w:ascii="Arial" w:cs="Arial" w:eastAsia="Arial" w:hAnsi="Arial"/>
          <w:sz w:val="16"/>
          <w:szCs w:val="16"/>
          <w:color w:val="auto"/>
        </w:rPr>
        <w:t>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See “Non-GAAP Financial Measures” for additional information.</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a reconciliation of Gross Profit to Adjusted Gross Profit and Adjusted Gross Margin for the periods presented:</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1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gridSpan w:val="6"/>
            <w:vMerge w:val="restart"/>
          </w:tcPr>
          <w:p>
            <w:pPr>
              <w:jc w:val="center"/>
              <w:ind w:right="600"/>
              <w:spacing w:after="0"/>
              <w:rPr>
                <w:sz w:val="20"/>
                <w:szCs w:val="20"/>
                <w:color w:val="auto"/>
              </w:rPr>
            </w:pPr>
            <w:r>
              <w:rPr>
                <w:rFonts w:ascii="Arial" w:cs="Arial" w:eastAsia="Arial" w:hAnsi="Arial"/>
                <w:sz w:val="13"/>
                <w:szCs w:val="13"/>
                <w:b w:val="1"/>
                <w:bCs w:val="1"/>
                <w:color w:val="auto"/>
                <w:w w:val="96"/>
              </w:rPr>
              <w:t>Definitive OpCo</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11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right="24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6"/>
          </w:tcPr>
          <w:p>
            <w:pPr>
              <w:jc w:val="center"/>
              <w:ind w:right="580"/>
              <w:spacing w:after="0" w:line="139" w:lineRule="exact"/>
              <w:rPr>
                <w:sz w:val="20"/>
                <w:szCs w:val="20"/>
                <w:color w:val="auto"/>
              </w:rPr>
            </w:pPr>
            <w:r>
              <w:rPr>
                <w:rFonts w:ascii="Arial" w:cs="Arial" w:eastAsia="Arial" w:hAnsi="Arial"/>
                <w:sz w:val="13"/>
                <w:szCs w:val="13"/>
                <w:b w:val="1"/>
                <w:bCs w:val="1"/>
                <w:color w:val="auto"/>
              </w:rPr>
              <w:t>(AIDH TopCo, LLC)</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3"/>
                <w:szCs w:val="13"/>
                <w:b w:val="1"/>
                <w:bCs w:val="1"/>
                <w:color w:val="auto"/>
                <w:w w:val="90"/>
              </w:rPr>
              <w:t>Successor Company</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w w:val="94"/>
              </w:rPr>
              <w:t>Company</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20" w:type="dxa"/>
            <w:vAlign w:val="bottom"/>
            <w:gridSpan w:val="6"/>
            <w:vMerge w:val="restart"/>
          </w:tcPr>
          <w:p>
            <w:pPr>
              <w:jc w:val="right"/>
              <w:ind w:right="78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0"/>
                <w:szCs w:val="10"/>
                <w:color w:val="auto"/>
              </w:rPr>
            </w:pPr>
          </w:p>
        </w:tc>
        <w:tc>
          <w:tcPr>
            <w:tcW w:w="1240" w:type="dxa"/>
            <w:vAlign w:val="bottom"/>
            <w:gridSpan w:val="3"/>
            <w:vMerge w:val="restart"/>
          </w:tcPr>
          <w:p>
            <w:pPr>
              <w:jc w:val="right"/>
              <w:ind w:right="520"/>
              <w:spacing w:after="0"/>
              <w:rPr>
                <w:sz w:val="20"/>
                <w:szCs w:val="20"/>
                <w:color w:val="auto"/>
              </w:rPr>
            </w:pPr>
            <w:r>
              <w:rPr>
                <w:rFonts w:ascii="Arial" w:cs="Arial" w:eastAsia="Arial" w:hAnsi="Arial"/>
                <w:sz w:val="13"/>
                <w:szCs w:val="13"/>
                <w:b w:val="1"/>
                <w:bCs w:val="1"/>
                <w:color w:val="auto"/>
                <w:w w:val="99"/>
              </w:rPr>
              <w:t>Year ended</w:t>
            </w:r>
          </w:p>
        </w:tc>
        <w:tc>
          <w:tcPr>
            <w:tcW w:w="100" w:type="dxa"/>
            <w:vAlign w:val="bottom"/>
          </w:tcPr>
          <w:p>
            <w:pPr>
              <w:spacing w:after="0"/>
              <w:rPr>
                <w:sz w:val="10"/>
                <w:szCs w:val="10"/>
                <w:color w:val="auto"/>
              </w:rPr>
            </w:pPr>
          </w:p>
        </w:tc>
        <w:tc>
          <w:tcPr>
            <w:tcW w:w="800" w:type="dxa"/>
            <w:vAlign w:val="bottom"/>
          </w:tcPr>
          <w:p>
            <w:pPr>
              <w:jc w:val="center"/>
              <w:ind w:right="20"/>
              <w:spacing w:after="0" w:line="124" w:lineRule="exact"/>
              <w:rPr>
                <w:sz w:val="20"/>
                <w:szCs w:val="20"/>
                <w:color w:val="auto"/>
              </w:rPr>
            </w:pPr>
            <w:r>
              <w:rPr>
                <w:rFonts w:ascii="Arial" w:cs="Arial" w:eastAsia="Arial" w:hAnsi="Arial"/>
                <w:sz w:val="13"/>
                <w:szCs w:val="13"/>
                <w:b w:val="1"/>
                <w:bCs w:val="1"/>
                <w:color w:val="auto"/>
                <w:w w:val="95"/>
              </w:rPr>
              <w:t>Period from</w:t>
            </w:r>
          </w:p>
        </w:tc>
        <w:tc>
          <w:tcPr>
            <w:tcW w:w="5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3"/>
              </w:rPr>
              <w:t>Period from</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60" w:type="dxa"/>
            <w:vAlign w:val="bottom"/>
            <w:tcBorders>
              <w:right w:val="single" w:sz="8" w:color="auto"/>
            </w:tcBorders>
            <w:gridSpan w:val="3"/>
          </w:tcPr>
          <w:p>
            <w:pPr>
              <w:jc w:val="center"/>
              <w:ind w:right="56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20" w:type="dxa"/>
            <w:vAlign w:val="bottom"/>
            <w:gridSpan w:val="2"/>
            <w:vMerge w:val="restart"/>
          </w:tcPr>
          <w:p>
            <w:pPr>
              <w:spacing w:after="0"/>
              <w:rPr>
                <w:sz w:val="20"/>
                <w:szCs w:val="20"/>
                <w:color w:val="auto"/>
              </w:rPr>
            </w:pPr>
            <w:r>
              <w:rPr>
                <w:rFonts w:ascii="Arial" w:cs="Arial" w:eastAsia="Arial" w:hAnsi="Arial"/>
                <w:sz w:val="13"/>
                <w:szCs w:val="13"/>
                <w:color w:val="auto"/>
              </w:rPr>
              <w:t>(in thousands)</w:t>
            </w:r>
          </w:p>
        </w:tc>
        <w:tc>
          <w:tcPr>
            <w:tcW w:w="26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2"/>
                <w:szCs w:val="12"/>
                <w:color w:val="auto"/>
              </w:rPr>
            </w:pPr>
          </w:p>
        </w:tc>
        <w:tc>
          <w:tcPr>
            <w:tcW w:w="12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460" w:type="dxa"/>
            <w:vAlign w:val="bottom"/>
            <w:tcBorders>
              <w:right w:val="single" w:sz="8" w:color="auto"/>
            </w:tcBorders>
            <w:gridSpan w:val="3"/>
          </w:tcPr>
          <w:p>
            <w:pPr>
              <w:jc w:val="center"/>
              <w:ind w:right="56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5"/>
              </w:rPr>
              <w:t>January 1, 2019 to</w:t>
            </w:r>
          </w:p>
        </w:tc>
        <w:tc>
          <w:tcPr>
            <w:tcW w:w="0" w:type="dxa"/>
            <w:vAlign w:val="bottom"/>
          </w:tcPr>
          <w:p>
            <w:pPr>
              <w:spacing w:after="0"/>
              <w:rPr>
                <w:sz w:val="1"/>
                <w:szCs w:val="1"/>
                <w:color w:val="auto"/>
              </w:rPr>
            </w:pPr>
          </w:p>
        </w:tc>
      </w:tr>
      <w:tr>
        <w:trPr>
          <w:trHeight w:val="160"/>
        </w:trPr>
        <w:tc>
          <w:tcPr>
            <w:tcW w:w="31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8"/>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0"/>
              <w:spacing w:after="0"/>
              <w:rPr>
                <w:sz w:val="20"/>
                <w:szCs w:val="20"/>
                <w:color w:val="auto"/>
              </w:rPr>
            </w:pPr>
            <w:r>
              <w:rPr>
                <w:rFonts w:ascii="Arial" w:cs="Arial" w:eastAsia="Arial" w:hAnsi="Arial"/>
                <w:sz w:val="13"/>
                <w:szCs w:val="13"/>
                <w:b w:val="1"/>
                <w:bCs w:val="1"/>
                <w:color w:val="auto"/>
                <w:w w:val="89"/>
              </w:rPr>
              <w:t>2019</w:t>
            </w:r>
          </w:p>
        </w:tc>
        <w:tc>
          <w:tcPr>
            <w:tcW w:w="5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95"/>
        </w:trPr>
        <w:tc>
          <w:tcPr>
            <w:tcW w:w="3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Reported gross profit</w:t>
            </w: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90,050</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62,505</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87,849</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26,763</w:t>
            </w:r>
          </w:p>
        </w:tc>
        <w:tc>
          <w:tcPr>
            <w:tcW w:w="56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40,130</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line="190" w:lineRule="exact"/>
              <w:rPr>
                <w:sz w:val="20"/>
                <w:szCs w:val="20"/>
                <w:color w:val="auto"/>
              </w:rPr>
            </w:pPr>
            <w:r>
              <w:rPr>
                <w:rFonts w:ascii="Arial" w:cs="Arial" w:eastAsia="Arial" w:hAnsi="Arial"/>
                <w:sz w:val="17"/>
                <w:szCs w:val="17"/>
                <w:color w:val="auto"/>
                <w:w w:val="98"/>
              </w:rPr>
              <w:t>Amortization of intangible assets resulting</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120" w:type="dxa"/>
            <w:vAlign w:val="bottom"/>
            <w:gridSpan w:val="2"/>
          </w:tcPr>
          <w:p>
            <w:pPr>
              <w:ind w:left="160"/>
              <w:spacing w:after="0"/>
              <w:rPr>
                <w:sz w:val="20"/>
                <w:szCs w:val="20"/>
                <w:color w:val="auto"/>
              </w:rPr>
            </w:pPr>
            <w:r>
              <w:rPr>
                <w:rFonts w:ascii="Arial" w:cs="Arial" w:eastAsia="Arial" w:hAnsi="Arial"/>
                <w:sz w:val="17"/>
                <w:szCs w:val="17"/>
                <w:color w:val="auto"/>
              </w:rPr>
              <w:t>from acquisition-related purchase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20" w:type="dxa"/>
            <w:vAlign w:val="bottom"/>
            <w:gridSpan w:val="2"/>
          </w:tcPr>
          <w:p>
            <w:pPr>
              <w:ind w:left="160"/>
              <w:spacing w:after="0" w:line="218" w:lineRule="exact"/>
              <w:rPr>
                <w:sz w:val="20"/>
                <w:szCs w:val="20"/>
                <w:color w:val="auto"/>
              </w:rPr>
            </w:pPr>
            <w:r>
              <w:rPr>
                <w:rFonts w:ascii="Arial" w:cs="Arial" w:eastAsia="Arial" w:hAnsi="Arial"/>
                <w:sz w:val="17"/>
                <w:szCs w:val="17"/>
                <w:color w:val="auto"/>
              </w:rPr>
              <w:t>accounting adjustments</w:t>
            </w:r>
            <w:r>
              <w:rPr>
                <w:rFonts w:ascii="Arial" w:cs="Arial" w:eastAsia="Arial" w:hAnsi="Arial"/>
                <w:sz w:val="23"/>
                <w:szCs w:val="23"/>
                <w:color w:val="auto"/>
                <w:vertAlign w:val="superscript"/>
              </w:rPr>
              <w:t>(a)</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15,125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14,175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19,169</w:t>
            </w:r>
          </w:p>
        </w:tc>
        <w:tc>
          <w:tcPr>
            <w:tcW w:w="10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8,602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compensation costs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Adjusted Gross Profit</w:t>
            </w: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20" w:type="dxa"/>
            <w:vAlign w:val="bottom"/>
            <w:gridSpan w:val="2"/>
            <w:vMerge w:val="continue"/>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105,254</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76,726</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107,080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35,393</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119,841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84,659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118,317</w:t>
            </w:r>
          </w:p>
        </w:tc>
        <w:tc>
          <w:tcPr>
            <w:tcW w:w="100" w:type="dxa"/>
            <w:vAlign w:val="bottom"/>
            <w:shd w:val="clear" w:color="auto" w:fill="CCEEFF"/>
          </w:tcPr>
          <w:p>
            <w:pPr>
              <w:spacing w:after="0"/>
              <w:rPr>
                <w:sz w:val="17"/>
                <w:szCs w:val="17"/>
                <w:color w:val="auto"/>
              </w:rPr>
            </w:pPr>
          </w:p>
        </w:tc>
        <w:tc>
          <w:tcPr>
            <w:tcW w:w="13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40,045</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Adjusted Gross Margin</w:t>
            </w: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7"/>
                <w:szCs w:val="17"/>
                <w:color w:val="auto"/>
              </w:rPr>
              <w:t>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140" w:type="dxa"/>
            <w:vAlign w:val="bottom"/>
            <w:tcBorders>
              <w:bottom w:val="single" w:sz="8" w:color="auto"/>
            </w:tcBorders>
          </w:tcPr>
          <w:p>
            <w:pPr>
              <w:spacing w:after="0"/>
              <w:rPr>
                <w:sz w:val="10"/>
                <w:szCs w:val="10"/>
                <w:color w:val="auto"/>
              </w:rPr>
            </w:pPr>
          </w:p>
        </w:tc>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5718175</wp:posOffset>
            </wp:positionH>
            <wp:positionV relativeFrom="paragraph">
              <wp:posOffset>-264795</wp:posOffset>
            </wp:positionV>
            <wp:extent cx="241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6" w:lineRule="exact"/>
        <w:rPr>
          <w:sz w:val="20"/>
          <w:szCs w:val="20"/>
          <w:color w:val="auto"/>
        </w:rPr>
      </w:pPr>
    </w:p>
    <w:p>
      <w:pPr>
        <w:ind w:left="960" w:right="420" w:hanging="503"/>
        <w:spacing w:after="0" w:line="272" w:lineRule="auto"/>
        <w:tabs>
          <w:tab w:leader="none" w:pos="9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800"/>
          </w:cols>
          <w:pgMar w:left="320" w:top="465" w:right="77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840" w:firstLine="413"/>
        <w:spacing w:after="0" w:line="272" w:lineRule="auto"/>
        <w:rPr>
          <w:sz w:val="20"/>
          <w:szCs w:val="20"/>
          <w:color w:val="auto"/>
        </w:rPr>
      </w:pPr>
      <w:r>
        <w:rPr>
          <w:rFonts w:ascii="Arial" w:cs="Arial" w:eastAsia="Arial" w:hAnsi="Arial"/>
          <w:sz w:val="17"/>
          <w:szCs w:val="17"/>
          <w:color w:val="auto"/>
        </w:rPr>
        <w:t>Gross profit is revenue less cost of revenue, and gross margin is gross profit as a percentage of revenue. The following table presents a reconciliation of gross margin to Adjusted Gross Margin for the periods presented:</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gridSpan w:val="3"/>
            <w:vMerge w:val="restart"/>
          </w:tcPr>
          <w:p>
            <w:pPr>
              <w:jc w:val="center"/>
              <w:ind w:left="79"/>
              <w:spacing w:after="0"/>
              <w:rPr>
                <w:sz w:val="20"/>
                <w:szCs w:val="20"/>
                <w:color w:val="auto"/>
              </w:rPr>
            </w:pPr>
            <w:r>
              <w:rPr>
                <w:rFonts w:ascii="Arial" w:cs="Arial" w:eastAsia="Arial" w:hAnsi="Arial"/>
                <w:sz w:val="13"/>
                <w:szCs w:val="13"/>
                <w:b w:val="1"/>
                <w:bCs w:val="1"/>
                <w:color w:val="auto"/>
                <w:w w:val="96"/>
              </w:rPr>
              <w:t>Definitive OpCo</w:t>
            </w: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3"/>
          </w:tcPr>
          <w:p>
            <w:pPr>
              <w:jc w:val="center"/>
              <w:ind w:left="59"/>
              <w:spacing w:after="0" w:line="139" w:lineRule="exact"/>
              <w:rPr>
                <w:sz w:val="20"/>
                <w:szCs w:val="20"/>
                <w:color w:val="auto"/>
              </w:rPr>
            </w:pPr>
            <w:r>
              <w:rPr>
                <w:rFonts w:ascii="Arial" w:cs="Arial" w:eastAsia="Arial" w:hAnsi="Arial"/>
                <w:sz w:val="13"/>
                <w:szCs w:val="13"/>
                <w:b w:val="1"/>
                <w:bCs w:val="1"/>
                <w:color w:val="auto"/>
              </w:rPr>
              <w:t>(AIDH TopCo, LLC)</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3"/>
          </w:tcPr>
          <w:p>
            <w:pPr>
              <w:jc w:val="center"/>
              <w:ind w:left="59"/>
              <w:spacing w:after="0"/>
              <w:rPr>
                <w:sz w:val="20"/>
                <w:szCs w:val="20"/>
                <w:color w:val="auto"/>
              </w:rPr>
            </w:pPr>
            <w:r>
              <w:rPr>
                <w:rFonts w:ascii="Arial" w:cs="Arial" w:eastAsia="Arial" w:hAnsi="Arial"/>
                <w:sz w:val="13"/>
                <w:szCs w:val="13"/>
                <w:b w:val="1"/>
                <w:bCs w:val="1"/>
                <w:color w:val="auto"/>
                <w:w w:val="90"/>
              </w:rPr>
              <w:t>Successor Company</w:t>
            </w: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800" w:type="dxa"/>
            <w:vAlign w:val="bottom"/>
            <w:tcBorders>
              <w:top w:val="single" w:sz="8" w:color="auto"/>
            </w:tcBorders>
            <w:gridSpan w:val="4"/>
            <w:vMerge w:val="restart"/>
          </w:tcPr>
          <w:p>
            <w:pPr>
              <w:ind w:left="480"/>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Year ended</w:t>
            </w: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18"/>
              <w:spacing w:after="0" w:line="112" w:lineRule="exact"/>
              <w:rPr>
                <w:sz w:val="20"/>
                <w:szCs w:val="20"/>
                <w:color w:val="auto"/>
              </w:rPr>
            </w:pPr>
            <w:r>
              <w:rPr>
                <w:rFonts w:ascii="Arial" w:cs="Arial" w:eastAsia="Arial" w:hAnsi="Arial"/>
                <w:sz w:val="12"/>
                <w:szCs w:val="12"/>
                <w:b w:val="1"/>
                <w:bCs w:val="1"/>
                <w:color w:val="auto"/>
              </w:rPr>
              <w:t>Period from</w:t>
            </w:r>
          </w:p>
        </w:tc>
        <w:tc>
          <w:tcPr>
            <w:tcW w:w="62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1"/>
              <w:spacing w:after="0" w:line="112"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780" w:type="dxa"/>
            <w:vAlign w:val="bottom"/>
            <w:gridSpan w:val="2"/>
            <w:vMerge w:val="restart"/>
          </w:tcPr>
          <w:p>
            <w:pPr>
              <w:spacing w:after="0"/>
              <w:rPr>
                <w:sz w:val="20"/>
                <w:szCs w:val="20"/>
                <w:color w:val="auto"/>
              </w:rPr>
            </w:pPr>
            <w:r>
              <w:rPr>
                <w:rFonts w:ascii="Arial" w:cs="Arial" w:eastAsia="Arial" w:hAnsi="Arial"/>
                <w:sz w:val="13"/>
                <w:szCs w:val="13"/>
                <w:color w:val="auto"/>
              </w:rPr>
              <w:t>(in thousands)</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3"/>
                <w:szCs w:val="13"/>
                <w:b w:val="1"/>
                <w:bCs w:val="1"/>
                <w:color w:val="auto"/>
                <w:w w:val="91"/>
              </w:rPr>
              <w:t>July 16, 2019 to</w:t>
            </w:r>
          </w:p>
        </w:tc>
        <w:tc>
          <w:tcPr>
            <w:tcW w:w="320" w:type="dxa"/>
            <w:vAlign w:val="bottom"/>
          </w:tcPr>
          <w:p>
            <w:pPr>
              <w:spacing w:after="0"/>
              <w:rPr>
                <w:sz w:val="13"/>
                <w:szCs w:val="13"/>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1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Arial" w:cs="Arial" w:eastAsia="Arial" w:hAnsi="Arial"/>
                <w:sz w:val="13"/>
                <w:szCs w:val="13"/>
                <w:b w:val="1"/>
                <w:bCs w:val="1"/>
                <w:color w:val="auto"/>
              </w:rPr>
              <w:t>September 30, 2021</w:t>
            </w:r>
          </w:p>
        </w:tc>
        <w:tc>
          <w:tcPr>
            <w:tcW w:w="20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September 30, 2020</w:t>
            </w:r>
          </w:p>
        </w:tc>
        <w:tc>
          <w:tcPr>
            <w:tcW w:w="1420" w:type="dxa"/>
            <w:vAlign w:val="bottom"/>
            <w:gridSpan w:val="3"/>
          </w:tcPr>
          <w:p>
            <w:pPr>
              <w:spacing w:after="0"/>
              <w:rPr>
                <w:sz w:val="20"/>
                <w:szCs w:val="20"/>
                <w:color w:val="auto"/>
              </w:rPr>
            </w:pPr>
            <w:r>
              <w:rPr>
                <w:rFonts w:ascii="Arial" w:cs="Arial" w:eastAsia="Arial" w:hAnsi="Arial"/>
                <w:sz w:val="13"/>
                <w:szCs w:val="13"/>
                <w:b w:val="1"/>
                <w:bCs w:val="1"/>
                <w:color w:val="auto"/>
              </w:rPr>
              <w:t>December 31, 2020</w:t>
            </w:r>
          </w:p>
        </w:tc>
        <w:tc>
          <w:tcPr>
            <w:tcW w:w="180" w:type="dxa"/>
            <w:vAlign w:val="bottom"/>
          </w:tcPr>
          <w:p>
            <w:pPr>
              <w:spacing w:after="0"/>
              <w:rPr>
                <w:sz w:val="13"/>
                <w:szCs w:val="13"/>
                <w:color w:val="auto"/>
              </w:rPr>
            </w:pPr>
          </w:p>
        </w:tc>
        <w:tc>
          <w:tcPr>
            <w:tcW w:w="172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2019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119,841</w:t>
            </w: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84,659</w:t>
            </w:r>
          </w:p>
        </w:tc>
        <w:tc>
          <w:tcPr>
            <w:tcW w:w="5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620" w:type="dxa"/>
            <w:vAlign w:val="bottom"/>
            <w:tcBorders>
              <w:top w:val="single" w:sz="8" w:color="CCEEFF"/>
              <w:right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b w:val="1"/>
                <w:bCs w:val="1"/>
                <w:color w:val="auto"/>
              </w:rPr>
              <w:t>Total cost of revenue</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29,791</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22,154</w:t>
            </w:r>
          </w:p>
        </w:tc>
        <w:tc>
          <w:tcPr>
            <w:tcW w:w="4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30,468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7"/>
                <w:szCs w:val="17"/>
                <w:color w:val="auto"/>
              </w:rPr>
              <w:t>13,282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Reported gross profit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90,050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62,505</w:t>
            </w: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26,763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b w:val="1"/>
                <w:bCs w:val="1"/>
                <w:color w:val="auto"/>
              </w:rPr>
              <w:t>Gross margin</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color w:val="auto"/>
              </w:rPr>
              <w:t>74%</w:t>
            </w:r>
          </w:p>
        </w:tc>
        <w:tc>
          <w:tcPr>
            <w:tcW w:w="4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7"/>
                <w:szCs w:val="17"/>
                <w:color w:val="auto"/>
              </w:rPr>
              <w:t>67%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119,841</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84,659</w:t>
            </w: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40,045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b w:val="1"/>
                <w:bCs w:val="1"/>
                <w:color w:val="auto"/>
              </w:rPr>
              <w:t>Total cost of revenue</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29,791</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22,154</w:t>
            </w:r>
          </w:p>
        </w:tc>
        <w:tc>
          <w:tcPr>
            <w:tcW w:w="4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30,468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7"/>
                <w:szCs w:val="17"/>
                <w:color w:val="auto"/>
              </w:rPr>
              <w:t>13,282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Reported gross profit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90,050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62,505</w:t>
            </w: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26,763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60" w:type="dxa"/>
            <w:vAlign w:val="bottom"/>
          </w:tcPr>
          <w:p>
            <w:pPr>
              <w:spacing w:after="0" w:line="190" w:lineRule="exact"/>
              <w:rPr>
                <w:sz w:val="20"/>
                <w:szCs w:val="20"/>
                <w:color w:val="auto"/>
              </w:rPr>
            </w:pPr>
            <w:r>
              <w:rPr>
                <w:rFonts w:ascii="Arial" w:cs="Arial" w:eastAsia="Arial" w:hAnsi="Arial"/>
                <w:sz w:val="17"/>
                <w:szCs w:val="17"/>
                <w:color w:val="auto"/>
              </w:rPr>
              <w:t>Amortization of</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40"/>
              <w:spacing w:after="0"/>
              <w:rPr>
                <w:sz w:val="20"/>
                <w:szCs w:val="20"/>
                <w:color w:val="auto"/>
              </w:rPr>
            </w:pPr>
            <w:r>
              <w:rPr>
                <w:rFonts w:ascii="Arial" w:cs="Arial" w:eastAsia="Arial" w:hAnsi="Arial"/>
                <w:sz w:val="17"/>
                <w:szCs w:val="17"/>
                <w:color w:val="auto"/>
              </w:rPr>
              <w:t>intangible assets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40"/>
              <w:spacing w:after="0"/>
              <w:rPr>
                <w:sz w:val="20"/>
                <w:szCs w:val="20"/>
                <w:color w:val="auto"/>
              </w:rPr>
            </w:pPr>
            <w:r>
              <w:rPr>
                <w:rFonts w:ascii="Arial" w:cs="Arial" w:eastAsia="Arial" w:hAnsi="Arial"/>
                <w:sz w:val="17"/>
                <w:szCs w:val="17"/>
                <w:color w:val="auto"/>
              </w:rPr>
              <w:t>resulting from</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40"/>
              <w:spacing w:after="0"/>
              <w:rPr>
                <w:sz w:val="20"/>
                <w:szCs w:val="20"/>
                <w:color w:val="auto"/>
              </w:rPr>
            </w:pPr>
            <w:r>
              <w:rPr>
                <w:rFonts w:ascii="Arial" w:cs="Arial" w:eastAsia="Arial" w:hAnsi="Arial"/>
                <w:sz w:val="17"/>
                <w:szCs w:val="17"/>
                <w:color w:val="auto"/>
              </w:rPr>
              <w:t>acquisition-related</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ind w:left="140"/>
              <w:spacing w:after="0"/>
              <w:rPr>
                <w:sz w:val="20"/>
                <w:szCs w:val="20"/>
                <w:color w:val="auto"/>
              </w:rPr>
            </w:pPr>
            <w:r>
              <w:rPr>
                <w:rFonts w:ascii="Arial" w:cs="Arial" w:eastAsia="Arial" w:hAnsi="Arial"/>
                <w:sz w:val="17"/>
                <w:szCs w:val="17"/>
                <w:color w:val="auto"/>
              </w:rPr>
              <w:t>purchase accounting</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60" w:type="dxa"/>
            <w:vAlign w:val="bottom"/>
          </w:tcPr>
          <w:p>
            <w:pPr>
              <w:ind w:left="140"/>
              <w:spacing w:after="0"/>
              <w:rPr>
                <w:sz w:val="20"/>
                <w:szCs w:val="20"/>
                <w:color w:val="auto"/>
              </w:rPr>
            </w:pPr>
            <w:r>
              <w:rPr>
                <w:rFonts w:ascii="Arial" w:cs="Arial" w:eastAsia="Arial" w:hAnsi="Arial"/>
                <w:sz w:val="17"/>
                <w:szCs w:val="17"/>
                <w:color w:val="auto"/>
              </w:rPr>
              <w:t>adjustments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15,125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14,175</w:t>
            </w:r>
          </w:p>
        </w:tc>
        <w:tc>
          <w:tcPr>
            <w:tcW w:w="4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19,169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7"/>
                <w:szCs w:val="17"/>
                <w:color w:val="auto"/>
              </w:rPr>
              <w:t>8,602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Equity compensation</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46</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7"/>
                <w:szCs w:val="17"/>
                <w:b w:val="1"/>
                <w:bCs w:val="1"/>
                <w:color w:val="auto"/>
                <w:w w:val="99"/>
              </w:rPr>
              <w:t>Adjusted Gross Profit</w:t>
            </w:r>
          </w:p>
        </w:tc>
        <w:tc>
          <w:tcPr>
            <w:tcW w:w="5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105,254</w:t>
            </w:r>
          </w:p>
        </w:tc>
        <w:tc>
          <w:tcPr>
            <w:tcW w:w="6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76,726</w:t>
            </w:r>
          </w:p>
        </w:tc>
        <w:tc>
          <w:tcPr>
            <w:tcW w:w="4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107,080</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16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7"/>
                <w:szCs w:val="17"/>
                <w:color w:val="auto"/>
              </w:rPr>
              <w:t>35,393</w:t>
            </w:r>
          </w:p>
        </w:tc>
        <w:tc>
          <w:tcPr>
            <w:tcW w:w="3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119,841</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84,659</w:t>
            </w: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40,045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60" w:type="dxa"/>
            <w:vAlign w:val="bottom"/>
          </w:tcPr>
          <w:p>
            <w:pPr>
              <w:spacing w:after="0" w:line="186" w:lineRule="exact"/>
              <w:rPr>
                <w:sz w:val="20"/>
                <w:szCs w:val="20"/>
                <w:color w:val="auto"/>
              </w:rPr>
            </w:pPr>
            <w:r>
              <w:rPr>
                <w:rFonts w:ascii="Arial" w:cs="Arial" w:eastAsia="Arial" w:hAnsi="Arial"/>
                <w:sz w:val="17"/>
                <w:szCs w:val="17"/>
                <w:b w:val="1"/>
                <w:bCs w:val="1"/>
                <w:color w:val="auto"/>
              </w:rPr>
              <w:t>Adjusted Gross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60" w:type="dxa"/>
            <w:vAlign w:val="bottom"/>
          </w:tcPr>
          <w:p>
            <w:pPr>
              <w:ind w:left="140"/>
              <w:spacing w:after="0"/>
              <w:rPr>
                <w:sz w:val="20"/>
                <w:szCs w:val="20"/>
                <w:color w:val="auto"/>
              </w:rPr>
            </w:pPr>
            <w:r>
              <w:rPr>
                <w:rFonts w:ascii="Arial" w:cs="Arial" w:eastAsia="Arial" w:hAnsi="Arial"/>
                <w:sz w:val="17"/>
                <w:szCs w:val="17"/>
                <w:b w:val="1"/>
                <w:bCs w:val="1"/>
                <w:color w:val="auto"/>
              </w:rPr>
              <w:t>Margin</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88%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color w:val="auto"/>
              </w:rPr>
              <w:t>91%</w:t>
            </w:r>
          </w:p>
        </w:tc>
        <w:tc>
          <w:tcPr>
            <w:tcW w:w="4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7"/>
                <w:szCs w:val="17"/>
                <w:color w:val="auto"/>
              </w:rPr>
              <w:t>88%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EBITDA</w:t>
      </w:r>
    </w:p>
    <w:p>
      <w:pPr>
        <w:spacing w:after="0" w:line="108" w:lineRule="exact"/>
        <w:rPr>
          <w:sz w:val="20"/>
          <w:szCs w:val="20"/>
          <w:color w:val="auto"/>
        </w:rPr>
      </w:pPr>
    </w:p>
    <w:p>
      <w:pPr>
        <w:ind w:left="460" w:right="120" w:firstLine="413"/>
        <w:spacing w:after="0" w:line="287" w:lineRule="auto"/>
        <w:rPr>
          <w:sz w:val="20"/>
          <w:szCs w:val="20"/>
          <w:color w:val="auto"/>
        </w:rPr>
      </w:pPr>
      <w:r>
        <w:rPr>
          <w:rFonts w:ascii="Arial" w:cs="Arial" w:eastAsia="Arial" w:hAnsi="Arial"/>
          <w:sz w:val="15"/>
          <w:szCs w:val="15"/>
          <w:color w:val="auto"/>
        </w:rPr>
        <w:t>We present “Adjusted EBITDA” as a measure of our operating performance. EBITDA is defined as earnings before (i) debt-related costs, including interest expense and (ii) interest income, (iii) provision for taxes, (iv) depreciation and amortization. Management further adjusts EBITDA in its presentation of Adjusted EBITDA to exclude (i) other (income) expense, (ii) stock-based compensation, (iii) acquisition-related expenses and</w:t>
      </w:r>
    </w:p>
    <w:p>
      <w:pPr>
        <w:spacing w:after="0" w:line="1" w:lineRule="exact"/>
        <w:rPr>
          <w:sz w:val="20"/>
          <w:szCs w:val="20"/>
          <w:color w:val="auto"/>
        </w:rPr>
      </w:pPr>
    </w:p>
    <w:p>
      <w:pPr>
        <w:ind w:left="460" w:right="440" w:hanging="3"/>
        <w:spacing w:after="0" w:line="323" w:lineRule="auto"/>
        <w:tabs>
          <w:tab w:leader="none" w:pos="746" w:val="left"/>
        </w:tabs>
        <w:numPr>
          <w:ilvl w:val="0"/>
          <w:numId w:val="65"/>
        </w:numPr>
        <w:rPr>
          <w:rFonts w:ascii="Arial" w:cs="Arial" w:eastAsia="Arial" w:hAnsi="Arial"/>
          <w:sz w:val="15"/>
          <w:szCs w:val="15"/>
          <w:color w:val="auto"/>
        </w:rPr>
      </w:pPr>
      <w:r>
        <w:rPr>
          <w:rFonts w:ascii="Arial" w:cs="Arial" w:eastAsia="Arial" w:hAnsi="Arial"/>
          <w:sz w:val="15"/>
          <w:szCs w:val="15"/>
          <w:color w:val="auto"/>
        </w:rPr>
        <w:t>other non-recurring and one-time expenses. We exclude these items because they are non-cash or non-recurring in nature, and therefore do not believe them to be representative of ongoing operational performance. See “Non-GAAP Financial Measures” for additional information.</w:t>
      </w:r>
    </w:p>
    <w:p>
      <w:pPr>
        <w:spacing w:after="0" w:line="6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800"/>
          </w:cols>
          <w:pgMar w:left="320" w:top="465" w:right="77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presents a reconciliation of Net (Loss) Income to Adjusted EBITDA for the periods presented:</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Adjusted EBITDA</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gridSpan w:val="3"/>
            <w:vMerge w:val="restart"/>
          </w:tcPr>
          <w:p>
            <w:pPr>
              <w:jc w:val="center"/>
              <w:ind w:left="59"/>
              <w:spacing w:after="0"/>
              <w:rPr>
                <w:sz w:val="20"/>
                <w:szCs w:val="20"/>
                <w:color w:val="auto"/>
              </w:rPr>
            </w:pPr>
            <w:r>
              <w:rPr>
                <w:rFonts w:ascii="Arial" w:cs="Arial" w:eastAsia="Arial" w:hAnsi="Arial"/>
                <w:sz w:val="13"/>
                <w:szCs w:val="13"/>
                <w:b w:val="1"/>
                <w:bCs w:val="1"/>
                <w:color w:val="auto"/>
                <w:w w:val="96"/>
              </w:rPr>
              <w:t>Definitive OpCo</w:t>
            </w: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center"/>
              <w:ind w:right="18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3"/>
          </w:tcPr>
          <w:p>
            <w:pPr>
              <w:jc w:val="center"/>
              <w:ind w:left="59"/>
              <w:spacing w:after="0" w:line="139" w:lineRule="exact"/>
              <w:rPr>
                <w:sz w:val="20"/>
                <w:szCs w:val="20"/>
                <w:color w:val="auto"/>
              </w:rPr>
            </w:pPr>
            <w:r>
              <w:rPr>
                <w:rFonts w:ascii="Arial" w:cs="Arial" w:eastAsia="Arial" w:hAnsi="Arial"/>
                <w:sz w:val="13"/>
                <w:szCs w:val="13"/>
                <w:b w:val="1"/>
                <w:bCs w:val="1"/>
                <w:color w:val="auto"/>
              </w:rPr>
              <w:t>(AIDH TopCo, LLC)</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gridSpan w:val="3"/>
          </w:tcPr>
          <w:p>
            <w:pPr>
              <w:jc w:val="center"/>
              <w:ind w:left="79"/>
              <w:spacing w:after="0"/>
              <w:rPr>
                <w:sz w:val="20"/>
                <w:szCs w:val="20"/>
                <w:color w:val="auto"/>
              </w:rPr>
            </w:pPr>
            <w:r>
              <w:rPr>
                <w:rFonts w:ascii="Arial" w:cs="Arial" w:eastAsia="Arial" w:hAnsi="Arial"/>
                <w:sz w:val="13"/>
                <w:szCs w:val="13"/>
                <w:b w:val="1"/>
                <w:bCs w:val="1"/>
                <w:color w:val="auto"/>
                <w:w w:val="90"/>
              </w:rPr>
              <w:t>Successor Company</w:t>
            </w: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740" w:type="dxa"/>
            <w:vAlign w:val="bottom"/>
            <w:tcBorders>
              <w:top w:val="single" w:sz="8" w:color="auto"/>
            </w:tcBorders>
            <w:gridSpan w:val="3"/>
            <w:vMerge w:val="restart"/>
          </w:tcPr>
          <w:p>
            <w:pPr>
              <w:ind w:left="460"/>
              <w:spacing w:after="0"/>
              <w:rPr>
                <w:sz w:val="20"/>
                <w:szCs w:val="20"/>
                <w:color w:val="auto"/>
              </w:rPr>
            </w:pPr>
            <w:r>
              <w:rPr>
                <w:rFonts w:ascii="Arial" w:cs="Arial" w:eastAsia="Arial" w:hAnsi="Arial"/>
                <w:sz w:val="13"/>
                <w:szCs w:val="13"/>
                <w:b w:val="1"/>
                <w:bCs w:val="1"/>
                <w:color w:val="auto"/>
              </w:rPr>
              <w:t>Nine Months Ended</w:t>
            </w:r>
          </w:p>
        </w:tc>
        <w:tc>
          <w:tcPr>
            <w:tcW w:w="6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18"/>
              <w:spacing w:after="0" w:line="112"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1"/>
              <w:spacing w:after="0" w:line="112"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22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32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3"/>
                <w:szCs w:val="13"/>
                <w:b w:val="1"/>
                <w:bCs w:val="1"/>
                <w:color w:val="auto"/>
                <w:w w:val="93"/>
              </w:rPr>
              <w:t>July 16, 2019 to</w:t>
            </w:r>
          </w:p>
        </w:tc>
        <w:tc>
          <w:tcPr>
            <w:tcW w:w="260" w:type="dxa"/>
            <w:vAlign w:val="bottom"/>
          </w:tcPr>
          <w:p>
            <w:pPr>
              <w:spacing w:after="0"/>
              <w:rPr>
                <w:sz w:val="13"/>
                <w:szCs w:val="13"/>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2220" w:type="dxa"/>
            <w:vAlign w:val="bottom"/>
            <w:gridSpan w:val="3"/>
            <w:vMerge w:val="continue"/>
          </w:tcPr>
          <w:p>
            <w:pPr>
              <w:spacing w:after="0"/>
              <w:rPr>
                <w:sz w:val="13"/>
                <w:szCs w:val="13"/>
                <w:color w:val="auto"/>
              </w:rPr>
            </w:pPr>
          </w:p>
        </w:tc>
        <w:tc>
          <w:tcPr>
            <w:tcW w:w="1580" w:type="dxa"/>
            <w:vAlign w:val="bottom"/>
            <w:gridSpan w:val="3"/>
          </w:tcPr>
          <w:p>
            <w:pPr>
              <w:spacing w:after="0"/>
              <w:rPr>
                <w:sz w:val="20"/>
                <w:szCs w:val="20"/>
                <w:color w:val="auto"/>
              </w:rPr>
            </w:pPr>
            <w:r>
              <w:rPr>
                <w:rFonts w:ascii="Arial" w:cs="Arial" w:eastAsia="Arial" w:hAnsi="Arial"/>
                <w:sz w:val="13"/>
                <w:szCs w:val="13"/>
                <w:b w:val="1"/>
                <w:bCs w:val="1"/>
                <w:color w:val="auto"/>
              </w:rPr>
              <w:t>September 30, 2021</w:t>
            </w:r>
          </w:p>
        </w:tc>
        <w:tc>
          <w:tcPr>
            <w:tcW w:w="1620" w:type="dxa"/>
            <w:vAlign w:val="bottom"/>
            <w:gridSpan w:val="3"/>
          </w:tcPr>
          <w:p>
            <w:pPr>
              <w:spacing w:after="0"/>
              <w:rPr>
                <w:sz w:val="20"/>
                <w:szCs w:val="20"/>
                <w:color w:val="auto"/>
              </w:rPr>
            </w:pPr>
            <w:r>
              <w:rPr>
                <w:rFonts w:ascii="Arial" w:cs="Arial" w:eastAsia="Arial" w:hAnsi="Arial"/>
                <w:sz w:val="13"/>
                <w:szCs w:val="13"/>
                <w:b w:val="1"/>
                <w:bCs w:val="1"/>
                <w:color w:val="auto"/>
              </w:rPr>
              <w:t>September 30, 2020</w:t>
            </w:r>
          </w:p>
        </w:tc>
        <w:tc>
          <w:tcPr>
            <w:tcW w:w="1560" w:type="dxa"/>
            <w:vAlign w:val="bottom"/>
            <w:gridSpan w:val="3"/>
          </w:tcPr>
          <w:p>
            <w:pPr>
              <w:spacing w:after="0"/>
              <w:rPr>
                <w:sz w:val="20"/>
                <w:szCs w:val="20"/>
                <w:color w:val="auto"/>
              </w:rPr>
            </w:pPr>
            <w:r>
              <w:rPr>
                <w:rFonts w:ascii="Arial" w:cs="Arial" w:eastAsia="Arial" w:hAnsi="Arial"/>
                <w:sz w:val="13"/>
                <w:szCs w:val="13"/>
                <w:b w:val="1"/>
                <w:bCs w:val="1"/>
                <w:color w:val="auto"/>
              </w:rPr>
              <w:t>December 31, 2020</w:t>
            </w:r>
          </w:p>
        </w:tc>
        <w:tc>
          <w:tcPr>
            <w:tcW w:w="168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3"/>
                <w:szCs w:val="13"/>
                <w:b w:val="1"/>
                <w:bCs w:val="1"/>
                <w:color w:val="auto"/>
                <w:w w:val="93"/>
              </w:rPr>
              <w:t>December 31, 2019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(46,493)</w:t>
            </w:r>
          </w:p>
        </w:tc>
        <w:tc>
          <w:tcPr>
            <w:tcW w:w="4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(35,295)</w:t>
            </w:r>
          </w:p>
        </w:tc>
        <w:tc>
          <w:tcPr>
            <w:tcW w:w="4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58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32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7"/>
                <w:szCs w:val="17"/>
                <w:color w:val="auto"/>
              </w:rPr>
              <w:t>23,956</w:t>
            </w:r>
          </w:p>
        </w:tc>
        <w:tc>
          <w:tcPr>
            <w:tcW w:w="4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27,802</w:t>
            </w:r>
          </w:p>
        </w:tc>
        <w:tc>
          <w:tcPr>
            <w:tcW w:w="42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36,490</w:t>
            </w:r>
          </w:p>
        </w:tc>
        <w:tc>
          <w:tcPr>
            <w:tcW w:w="10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18,204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Loss from extinguishment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of debt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9,873</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Depreciation</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1,193</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817</w:t>
            </w:r>
          </w:p>
        </w:tc>
        <w:tc>
          <w:tcPr>
            <w:tcW w:w="42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1,152</w:t>
            </w:r>
          </w:p>
        </w:tc>
        <w:tc>
          <w:tcPr>
            <w:tcW w:w="10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456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Amortization of intangible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assets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43,517</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43,498</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58,428</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30,617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0"/>
        </w:trPr>
        <w:tc>
          <w:tcPr>
            <w:tcW w:w="22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EBITDA</w:t>
            </w: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2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7"/>
                <w:szCs w:val="17"/>
                <w:color w:val="auto"/>
              </w:rPr>
              <w:t>32,046</w:t>
            </w:r>
          </w:p>
        </w:tc>
        <w:tc>
          <w:tcPr>
            <w:tcW w:w="4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36,822</w:t>
            </w:r>
          </w:p>
        </w:tc>
        <w:tc>
          <w:tcPr>
            <w:tcW w:w="4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44,913</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15,498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line="218" w:lineRule="exact"/>
              <w:rPr>
                <w:sz w:val="20"/>
                <w:szCs w:val="20"/>
                <w:color w:val="auto"/>
              </w:rPr>
            </w:pPr>
            <w:r>
              <w:rPr>
                <w:rFonts w:ascii="Arial" w:cs="Arial" w:eastAsia="Arial" w:hAnsi="Arial"/>
                <w:sz w:val="17"/>
                <w:szCs w:val="17"/>
                <w:color w:val="auto"/>
              </w:rPr>
              <w:t>net</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(143)</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00" w:type="dxa"/>
            <w:vAlign w:val="bottom"/>
            <w:gridSpan w:val="2"/>
          </w:tcPr>
          <w:p>
            <w:pPr>
              <w:spacing w:after="0" w:line="188" w:lineRule="exact"/>
              <w:rPr>
                <w:sz w:val="20"/>
                <w:szCs w:val="20"/>
                <w:color w:val="auto"/>
              </w:rPr>
            </w:pPr>
            <w:r>
              <w:rPr>
                <w:rFonts w:ascii="Arial" w:cs="Arial" w:eastAsia="Arial" w:hAnsi="Arial"/>
                <w:sz w:val="17"/>
                <w:szCs w:val="17"/>
                <w:color w:val="auto"/>
              </w:rPr>
              <w:t>Equity compensation</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tcPr>
          <w:p>
            <w:pPr>
              <w:ind w:left="140"/>
              <w:spacing w:after="0" w:line="218" w:lineRule="exact"/>
              <w:rPr>
                <w:sz w:val="20"/>
                <w:szCs w:val="20"/>
                <w:color w:val="auto"/>
              </w:rPr>
            </w:pPr>
            <w:r>
              <w:rPr>
                <w:rFonts w:ascii="Arial" w:cs="Arial" w:eastAsia="Arial" w:hAnsi="Arial"/>
                <w:sz w:val="17"/>
                <w:szCs w:val="17"/>
                <w:color w:val="auto"/>
              </w:rPr>
              <w:t>costs</w:t>
            </w:r>
            <w:r>
              <w:rPr>
                <w:rFonts w:ascii="Arial" w:cs="Arial" w:eastAsia="Arial" w:hAnsi="Arial"/>
                <w:sz w:val="23"/>
                <w:szCs w:val="23"/>
                <w:color w:val="auto"/>
                <w:vertAlign w:val="superscript"/>
              </w:rPr>
              <w:t>(b)</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4,338</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1,330</w:t>
            </w:r>
          </w:p>
        </w:tc>
        <w:tc>
          <w:tcPr>
            <w:tcW w:w="4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1,747</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744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5,807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Acquisition related</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line="218" w:lineRule="exact"/>
              <w:rPr>
                <w:sz w:val="20"/>
                <w:szCs w:val="20"/>
                <w:color w:val="auto"/>
              </w:rPr>
            </w:pPr>
            <w:r>
              <w:rPr>
                <w:rFonts w:ascii="Arial" w:cs="Arial" w:eastAsia="Arial" w:hAnsi="Arial"/>
                <w:sz w:val="17"/>
                <w:szCs w:val="17"/>
                <w:color w:val="auto"/>
              </w:rPr>
              <w:t>expenses</w:t>
            </w:r>
            <w:r>
              <w:rPr>
                <w:rFonts w:ascii="Arial" w:cs="Arial" w:eastAsia="Arial" w:hAnsi="Arial"/>
                <w:sz w:val="23"/>
                <w:szCs w:val="23"/>
                <w:color w:val="auto"/>
                <w:vertAlign w:val="superscript"/>
              </w:rPr>
              <w:t>(c)</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3,332</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748</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3,776</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14,703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00" w:type="dxa"/>
            <w:vAlign w:val="bottom"/>
            <w:gridSpan w:val="2"/>
          </w:tcPr>
          <w:p>
            <w:pPr>
              <w:spacing w:after="0" w:line="188" w:lineRule="exact"/>
              <w:rPr>
                <w:sz w:val="20"/>
                <w:szCs w:val="20"/>
                <w:color w:val="auto"/>
              </w:rPr>
            </w:pPr>
            <w:r>
              <w:rPr>
                <w:rFonts w:ascii="Arial" w:cs="Arial" w:eastAsia="Arial" w:hAnsi="Arial"/>
                <w:sz w:val="17"/>
                <w:szCs w:val="17"/>
                <w:color w:val="auto"/>
              </w:rPr>
              <w:t>Non-recurring and one-time</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tcPr>
          <w:p>
            <w:pPr>
              <w:ind w:left="140"/>
              <w:spacing w:after="0" w:line="218" w:lineRule="exact"/>
              <w:rPr>
                <w:sz w:val="20"/>
                <w:szCs w:val="20"/>
                <w:color w:val="auto"/>
              </w:rPr>
            </w:pPr>
            <w:r>
              <w:rPr>
                <w:rFonts w:ascii="Arial" w:cs="Arial" w:eastAsia="Arial" w:hAnsi="Arial"/>
                <w:sz w:val="17"/>
                <w:szCs w:val="17"/>
                <w:color w:val="auto"/>
              </w:rPr>
              <w:t>adjustments</w:t>
            </w:r>
            <w:r>
              <w:rPr>
                <w:rFonts w:ascii="Arial" w:cs="Arial" w:eastAsia="Arial" w:hAnsi="Arial"/>
                <w:sz w:val="23"/>
                <w:szCs w:val="23"/>
                <w:color w:val="auto"/>
                <w:vertAlign w:val="superscript"/>
              </w:rPr>
              <w:t>(d)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3,313</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1,804</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2,847</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3,193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Adjusted EBITDA</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42,886</w:t>
            </w: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40,704</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53,505</w:t>
            </w:r>
          </w:p>
        </w:tc>
        <w:tc>
          <w:tcPr>
            <w:tcW w:w="100" w:type="dxa"/>
            <w:vAlign w:val="bottom"/>
            <w:shd w:val="clear" w:color="auto" w:fill="CCEEFF"/>
          </w:tcPr>
          <w:p>
            <w:pPr>
              <w:spacing w:after="0"/>
              <w:rPr>
                <w:sz w:val="17"/>
                <w:szCs w:val="17"/>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18,651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32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7"/>
                <w:szCs w:val="17"/>
                <w:color w:val="auto"/>
              </w:rPr>
              <w:t>119,841</w:t>
            </w:r>
          </w:p>
        </w:tc>
        <w:tc>
          <w:tcPr>
            <w:tcW w:w="4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84,659</w:t>
            </w:r>
          </w:p>
        </w:tc>
        <w:tc>
          <w:tcPr>
            <w:tcW w:w="42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118,317</w:t>
            </w:r>
          </w:p>
        </w:tc>
        <w:tc>
          <w:tcPr>
            <w:tcW w:w="10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40,045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Adjusted EBITDA Margin</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36%</w:t>
            </w: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48%</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7"/>
                <w:szCs w:val="17"/>
                <w:color w:val="auto"/>
              </w:rPr>
            </w:pPr>
          </w:p>
        </w:tc>
        <w:tc>
          <w:tcPr>
            <w:tcW w:w="15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5726430</wp:posOffset>
            </wp:positionH>
            <wp:positionV relativeFrom="paragraph">
              <wp:posOffset>-264795</wp:posOffset>
            </wp:positionV>
            <wp:extent cx="241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6" w:lineRule="exact"/>
        <w:rPr>
          <w:sz w:val="20"/>
          <w:szCs w:val="20"/>
          <w:color w:val="auto"/>
        </w:rPr>
      </w:pPr>
    </w:p>
    <w:p>
      <w:pPr>
        <w:ind w:left="860" w:hanging="403"/>
        <w:spacing w:after="0"/>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8" w:lineRule="exact"/>
        <w:rPr>
          <w:rFonts w:ascii="Arial" w:cs="Arial" w:eastAsia="Arial" w:hAnsi="Arial"/>
          <w:sz w:val="17"/>
          <w:szCs w:val="17"/>
          <w:color w:val="auto"/>
        </w:rPr>
      </w:pPr>
    </w:p>
    <w:p>
      <w:pPr>
        <w:ind w:left="860" w:right="480" w:hanging="403"/>
        <w:spacing w:after="0" w:line="248" w:lineRule="auto"/>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860" w:right="20" w:hanging="403"/>
        <w:spacing w:after="0" w:line="248" w:lineRule="auto"/>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Acquisition related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jc w:val="both"/>
        <w:ind w:left="860" w:right="40" w:hanging="403"/>
        <w:spacing w:after="0" w:line="295" w:lineRule="auto"/>
        <w:tabs>
          <w:tab w:leader="none" w:pos="8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Dollar Retention Rate</w:t>
      </w:r>
    </w:p>
    <w:p>
      <w:pPr>
        <w:spacing w:after="0" w:line="108" w:lineRule="exact"/>
        <w:rPr>
          <w:sz w:val="20"/>
          <w:szCs w:val="20"/>
          <w:color w:val="auto"/>
        </w:rPr>
      </w:pPr>
    </w:p>
    <w:p>
      <w:pPr>
        <w:ind w:left="460" w:right="140" w:firstLine="413"/>
        <w:spacing w:after="0" w:line="254" w:lineRule="auto"/>
        <w:rPr>
          <w:sz w:val="20"/>
          <w:szCs w:val="20"/>
          <w:color w:val="auto"/>
        </w:rPr>
      </w:pPr>
      <w:r>
        <w:rPr>
          <w:rFonts w:ascii="Arial" w:cs="Arial" w:eastAsia="Arial" w:hAnsi="Arial"/>
          <w:sz w:val="17"/>
          <w:szCs w:val="17"/>
          <w:color w:val="auto"/>
        </w:rPr>
        <w:t>We believe the growth in use of our platform by our existing customers is an important measure of the health of our business and our future growth prospects. We monitor our NDR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800"/>
          </w:cols>
          <w:pgMar w:left="320" w:top="465" w:right="77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graphic presents overall NDR, as well as NDR by customer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157480</wp:posOffset>
            </wp:positionV>
            <wp:extent cx="4495165" cy="17691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495165" cy="176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Current Remaining Performance Obligations</w:t>
      </w:r>
    </w:p>
    <w:p>
      <w:pPr>
        <w:spacing w:after="0" w:line="108" w:lineRule="exact"/>
        <w:rPr>
          <w:sz w:val="20"/>
          <w:szCs w:val="20"/>
          <w:color w:val="auto"/>
        </w:rPr>
      </w:pPr>
    </w:p>
    <w:p>
      <w:pPr>
        <w:ind w:left="460" w:right="80" w:firstLine="413"/>
        <w:spacing w:after="0" w:line="296" w:lineRule="auto"/>
        <w:rPr>
          <w:sz w:val="20"/>
          <w:szCs w:val="20"/>
          <w:color w:val="auto"/>
        </w:rPr>
      </w:pPr>
      <w:r>
        <w:rPr>
          <w:rFonts w:ascii="Arial" w:cs="Arial" w:eastAsia="Arial" w:hAnsi="Arial"/>
          <w:sz w:val="15"/>
          <w:szCs w:val="15"/>
          <w:color w:val="auto"/>
        </w:rPr>
        <w:t>We monitor current remaining performance obligations as a metric to help us evaluate the health of our business and identify trends affecting our growth. Current Remaining Performance Obligations (“cRPO”) represent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presents cRPO as of September 30, 2021, December 31, 2020 and December 31, 2019:</w:t>
      </w:r>
    </w:p>
    <w:p>
      <w:pPr>
        <w:spacing w:after="0" w:line="240"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880" w:type="dxa"/>
            <w:vAlign w:val="bottom"/>
            <w:gridSpan w:val="2"/>
            <w:vMerge w:val="restart"/>
          </w:tcPr>
          <w:p>
            <w:pPr>
              <w:spacing w:after="0"/>
              <w:rPr>
                <w:sz w:val="20"/>
                <w:szCs w:val="20"/>
                <w:color w:val="auto"/>
              </w:rPr>
            </w:pPr>
            <w:r>
              <w:rPr>
                <w:rFonts w:ascii="Arial" w:cs="Arial" w:eastAsia="Arial" w:hAnsi="Arial"/>
                <w:sz w:val="13"/>
                <w:szCs w:val="13"/>
                <w:color w:val="auto"/>
              </w:rPr>
              <w:t>($ in thousands)</w:t>
            </w:r>
          </w:p>
        </w:tc>
        <w:tc>
          <w:tcPr>
            <w:tcW w:w="2820" w:type="dxa"/>
            <w:vAlign w:val="bottom"/>
            <w:gridSpan w:val="2"/>
          </w:tcPr>
          <w:p>
            <w:pPr>
              <w:jc w:val="center"/>
              <w:ind w:left="1933"/>
              <w:spacing w:after="0"/>
              <w:rPr>
                <w:sz w:val="20"/>
                <w:szCs w:val="20"/>
                <w:color w:val="auto"/>
              </w:rPr>
            </w:pPr>
            <w:r>
              <w:rPr>
                <w:rFonts w:ascii="Arial" w:cs="Arial" w:eastAsia="Arial" w:hAnsi="Arial"/>
                <w:sz w:val="13"/>
                <w:szCs w:val="13"/>
                <w:b w:val="1"/>
                <w:bCs w:val="1"/>
                <w:color w:val="auto"/>
                <w:w w:val="92"/>
              </w:rPr>
              <w:t>September 30,</w:t>
            </w:r>
          </w:p>
        </w:tc>
        <w:tc>
          <w:tcPr>
            <w:tcW w:w="1460" w:type="dxa"/>
            <w:vAlign w:val="bottom"/>
            <w:gridSpan w:val="2"/>
          </w:tcPr>
          <w:p>
            <w:pPr>
              <w:ind w:left="680"/>
              <w:spacing w:after="0"/>
              <w:rPr>
                <w:sz w:val="20"/>
                <w:szCs w:val="20"/>
                <w:color w:val="auto"/>
              </w:rPr>
            </w:pPr>
            <w:r>
              <w:rPr>
                <w:rFonts w:ascii="Arial" w:cs="Arial" w:eastAsia="Arial" w:hAnsi="Arial"/>
                <w:sz w:val="13"/>
                <w:szCs w:val="13"/>
                <w:b w:val="1"/>
                <w:bCs w:val="1"/>
                <w:color w:val="auto"/>
                <w:w w:val="89"/>
              </w:rPr>
              <w:t>December 31,</w:t>
            </w:r>
          </w:p>
        </w:tc>
        <w:tc>
          <w:tcPr>
            <w:tcW w:w="152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2"/>
        </w:trPr>
        <w:tc>
          <w:tcPr>
            <w:tcW w:w="2880" w:type="dxa"/>
            <w:vAlign w:val="bottom"/>
            <w:gridSpan w:val="2"/>
            <w:vMerge w:val="continue"/>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6"/>
              </w:rPr>
              <w:t>2021</w:t>
            </w:r>
          </w:p>
        </w:tc>
        <w:tc>
          <w:tcPr>
            <w:tcW w:w="680" w:type="dxa"/>
            <w:vAlign w:val="bottom"/>
          </w:tcPr>
          <w:p>
            <w:pPr>
              <w:spacing w:after="0"/>
              <w:rPr>
                <w:sz w:val="11"/>
                <w:szCs w:val="11"/>
                <w:color w:val="auto"/>
              </w:rPr>
            </w:pPr>
          </w:p>
        </w:tc>
        <w:tc>
          <w:tcPr>
            <w:tcW w:w="780" w:type="dxa"/>
            <w:vAlign w:val="bottom"/>
            <w:tcBorders>
              <w:top w:val="single" w:sz="8" w:color="auto"/>
            </w:tcBorders>
          </w:tcPr>
          <w:p>
            <w:pPr>
              <w:jc w:val="right"/>
              <w:ind w:right="184"/>
              <w:spacing w:after="0" w:line="132" w:lineRule="exact"/>
              <w:rPr>
                <w:sz w:val="20"/>
                <w:szCs w:val="20"/>
                <w:color w:val="auto"/>
              </w:rPr>
            </w:pPr>
            <w:r>
              <w:rPr>
                <w:rFonts w:ascii="Arial" w:cs="Arial" w:eastAsia="Arial" w:hAnsi="Arial"/>
                <w:sz w:val="13"/>
                <w:szCs w:val="13"/>
                <w:b w:val="1"/>
                <w:bCs w:val="1"/>
                <w:color w:val="auto"/>
              </w:rPr>
              <w:t>2020</w:t>
            </w:r>
          </w:p>
        </w:tc>
        <w:tc>
          <w:tcPr>
            <w:tcW w:w="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84"/>
              <w:spacing w:after="0" w:line="132"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Current</w:t>
            </w:r>
          </w:p>
        </w:tc>
        <w:tc>
          <w:tcPr>
            <w:tcW w:w="20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  128,653</w:t>
            </w:r>
          </w:p>
        </w:tc>
        <w:tc>
          <w:tcPr>
            <w:tcW w:w="6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  114,284</w:t>
            </w: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82,291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Impact of Acquisitions</w:t>
      </w:r>
    </w:p>
    <w:p>
      <w:pPr>
        <w:spacing w:after="0" w:line="112"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 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Impact of the Advent Acquisition</w:t>
      </w:r>
    </w:p>
    <w:p>
      <w:pPr>
        <w:spacing w:after="0" w:line="112"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On July 16, 2019, Advent acquired us for $1,699.6 million, consisting of $1,129.3 million of cash and $570.3 million in equity. The acquisition was accounted for as a business combination. Accordingly, we applied</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780"/>
          </w:cols>
          <w:pgMar w:left="320" w:top="465" w:right="7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291" w:lineRule="auto"/>
        <w:rPr>
          <w:sz w:val="20"/>
          <w:szCs w:val="20"/>
          <w:color w:val="auto"/>
        </w:rPr>
      </w:pPr>
      <w:r>
        <w:rPr>
          <w:rFonts w:ascii="Arial" w:cs="Arial" w:eastAsia="Arial" w:hAnsi="Arial"/>
          <w:sz w:val="15"/>
          <w:szCs w:val="15"/>
          <w:color w:val="auto"/>
        </w:rPr>
        <w:t>purchase accounting, which has resulted in increased amortization expense associated with the amortization of specified assets. In addition, we are recording deferred revenue purchase accounting adjustments related to the acquisition in Successor periods. As part of the acquisition, we entered into the 2019 Credit Agreement which provided for a $450.0 million term loan payable, a $100.0 million committed delayed draw term loan, and a $25.0 million revolving debt facility. As a result, our interest expense increased substantially and is reflected in our Successor periods consolidated financial statements. Accordingly, the consolidated financial statements for the period prior to the acquisition may not be comparable to those from the periods after. See Note 3 of the consolidated financial statements included elsewhere in this prospectus for more detail on the acquisition. We repaid the indebtedness outstanding under the credit agreement using the proceeds from the IPO and the Senior Credit Facilities (as defined herein).</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108"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For the nine months ended September 30, 2021 and the year ended December 31, 2020, we derived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A substantial majority of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08" w:lineRule="exact"/>
        <w:rPr>
          <w:sz w:val="20"/>
          <w:szCs w:val="20"/>
          <w:color w:val="auto"/>
        </w:rPr>
      </w:pPr>
    </w:p>
    <w:p>
      <w:pPr>
        <w:ind w:left="460" w:right="80" w:firstLine="413"/>
        <w:spacing w:after="0" w:line="293"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excluding amortization of acquired technology and data, consists of direct expenses related to the support and</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and expenses related to third party subscription services that manage our billing.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55" w:lineRule="exact"/>
        <w:rPr>
          <w:sz w:val="20"/>
          <w:szCs w:val="20"/>
          <w:color w:val="auto"/>
        </w:rPr>
      </w:pPr>
    </w:p>
    <w:p>
      <w:pPr>
        <w:ind w:left="460" w:right="480" w:firstLine="413"/>
        <w:spacing w:after="0" w:line="272" w:lineRule="auto"/>
        <w:rPr>
          <w:sz w:val="20"/>
          <w:szCs w:val="20"/>
          <w:color w:val="auto"/>
        </w:rPr>
      </w:pPr>
      <w:r>
        <w:rPr>
          <w:rFonts w:ascii="Arial" w:cs="Arial" w:eastAsia="Arial" w:hAnsi="Arial"/>
          <w:sz w:val="17"/>
          <w:szCs w:val="17"/>
          <w:i w:val="1"/>
          <w:iCs w:val="1"/>
          <w:color w:val="auto"/>
        </w:rPr>
        <w:t>Amortization</w:t>
      </w:r>
      <w:r>
        <w:rPr>
          <w:rFonts w:ascii="Arial" w:cs="Arial" w:eastAsia="Arial" w:hAnsi="Arial"/>
          <w:sz w:val="17"/>
          <w:szCs w:val="17"/>
          <w:color w:val="auto"/>
        </w:rPr>
        <w:t>. Includes amortization expense for technology and data acquired in business combinations and asset purchase agreements. We</w:t>
      </w:r>
      <w:r>
        <w:rPr>
          <w:rFonts w:ascii="Arial" w:cs="Arial" w:eastAsia="Arial" w:hAnsi="Arial"/>
          <w:sz w:val="17"/>
          <w:szCs w:val="17"/>
          <w:i w:val="1"/>
          <w:iCs w:val="1"/>
          <w:color w:val="auto"/>
        </w:rPr>
        <w:t xml:space="preserve"> </w:t>
      </w:r>
      <w:r>
        <w:rPr>
          <w:rFonts w:ascii="Arial" w:cs="Arial" w:eastAsia="Arial" w:hAnsi="Arial"/>
          <w:sz w:val="17"/>
          <w:szCs w:val="17"/>
          <w:color w:val="auto"/>
        </w:rPr>
        <w:t>anticipate that amortization will only increase if we make additional acquisitions in the future.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Gross Profit</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1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780"/>
          </w:cols>
          <w:pgMar w:left="320" w:top="465" w:right="79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8"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50" w:lineRule="exact"/>
        <w:rPr>
          <w:sz w:val="20"/>
          <w:szCs w:val="20"/>
          <w:color w:val="auto"/>
        </w:rPr>
      </w:pPr>
    </w:p>
    <w:p>
      <w:pPr>
        <w:ind w:left="460" w:right="40" w:firstLine="413"/>
        <w:spacing w:after="0" w:line="296"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Sales and marketing expenses primarily consist of personnel costs such as salaries, bonuses, sales commissions,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114"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i w:val="1"/>
          <w:iCs w:val="1"/>
          <w:color w:val="auto"/>
        </w:rPr>
        <w:t>Product development</w:t>
      </w:r>
      <w:r>
        <w:rPr>
          <w:rFonts w:ascii="Arial" w:cs="Arial" w:eastAsia="Arial" w:hAnsi="Arial"/>
          <w:sz w:val="15"/>
          <w:szCs w:val="15"/>
          <w:color w:val="auto"/>
        </w:rPr>
        <w:t>. Product development expenses primarily consist of personnel costs such as salaries, bonuses, stock-based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17" w:lineRule="exact"/>
        <w:rPr>
          <w:sz w:val="20"/>
          <w:szCs w:val="20"/>
          <w:color w:val="auto"/>
        </w:rPr>
      </w:pPr>
    </w:p>
    <w:p>
      <w:pPr>
        <w:ind w:left="460" w:right="200" w:firstLine="413"/>
        <w:spacing w:after="0" w:line="290"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General and administrative expenses primarily consist of personnel costs such as salaries, bonuses,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executive, finance, legal, human resources, IT and operations, and administrative teams, as well as non-personnel costs including overhead costs, professional fees, third party payment processor fees and other corporate expenses including expenses associated with preparation for this public offering. We anticipate that general and administrative costs will significantly increase relative to prior periods due to the incremental costs associated with operating as a public company, including incremental costs arising from higher stock-based compensation, corporate insurance costs, additional accounting and legal expenses, and additional resources associated with controls, reporting, and disclosure. We expect general and administrative costs as a percentage of revenue to increase in 2021 and again in 2022, and then stay consistent or modestly decrease thereafter, as we realize operating leverage in the business.</w:t>
      </w:r>
    </w:p>
    <w:p>
      <w:pPr>
        <w:spacing w:after="0" w:line="131" w:lineRule="exact"/>
        <w:rPr>
          <w:sz w:val="20"/>
          <w:szCs w:val="20"/>
          <w:color w:val="auto"/>
        </w:rPr>
      </w:pPr>
    </w:p>
    <w:p>
      <w:pPr>
        <w:ind w:left="460" w:right="140" w:firstLine="413"/>
        <w:spacing w:after="0" w:line="25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amortization of customer relationships and trade</w:t>
      </w:r>
      <w:r>
        <w:rPr>
          <w:rFonts w:ascii="Arial" w:cs="Arial" w:eastAsia="Arial" w:hAnsi="Arial"/>
          <w:sz w:val="17"/>
          <w:szCs w:val="17"/>
          <w:i w:val="1"/>
          <w:iCs w:val="1"/>
          <w:color w:val="auto"/>
        </w:rPr>
        <w:t xml:space="preserve"> </w:t>
      </w:r>
      <w:r>
        <w:rPr>
          <w:rFonts w:ascii="Arial" w:cs="Arial" w:eastAsia="Arial" w:hAnsi="Arial"/>
          <w:sz w:val="17"/>
          <w:szCs w:val="17"/>
          <w:color w:val="auto"/>
        </w:rPr>
        <w:t>names primarily as a result of the accounting for the Advent acquisition, as well as depreciation of property and equipment. We anticipate depreciation of property and equipment as a percentage of revenue to remain consistent or moderately decrease. Amortization will increase if we make additional acquisitions in the future.</w:t>
      </w:r>
    </w:p>
    <w:p>
      <w:pPr>
        <w:spacing w:after="0" w:line="141" w:lineRule="exact"/>
        <w:rPr>
          <w:sz w:val="20"/>
          <w:szCs w:val="20"/>
          <w:color w:val="auto"/>
        </w:rPr>
      </w:pPr>
    </w:p>
    <w:p>
      <w:pPr>
        <w:ind w:left="460" w:right="200" w:firstLine="413"/>
        <w:spacing w:after="0" w:line="303" w:lineRule="auto"/>
        <w:rPr>
          <w:sz w:val="20"/>
          <w:szCs w:val="20"/>
          <w:color w:val="auto"/>
        </w:rPr>
      </w:pPr>
      <w:r>
        <w:rPr>
          <w:rFonts w:ascii="Arial" w:cs="Arial" w:eastAsia="Arial" w:hAnsi="Arial"/>
          <w:sz w:val="16"/>
          <w:szCs w:val="16"/>
          <w:i w:val="1"/>
          <w:iCs w:val="1"/>
          <w:color w:val="auto"/>
        </w:rPr>
        <w:t xml:space="preserve">Transaction expenses. </w:t>
      </w:r>
      <w:r>
        <w:rPr>
          <w:rFonts w:ascii="Arial" w:cs="Arial" w:eastAsia="Arial" w:hAnsi="Arial"/>
          <w:sz w:val="16"/>
          <w:szCs w:val="16"/>
          <w:color w:val="auto"/>
        </w:rPr>
        <w:t>Transaction expenses are costs directly associated with various acquisition and integration activities we have undertaken,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accounting, legal due diligence, consulting and advisory fees, and fair value adjustments for contingent consideration.</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Other expense, net consists primarily of interest expense, net and foreign currency transaction gains or loss.</w:t>
      </w:r>
    </w:p>
    <w:p>
      <w:pPr>
        <w:spacing w:after="0" w:line="210"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consists primarily of interest expense on our debt obligations and the amortization of debt discounts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debt issuance costs, less interest income. We expect to realize a reduction in our interest expense during 2021 over prior periods as we plan to repay a portion of our outstanding indebtedness with the proceeds from this offering.</w:t>
      </w: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780"/>
          </w:cols>
          <w:pgMar w:left="320" w:top="465" w:right="79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i w:val="1"/>
          <w:iCs w:val="1"/>
          <w:color w:val="auto"/>
        </w:rPr>
        <w:t>Foreign currency transaction loss</w:t>
      </w:r>
      <w:r>
        <w:rPr>
          <w:rFonts w:ascii="Arial" w:cs="Arial" w:eastAsia="Arial" w:hAnsi="Arial"/>
          <w:sz w:val="17"/>
          <w:szCs w:val="17"/>
          <w:color w:val="auto"/>
        </w:rPr>
        <w:t>. Foreign currency transaction loss consists primarily of realized and unrealized gains and losses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of transactions denominated in a foreign currency. We do not have significant exposure to foreign exchange volatility and do not anticipate foreign currency transaction gains or losses to materially impact our results of operations.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Results of Operations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our consolidated statements of operations for the periods presented:</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gridSpan w:val="4"/>
            <w:vMerge w:val="restart"/>
          </w:tcPr>
          <w:p>
            <w:pPr>
              <w:jc w:val="center"/>
              <w:ind w:right="700"/>
              <w:spacing w:after="0"/>
              <w:rPr>
                <w:sz w:val="20"/>
                <w:szCs w:val="20"/>
                <w:color w:val="auto"/>
              </w:rPr>
            </w:pPr>
            <w:r>
              <w:rPr>
                <w:rFonts w:ascii="Arial" w:cs="Arial" w:eastAsia="Arial" w:hAnsi="Arial"/>
                <w:sz w:val="13"/>
                <w:szCs w:val="13"/>
                <w:b w:val="1"/>
                <w:bCs w:val="1"/>
                <w:color w:val="auto"/>
                <w:w w:val="96"/>
              </w:rPr>
              <w:t>Definitive OpCo</w:t>
            </w: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3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6"/>
          </w:tcPr>
          <w:p>
            <w:pPr>
              <w:jc w:val="center"/>
              <w:ind w:right="60"/>
              <w:spacing w:after="0" w:line="139" w:lineRule="exact"/>
              <w:rPr>
                <w:sz w:val="20"/>
                <w:szCs w:val="20"/>
                <w:color w:val="auto"/>
              </w:rPr>
            </w:pPr>
            <w:r>
              <w:rPr>
                <w:rFonts w:ascii="Arial" w:cs="Arial" w:eastAsia="Arial" w:hAnsi="Arial"/>
                <w:sz w:val="13"/>
                <w:szCs w:val="13"/>
                <w:b w:val="1"/>
                <w:bCs w:val="1"/>
                <w:color w:val="auto"/>
              </w:rPr>
              <w:t>(AIDH TopCo, LLC)</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3"/>
                <w:szCs w:val="13"/>
                <w:b w:val="1"/>
                <w:bCs w:val="1"/>
                <w:color w:val="auto"/>
                <w:w w:val="88"/>
              </w:rPr>
              <w:t>Successor Company</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4"/>
              </w:rPr>
              <w:t>Company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7"/>
          </w:tcPr>
          <w:p>
            <w:pPr>
              <w:jc w:val="right"/>
              <w:ind w:right="360"/>
              <w:spacing w:after="0" w:line="132" w:lineRule="exact"/>
              <w:rPr>
                <w:sz w:val="20"/>
                <w:szCs w:val="20"/>
                <w:color w:val="auto"/>
              </w:rPr>
            </w:pPr>
            <w:r>
              <w:rPr>
                <w:rFonts w:ascii="Arial" w:cs="Arial" w:eastAsia="Arial" w:hAnsi="Arial"/>
                <w:sz w:val="13"/>
                <w:szCs w:val="13"/>
                <w:b w:val="1"/>
                <w:bCs w:val="1"/>
                <w:color w:val="auto"/>
              </w:rPr>
              <w:t>Nine Months Ended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w w:val="99"/>
              </w:rPr>
              <w:t>Year ended</w:t>
            </w:r>
          </w:p>
        </w:tc>
        <w:tc>
          <w:tcPr>
            <w:tcW w:w="100" w:type="dxa"/>
            <w:vAlign w:val="bottom"/>
          </w:tcPr>
          <w:p>
            <w:pPr>
              <w:spacing w:after="0"/>
              <w:rPr>
                <w:sz w:val="11"/>
                <w:szCs w:val="11"/>
                <w:color w:val="auto"/>
              </w:rPr>
            </w:pPr>
          </w:p>
        </w:tc>
        <w:tc>
          <w:tcPr>
            <w:tcW w:w="1440" w:type="dxa"/>
            <w:vAlign w:val="bottom"/>
            <w:tcBorders>
              <w:right w:val="single" w:sz="8" w:color="auto"/>
            </w:tcBorders>
            <w:gridSpan w:val="2"/>
          </w:tcPr>
          <w:p>
            <w:pPr>
              <w:jc w:val="right"/>
              <w:ind w:right="640"/>
              <w:spacing w:after="0" w:line="132"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39"/>
        </w:trPr>
        <w:tc>
          <w:tcPr>
            <w:tcW w:w="3780" w:type="dxa"/>
            <w:vAlign w:val="bottom"/>
            <w:vMerge w:val="restart"/>
          </w:tcPr>
          <w:p>
            <w:pPr>
              <w:spacing w:after="0"/>
              <w:rPr>
                <w:sz w:val="20"/>
                <w:szCs w:val="20"/>
                <w:color w:val="auto"/>
              </w:rPr>
            </w:pPr>
            <w:r>
              <w:rPr>
                <w:rFonts w:ascii="Arial" w:cs="Arial" w:eastAsia="Arial" w:hAnsi="Arial"/>
                <w:sz w:val="13"/>
                <w:szCs w:val="13"/>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7"/>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right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1"/>
              </w:rPr>
              <w:t>July 16, 2019 to</w:t>
            </w:r>
          </w:p>
        </w:tc>
        <w:tc>
          <w:tcPr>
            <w:tcW w:w="220" w:type="dxa"/>
            <w:vAlign w:val="bottom"/>
          </w:tcPr>
          <w:p>
            <w:pPr>
              <w:spacing w:after="0"/>
              <w:rPr>
                <w:sz w:val="12"/>
                <w:szCs w:val="12"/>
                <w:color w:val="auto"/>
              </w:rPr>
            </w:pPr>
          </w:p>
        </w:tc>
        <w:tc>
          <w:tcPr>
            <w:tcW w:w="13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January 1, 2019 to</w:t>
            </w:r>
          </w:p>
        </w:tc>
        <w:tc>
          <w:tcPr>
            <w:tcW w:w="0" w:type="dxa"/>
            <w:vAlign w:val="bottom"/>
          </w:tcPr>
          <w:p>
            <w:pPr>
              <w:spacing w:after="0"/>
              <w:rPr>
                <w:sz w:val="1"/>
                <w:szCs w:val="1"/>
                <w:color w:val="auto"/>
              </w:rPr>
            </w:pPr>
          </w:p>
        </w:tc>
      </w:tr>
      <w:tr>
        <w:trPr>
          <w:trHeight w:val="145"/>
        </w:trPr>
        <w:tc>
          <w:tcPr>
            <w:tcW w:w="3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8"/>
              <w:spacing w:after="0" w:line="145" w:lineRule="exact"/>
              <w:rPr>
                <w:sz w:val="20"/>
                <w:szCs w:val="20"/>
                <w:color w:val="auto"/>
              </w:rPr>
            </w:pPr>
            <w:r>
              <w:rPr>
                <w:rFonts w:ascii="Arial" w:cs="Arial" w:eastAsia="Arial" w:hAnsi="Arial"/>
                <w:sz w:val="13"/>
                <w:szCs w:val="13"/>
                <w:b w:val="1"/>
                <w:bCs w:val="1"/>
                <w:color w:val="auto"/>
              </w:rPr>
              <w:t>2021</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8"/>
              <w:spacing w:after="0" w:line="145"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December 31, 2020</w:t>
            </w:r>
          </w:p>
        </w:tc>
        <w:tc>
          <w:tcPr>
            <w:tcW w:w="1540" w:type="dxa"/>
            <w:vAlign w:val="bottom"/>
            <w:tcBorders>
              <w:right w:val="single" w:sz="8" w:color="auto"/>
            </w:tcBorders>
            <w:gridSpan w:val="3"/>
          </w:tcPr>
          <w:p>
            <w:pPr>
              <w:spacing w:after="0" w:line="145" w:lineRule="exact"/>
              <w:rPr>
                <w:sz w:val="20"/>
                <w:szCs w:val="20"/>
                <w:color w:val="auto"/>
              </w:rPr>
            </w:pPr>
            <w:r>
              <w:rPr>
                <w:rFonts w:ascii="Arial" w:cs="Arial" w:eastAsia="Arial" w:hAnsi="Arial"/>
                <w:sz w:val="13"/>
                <w:szCs w:val="13"/>
                <w:b w:val="1"/>
                <w:bCs w:val="1"/>
                <w:color w:val="auto"/>
              </w:rPr>
              <w:t>December 31, 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95"/>
        </w:trPr>
        <w:tc>
          <w:tcPr>
            <w:tcW w:w="3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119,841</w:t>
            </w: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84,659</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440" w:type="dxa"/>
            <w:vAlign w:val="bottom"/>
            <w:tcBorders>
              <w:top w:val="single" w:sz="8" w:color="CCEEFF"/>
              <w:right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7"/>
                <w:szCs w:val="17"/>
                <w:color w:val="auto"/>
              </w:rPr>
              <w:t>Cost of revenue: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Cost of revenue exclusive of amortization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shown below</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13,895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4,668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4,830</w:t>
            </w: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15,896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14,278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19,383</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8,614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cost of revenue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29,791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22,154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30,468</w:t>
            </w: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13,282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7"/>
                <w:szCs w:val="17"/>
                <w:b w:val="1"/>
                <w:bCs w:val="1"/>
                <w:color w:val="auto"/>
              </w:rPr>
              <w:t>Gross profit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90,050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62,505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87,849</w:t>
            </w:r>
          </w:p>
        </w:tc>
        <w:tc>
          <w:tcPr>
            <w:tcW w:w="10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26,763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39,003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23,542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34,332</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10,814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Product development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12,817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7,566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3,484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3,961</w:t>
            </w: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18,891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8,105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12,927</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6,365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3,979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28,814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30,037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40,197</w:t>
            </w: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22,459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1,967</w:t>
            </w: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Transaction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3,332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748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3,776</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14,703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operating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102,857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69,998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102,294</w:t>
            </w: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57,825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27,097</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340"/>
              <w:spacing w:after="0"/>
              <w:rPr>
                <w:sz w:val="20"/>
                <w:szCs w:val="20"/>
                <w:color w:val="auto"/>
              </w:rPr>
            </w:pPr>
            <w:r>
              <w:rPr>
                <w:rFonts w:ascii="Arial" w:cs="Arial" w:eastAsia="Arial" w:hAnsi="Arial"/>
                <w:sz w:val="17"/>
                <w:szCs w:val="17"/>
                <w:color w:val="auto"/>
              </w:rPr>
              <w:t>(Loss) income from operations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w w:val="94"/>
              </w:rPr>
              <w:t>(12,807)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(7,493)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(14,445)</w:t>
            </w:r>
          </w:p>
        </w:tc>
        <w:tc>
          <w:tcPr>
            <w:tcW w:w="10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(31,062)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Foreign currency transaction gain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on extinguishment of debt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(9,873)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w w:val="94"/>
              </w:rPr>
              <w:t>(23,956)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(27,802)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(36,490)</w:t>
            </w:r>
          </w:p>
        </w:tc>
        <w:tc>
          <w:tcPr>
            <w:tcW w:w="1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(18,204)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other expense, net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94"/>
              </w:rPr>
              <w:t>(33,686)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(27,802)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(36,712)</w:t>
            </w:r>
          </w:p>
        </w:tc>
        <w:tc>
          <w:tcPr>
            <w:tcW w:w="100" w:type="dxa"/>
            <w:vAlign w:val="bottom"/>
            <w:shd w:val="clear" w:color="auto" w:fill="CCEEFF"/>
          </w:tcPr>
          <w:p>
            <w:pPr>
              <w:spacing w:after="0"/>
              <w:rPr>
                <w:sz w:val="17"/>
                <w:szCs w:val="17"/>
                <w:color w:val="auto"/>
              </w:rPr>
            </w:pPr>
          </w:p>
        </w:tc>
        <w:tc>
          <w:tcPr>
            <w:tcW w:w="14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(18,204)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Net (loss) income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w w:val="94"/>
              </w:rPr>
              <w:t>(46,493)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(35,295)</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(51,157)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4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(49,266)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-2902585</wp:posOffset>
            </wp:positionV>
            <wp:extent cx="241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Nine Months Ended September 30, 2021 Compared to Nine Months Ended September 30, 2020</w:t>
      </w:r>
    </w:p>
    <w:p>
      <w:pPr>
        <w:spacing w:after="0" w:line="108" w:lineRule="exact"/>
        <w:rPr>
          <w:sz w:val="20"/>
          <w:szCs w:val="20"/>
          <w:color w:val="auto"/>
        </w:rPr>
      </w:pPr>
    </w:p>
    <w:p>
      <w:pPr>
        <w:ind w:left="460" w:right="120" w:firstLine="413"/>
        <w:spacing w:after="0" w:line="25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was $119.8 million for the nine months ended September 30, 2021, compared to $84.7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an increase of $35.2 million or 41%, driven by higher subscription revenue of $34.7 million. Of the 41% increase in total revenue, approximately 37% was attributable to net expansion with existing customers and 4% to the addition of new customers inclusive of those acquired through the acquisition of Monocl in October 2020.</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800"/>
          </w:cols>
          <w:pgMar w:left="320" w:top="465" w:right="7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20" w:firstLine="413"/>
        <w:spacing w:after="0" w:line="272"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$29.8 million for the nine months ended September 30, 2021, compared to $22.2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the prior year, an increase of $7.6 million, or 34%. The increase was primarily due to:</w:t>
      </w:r>
    </w:p>
    <w:p>
      <w:pPr>
        <w:spacing w:after="0" w:line="76" w:lineRule="exact"/>
        <w:rPr>
          <w:sz w:val="20"/>
          <w:szCs w:val="20"/>
          <w:color w:val="auto"/>
        </w:rPr>
      </w:pPr>
    </w:p>
    <w:p>
      <w:pPr>
        <w:ind w:left="1360" w:right="180" w:hanging="498"/>
        <w:spacing w:after="0" w:line="256" w:lineRule="auto"/>
        <w:tabs>
          <w:tab w:leader="none" w:pos="13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increase in cost of revenue exclusive of amortization expense of $6.0 million, or 76%, to $13.9 million for the nine months ended September 30, 2021, compared to $7.9 million for the nine months ended September 30, 2020, data subscription contracts and increased hosting fees associated with additional product offerings, and, to a lesser extent, incremental personnel costs resulting from additional hiring during the year;</w:t>
      </w:r>
    </w:p>
    <w:p>
      <w:pPr>
        <w:spacing w:after="0" w:line="90" w:lineRule="exact"/>
        <w:rPr>
          <w:rFonts w:ascii="Arial" w:cs="Arial" w:eastAsia="Arial" w:hAnsi="Arial"/>
          <w:sz w:val="17"/>
          <w:szCs w:val="17"/>
          <w:color w:val="auto"/>
        </w:rPr>
      </w:pPr>
    </w:p>
    <w:p>
      <w:pPr>
        <w:ind w:left="1360" w:hanging="498"/>
        <w:spacing w:after="0" w:line="260" w:lineRule="auto"/>
        <w:tabs>
          <w:tab w:leader="none" w:pos="13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increase in amortization expense of $1.6 million, or 11%, to $15.9 million for the nine months ended September 30, 2021, compared to $14.3 million for the nine months ended September 30, 2020, primarily due to additional amortization of acquired technology that arose from the Monocl acquisition in October 2020.</w:t>
      </w:r>
    </w:p>
    <w:p>
      <w:pPr>
        <w:spacing w:after="0" w:line="175"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$102.9 million for the nine months ended September 30, 2021, compared to $70.0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2020, an increase of $32.9 million, or 47%. The increase was primarily due to:</w:t>
      </w:r>
    </w:p>
    <w:p>
      <w:pPr>
        <w:spacing w:after="0" w:line="76" w:lineRule="exact"/>
        <w:rPr>
          <w:sz w:val="20"/>
          <w:szCs w:val="20"/>
          <w:color w:val="auto"/>
        </w:rPr>
      </w:pPr>
    </w:p>
    <w:p>
      <w:pPr>
        <w:ind w:left="1360" w:right="80" w:hanging="498"/>
        <w:spacing w:after="0" w:line="311"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 increase in sales and marketing expense of $15.5 million, or 66%, to $39.0 million for the nine months ended September 30, 2021, compared to $23.5 million for the nine months ended September 30, 2020, due primarily to additional hiring to drive continued incremental sales and, to a lesser extent, additional sales and marketing resources added through the Monocl acquisition in October 2020;</w:t>
      </w:r>
    </w:p>
    <w:p>
      <w:pPr>
        <w:spacing w:after="0" w:line="51" w:lineRule="exact"/>
        <w:rPr>
          <w:rFonts w:ascii="Arial" w:cs="Arial" w:eastAsia="Arial" w:hAnsi="Arial"/>
          <w:sz w:val="15"/>
          <w:szCs w:val="15"/>
          <w:color w:val="auto"/>
        </w:rPr>
      </w:pPr>
    </w:p>
    <w:p>
      <w:pPr>
        <w:ind w:left="1360" w:right="100" w:hanging="498"/>
        <w:spacing w:after="0" w:line="253" w:lineRule="auto"/>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$10.8 million, or 133%, to $18.9 million for the nine months ended September 30, 2021, compared to $8.1 million for the nine months ended September 30, 2020, due primarily to increased personnel costs arising from additional hiring and the Monocl acquisition, incremental costs associated with preparing for an IPO, and additional accounting and legal expenses. We also incurred $1.9 million and $0.3 million, respectively, of incremental stock-based compensation expense for the acceleration of an equity award associated with the retirement of an executive officer and the issuance of new Class A LLC units during the current period;</w:t>
      </w:r>
    </w:p>
    <w:p>
      <w:pPr>
        <w:spacing w:after="0" w:line="93" w:lineRule="exact"/>
        <w:rPr>
          <w:rFonts w:ascii="Arial" w:cs="Arial" w:eastAsia="Arial" w:hAnsi="Arial"/>
          <w:sz w:val="17"/>
          <w:szCs w:val="17"/>
          <w:color w:val="auto"/>
        </w:rPr>
      </w:pPr>
    </w:p>
    <w:p>
      <w:pPr>
        <w:jc w:val="both"/>
        <w:ind w:left="1360" w:right="300" w:hanging="498"/>
        <w:spacing w:after="0" w:line="311"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 increase in product development expense of $5.3 million, or 69%, to $12.8 million for the nine months ended September 30, 2021, compared to $7.6 million for the nine months ended September 30, 2020, due primarily to incremental personnel costs associated with additional hiring during the year, including product development resources added as a result of the Monocl acquisition;</w:t>
      </w:r>
    </w:p>
    <w:p>
      <w:pPr>
        <w:spacing w:after="0" w:line="51" w:lineRule="exact"/>
        <w:rPr>
          <w:rFonts w:ascii="Arial" w:cs="Arial" w:eastAsia="Arial" w:hAnsi="Arial"/>
          <w:sz w:val="15"/>
          <w:szCs w:val="15"/>
          <w:color w:val="auto"/>
        </w:rPr>
      </w:pPr>
    </w:p>
    <w:p>
      <w:pPr>
        <w:ind w:left="1360" w:right="140" w:hanging="498"/>
        <w:spacing w:after="0" w:line="260" w:lineRule="auto"/>
        <w:tabs>
          <w:tab w:leader="none" w:pos="13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increase in transaction expense of $2.6 million to $3.3 million for the nine months ended September 30, 2021, compared to $0.7 million for the nine months ended September 30, 2020, due primarily to an increase in contingent consideration arising from the Monocl acquisition;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These increases were partially offset by:</w:t>
      </w:r>
    </w:p>
    <w:p>
      <w:pPr>
        <w:spacing w:after="0" w:line="121" w:lineRule="exact"/>
        <w:rPr>
          <w:sz w:val="20"/>
          <w:szCs w:val="20"/>
          <w:color w:val="auto"/>
        </w:rPr>
      </w:pPr>
    </w:p>
    <w:p>
      <w:pPr>
        <w:ind w:left="1360" w:right="400" w:hanging="498"/>
        <w:spacing w:after="0" w:line="272" w:lineRule="auto"/>
        <w:tabs>
          <w:tab w:leader="none" w:pos="13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decrease in depreciation and amortization expense of $1.2 million to $28.8 million for the nine months ended September 30, 2021, compared to $30.0 million for the nine months ended September 30, 2020.</w:t>
      </w:r>
    </w:p>
    <w:p>
      <w:pPr>
        <w:spacing w:after="0" w:line="165"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$33.7 million for the nine months ended September 30, 2021, compared to $27.8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2021, an increase of $5.9 million, or 21%, primarily due to:</w:t>
      </w:r>
    </w:p>
    <w:p>
      <w:pPr>
        <w:spacing w:after="0" w:line="76" w:lineRule="exact"/>
        <w:rPr>
          <w:sz w:val="20"/>
          <w:szCs w:val="20"/>
          <w:color w:val="auto"/>
        </w:rPr>
      </w:pPr>
    </w:p>
    <w:p>
      <w:pPr>
        <w:ind w:left="1360" w:right="220" w:hanging="498"/>
        <w:spacing w:after="0" w:line="272" w:lineRule="auto"/>
        <w:tabs>
          <w:tab w:leader="none" w:pos="13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increase in loss on extinguishment of debt of $9.9 million for the nine months ended September 30, 2021, as compared to nil for the nine months ended September 30, 2020 , partially offset by; and</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740"/>
          </w:cols>
          <w:pgMar w:left="320" w:top="465" w:right="8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160" w:hanging="498"/>
        <w:spacing w:after="0" w:line="260" w:lineRule="auto"/>
        <w:tabs>
          <w:tab w:leader="none" w:pos="1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decrease in interest expense, net of $3.8 million, or 14%, to $24.0 million for the nine months ended September 30, 2021, as compared to $27.8 million for the nine months ended September 30, 2020. The decrease was primarily driven by lower outstanding debt as well as lower interest rates in the current period.</w:t>
      </w:r>
    </w:p>
    <w:p>
      <w:pPr>
        <w:spacing w:after="0" w:line="175" w:lineRule="exact"/>
        <w:rPr>
          <w:sz w:val="20"/>
          <w:szCs w:val="20"/>
          <w:color w:val="auto"/>
        </w:rPr>
      </w:pPr>
    </w:p>
    <w:p>
      <w:pPr>
        <w:ind w:left="460" w:right="320" w:firstLine="413"/>
        <w:spacing w:after="0" w:line="303"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for the nine months ended September 30, 2021 was $46.5 million, compared to net loss of $35.3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an increase of $11.2 million, or 32%. The increase was attributable to the items described above.</w:t>
      </w:r>
    </w:p>
    <w:p>
      <w:pPr>
        <w:spacing w:after="0" w:line="245" w:lineRule="exact"/>
        <w:rPr>
          <w:sz w:val="20"/>
          <w:szCs w:val="20"/>
          <w:color w:val="auto"/>
        </w:rPr>
      </w:pPr>
    </w:p>
    <w:p>
      <w:pPr>
        <w:ind w:left="460" w:right="440"/>
        <w:spacing w:after="0" w:line="272" w:lineRule="auto"/>
        <w:rPr>
          <w:sz w:val="20"/>
          <w:szCs w:val="20"/>
          <w:color w:val="auto"/>
        </w:rPr>
      </w:pPr>
      <w:r>
        <w:rPr>
          <w:rFonts w:ascii="Arial" w:cs="Arial" w:eastAsia="Arial" w:hAnsi="Arial"/>
          <w:sz w:val="17"/>
          <w:szCs w:val="17"/>
          <w:b w:val="1"/>
          <w:bCs w:val="1"/>
          <w:i w:val="1"/>
          <w:iCs w:val="1"/>
          <w:color w:val="auto"/>
        </w:rPr>
        <w:t>Year Ended December 31, 2020 Compared to Period from July 16, 2019 to December 31, 2019 (Successor) and Period from January 1, 2019 to July 15, 2019 (Predecessor)</w:t>
      </w:r>
    </w:p>
    <w:p>
      <w:pPr>
        <w:spacing w:after="0" w:line="63" w:lineRule="exact"/>
        <w:rPr>
          <w:sz w:val="20"/>
          <w:szCs w:val="20"/>
          <w:color w:val="auto"/>
        </w:rPr>
      </w:pPr>
    </w:p>
    <w:p>
      <w:pPr>
        <w:ind w:left="460" w:right="220" w:firstLine="413"/>
        <w:spacing w:after="0" w:line="253"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was $118.3 million for the year ended December 31, 2020, compared to $40.0 million for the period from July 16, 2019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(Successor) and $45.5 million for the period from January 1, 2019 to July 15, 2019 (Predecessor), an increase of $32.8 million, or 38%, driven by higher subscription revenue of $32.0 million. During the year ended December 31, 2020, our total customers increased by 337 from 2,243 as of December 31, 2019 to 2,580 as of December 31, 2020. Of the 38% increase in total revenue, approximately 33% was attributable to net expansion with existing customers and 5% to the addition of new customers inclusive of those acquired through the acquisition of Monocl in October 2020.</w:t>
      </w:r>
    </w:p>
    <w:p>
      <w:pPr>
        <w:spacing w:after="0" w:line="182" w:lineRule="exact"/>
        <w:rPr>
          <w:sz w:val="20"/>
          <w:szCs w:val="20"/>
          <w:color w:val="auto"/>
        </w:rPr>
      </w:pPr>
    </w:p>
    <w:p>
      <w:pPr>
        <w:ind w:left="460" w:right="340" w:firstLine="413"/>
        <w:spacing w:after="0" w:line="26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$30.5 million for the year ended December 31, 2020, compared to $13.3 million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auto"/>
        </w:rPr>
        <w:t>July 16, 2019 to December 31, 2019 (Successor) and $5.3 million for the period from January 1, 2019 to July 15, 2019 (Predecessor), an increase of $11.9 million, or 64%. The increase was primarily due to:</w:t>
      </w:r>
    </w:p>
    <w:p>
      <w:pPr>
        <w:spacing w:after="0" w:line="87" w:lineRule="exact"/>
        <w:rPr>
          <w:sz w:val="20"/>
          <w:szCs w:val="20"/>
          <w:color w:val="auto"/>
        </w:rPr>
      </w:pPr>
    </w:p>
    <w:p>
      <w:pPr>
        <w:ind w:left="1360" w:hanging="498"/>
        <w:spacing w:after="0" w:line="277" w:lineRule="auto"/>
        <w:tabs>
          <w:tab w:leader="none" w:pos="13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 increase in amortization expense of $10.3 million, to $19.4 million for the year ended December 31, 2020, compared to $8.6 million for the period from July 16, 2019 to December 31, 2019 (Successor) and $0.5 million for the period from January 1, 2019 to July 15, 2019 (Predecessor), primarily due to additional amortization of acquired technology that arose from accounting for the Advent acquisition, and, to a lesser extent, the acquisitions of Monocl and HSE in October 2020 and December 2019, respectively.</w:t>
      </w:r>
    </w:p>
    <w:p>
      <w:pPr>
        <w:spacing w:after="0" w:line="75" w:lineRule="exact"/>
        <w:rPr>
          <w:rFonts w:ascii="Arial" w:cs="Arial" w:eastAsia="Arial" w:hAnsi="Arial"/>
          <w:sz w:val="16"/>
          <w:szCs w:val="16"/>
          <w:color w:val="auto"/>
        </w:rPr>
      </w:pPr>
    </w:p>
    <w:p>
      <w:pPr>
        <w:ind w:left="1360" w:hanging="498"/>
        <w:spacing w:after="0"/>
        <w:tabs>
          <w:tab w:leader="none" w:pos="1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increase in cost of revenue exclusive of amortization expense of $1.6 million, or 17%, to $11.1 million for the year ended</w:t>
      </w:r>
    </w:p>
    <w:p>
      <w:pPr>
        <w:spacing w:after="0" w:line="18" w:lineRule="exact"/>
        <w:rPr>
          <w:rFonts w:ascii="Arial" w:cs="Arial" w:eastAsia="Arial" w:hAnsi="Arial"/>
          <w:sz w:val="17"/>
          <w:szCs w:val="17"/>
          <w:color w:val="auto"/>
        </w:rPr>
      </w:pPr>
    </w:p>
    <w:p>
      <w:pPr>
        <w:jc w:val="both"/>
        <w:ind w:left="1360" w:right="20"/>
        <w:spacing w:after="0" w:line="302" w:lineRule="auto"/>
        <w:rPr>
          <w:rFonts w:ascii="Arial" w:cs="Arial" w:eastAsia="Arial" w:hAnsi="Arial"/>
          <w:sz w:val="17"/>
          <w:szCs w:val="17"/>
          <w:color w:val="auto"/>
        </w:rPr>
      </w:pPr>
      <w:r>
        <w:rPr>
          <w:rFonts w:ascii="Arial" w:cs="Arial" w:eastAsia="Arial" w:hAnsi="Arial"/>
          <w:sz w:val="15"/>
          <w:szCs w:val="15"/>
          <w:color w:val="auto"/>
        </w:rPr>
        <w:t>December 31, 2020, compared to $4.7 million for the period from July 16, 2019 to December 31, 2019 (Successor) and $4.8 million for the period from January 1, 2019 to July 15, 2019 (Predecessor), due primarily to additional hiring during the year to support our growth and to a lesser extent, additional resources added through the Monocl acquisition in October 2020 and the HSE acquisition in December 2019.</w:t>
      </w:r>
    </w:p>
    <w:p>
      <w:pPr>
        <w:spacing w:after="0" w:line="148"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$102.3 million for the year ended December 31, 2020, compared to $57.8 million for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16, 2019 to December 31, 2019 (Successor) and $27.1 million for the period from January 1, 2019 to July 15, 2019 (Predecessor), an increase of $17.4 million, or 20%. The increase was primarily due to:</w:t>
      </w:r>
    </w:p>
    <w:p>
      <w:pPr>
        <w:spacing w:after="0" w:line="87" w:lineRule="exact"/>
        <w:rPr>
          <w:sz w:val="20"/>
          <w:szCs w:val="20"/>
          <w:color w:val="auto"/>
        </w:rPr>
      </w:pPr>
    </w:p>
    <w:p>
      <w:pPr>
        <w:jc w:val="both"/>
        <w:ind w:left="1360" w:right="80" w:hanging="498"/>
        <w:spacing w:after="0" w:line="277" w:lineRule="auto"/>
        <w:tabs>
          <w:tab w:leader="none" w:pos="13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 increase in depreciation and amortization expense of $15.7 million, to $40.2 million for the year ended December 31, 2020, compared to $22.5 million for the period from July 16, 2019 to December 31, 2019 (Successor) and $2.0 million for the period from January 1, 2019 to July 15, 2019 (Predecessor), due to additional amortization expense related to intangible assets acquired in the Advent acquisition, and, to a lesser extent, the acquisitions of HSE in December 2019 and Monocl in October 2020;</w:t>
      </w:r>
    </w:p>
    <w:p>
      <w:pPr>
        <w:spacing w:after="0" w:line="75" w:lineRule="exact"/>
        <w:rPr>
          <w:rFonts w:ascii="Arial" w:cs="Arial" w:eastAsia="Arial" w:hAnsi="Arial"/>
          <w:sz w:val="16"/>
          <w:szCs w:val="16"/>
          <w:color w:val="auto"/>
        </w:rPr>
      </w:pPr>
    </w:p>
    <w:p>
      <w:pPr>
        <w:jc w:val="both"/>
        <w:ind w:left="1360" w:right="140" w:hanging="498"/>
        <w:spacing w:after="0" w:line="260" w:lineRule="auto"/>
        <w:tabs>
          <w:tab w:leader="none" w:pos="13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increase in sales and marketing expense of $7.5 million, or 28%, to $34.3 million for the year ended December 31, 2020, compared to $10.8 million for the period from July 16, 2019 to December 31, 2019 (Successor) and $16.0 million for the period from January 1, 2019 to July 15, 2019 (Predecessor),</w:t>
      </w: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800"/>
          </w:cols>
          <w:pgMar w:left="320" w:top="465" w:right="77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320"/>
        <w:spacing w:after="0" w:line="256" w:lineRule="auto"/>
        <w:rPr>
          <w:sz w:val="20"/>
          <w:szCs w:val="20"/>
          <w:color w:val="auto"/>
        </w:rPr>
      </w:pPr>
      <w:r>
        <w:rPr>
          <w:rFonts w:ascii="Arial" w:cs="Arial" w:eastAsia="Arial" w:hAnsi="Arial"/>
          <w:sz w:val="17"/>
          <w:szCs w:val="17"/>
          <w:color w:val="auto"/>
        </w:rPr>
        <w:t>due primarily to additional hiring to drive continued incremental sales, and to a lesser extent, additional sales and marketing resources added through the Monocl acquisition in October 2020 and the HSE acquisition in December 2019, partially offset by lower equity compensation expenses due to the acceleration of Predecessor’s equity-based compensation plan, in connection with the Advent acquisition on July 16, 2019;</w:t>
      </w:r>
    </w:p>
    <w:p>
      <w:pPr>
        <w:spacing w:after="0" w:line="90" w:lineRule="exact"/>
        <w:rPr>
          <w:sz w:val="20"/>
          <w:szCs w:val="20"/>
          <w:color w:val="auto"/>
        </w:rPr>
      </w:pPr>
    </w:p>
    <w:p>
      <w:pPr>
        <w:ind w:left="1360" w:right="20" w:hanging="498"/>
        <w:spacing w:after="0" w:line="284" w:lineRule="auto"/>
        <w:tabs>
          <w:tab w:leader="none" w:pos="13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increase in product development expense of $3.6 million, or 48%, to $11.1 million for the year ended December 31, 2020, compared to $3.5 million for the period from July 16, 2019 to December 31, 2019 (Successor) and $4.0 million for the period from January 1, 2019 to July 15, 2019 (Predecessor), due primarily to additional product management resources added during the year;</w:t>
      </w:r>
    </w:p>
    <w:p>
      <w:pPr>
        <w:spacing w:after="0" w:line="68" w:lineRule="exact"/>
        <w:rPr>
          <w:rFonts w:ascii="Arial" w:cs="Arial" w:eastAsia="Arial" w:hAnsi="Arial"/>
          <w:sz w:val="16"/>
          <w:szCs w:val="16"/>
          <w:color w:val="auto"/>
        </w:rPr>
      </w:pPr>
    </w:p>
    <w:p>
      <w:pPr>
        <w:ind w:left="1360" w:right="40" w:hanging="498"/>
        <w:spacing w:after="0" w:line="253" w:lineRule="auto"/>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$2.6 million, or 25%, to $12.9 million for the year ended December 31, 2020, compared to $6.4 million for the period from July 16, 2019 to December 31, 2019 (Successor) and $4.0 million for the period from January 1, 2019 to July 15, 2019 (Predecessor), due primarily to additional hiring during the year to support our growth, including incremental costs associated with preparing for an IPO, additional accounting and legal expenses, and additional resources associated with controls, reporting, and disclosure, and to a lesser extent, additional resources added through the Monocl acquisition in October 2020 and the HSE acquisition in December 2019;</w:t>
      </w:r>
    </w:p>
    <w:p>
      <w:pPr>
        <w:spacing w:after="0" w:line="93" w:lineRule="exact"/>
        <w:rPr>
          <w:rFonts w:ascii="Arial" w:cs="Arial" w:eastAsia="Arial" w:hAnsi="Arial"/>
          <w:sz w:val="17"/>
          <w:szCs w:val="17"/>
          <w:color w:val="auto"/>
        </w:rPr>
      </w:pPr>
    </w:p>
    <w:p>
      <w:pPr>
        <w:ind w:left="1360" w:right="140" w:hanging="498"/>
        <w:spacing w:after="0" w:line="311" w:lineRule="auto"/>
        <w:tabs>
          <w:tab w:leader="none" w:pos="13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 decrease in transaction expense of $12.1 million, to $3.8 million for the year ended December 31, 2020, compared to $14.7 million for the period from July 16, 2019 to December 31, 2019 (Successor) and $1.2 million for the period from January 1, 2019 to July 15, 2019 (Predecessor), due primarily to $15.7 million of transaction costs incurred in connection with the Advent acquisition in 2019.</w:t>
      </w:r>
    </w:p>
    <w:p>
      <w:pPr>
        <w:spacing w:after="0" w:line="140"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$36.7 million for the year ended December 31, 2020, compared to $18.2 million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auto"/>
        </w:rPr>
        <w:t>July 16, 2019 to December 31, 2019 (Successor) and $0.2 million for the period from January 1, 2019 to July 15, 2019 (Predecessor), an increase of $18.3 million, primarily due to:</w:t>
      </w:r>
    </w:p>
    <w:p>
      <w:pPr>
        <w:spacing w:after="0" w:line="87" w:lineRule="exact"/>
        <w:rPr>
          <w:sz w:val="20"/>
          <w:szCs w:val="20"/>
          <w:color w:val="auto"/>
        </w:rPr>
      </w:pPr>
    </w:p>
    <w:p>
      <w:pPr>
        <w:ind w:left="1360" w:hanging="498"/>
        <w:spacing w:after="0" w:line="256" w:lineRule="auto"/>
        <w:tabs>
          <w:tab w:leader="none" w:pos="1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increase in interest expense, net of $18.1 million, to $36.5 million for the year ended December 31, 2020, as compared to $18.2 million for the period from July 16, 2019 to December 31, 2019 (Successor) and $0.2 million for the period from January 1, 2019 to July 15, 2019 (Predecessor). The increase was primarily due to debt that we incurred in July 2019, in connection with the Advent acquisition, partially offset by lower interest rates; and</w:t>
      </w:r>
    </w:p>
    <w:p>
      <w:pPr>
        <w:spacing w:after="0" w:line="90" w:lineRule="exact"/>
        <w:rPr>
          <w:rFonts w:ascii="Arial" w:cs="Arial" w:eastAsia="Arial" w:hAnsi="Arial"/>
          <w:sz w:val="17"/>
          <w:szCs w:val="17"/>
          <w:color w:val="auto"/>
        </w:rPr>
      </w:pPr>
    </w:p>
    <w:p>
      <w:pPr>
        <w:ind w:left="1360" w:right="100" w:hanging="498"/>
        <w:spacing w:after="0" w:line="340" w:lineRule="auto"/>
        <w:tabs>
          <w:tab w:leader="none" w:pos="13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Higher foreign currency transaction loss of $0.2 million, to $0.2 million for the year ended December 31, 2020, as compared to nil for the period from July 16, 2019 to December 31, 2019 (Successor) and nil for the period from January 1, 2019 to July 15, 2019 (Predecessor).</w:t>
      </w:r>
    </w:p>
    <w:p>
      <w:pPr>
        <w:spacing w:after="0" w:line="119"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year ended December 31, 2020 was $51.2 million, compared to net loss of $49.3 million for the period from July 16,</w:t>
      </w:r>
      <w:r>
        <w:rPr>
          <w:rFonts w:ascii="Arial" w:cs="Arial" w:eastAsia="Arial" w:hAnsi="Arial"/>
          <w:sz w:val="17"/>
          <w:szCs w:val="17"/>
          <w:i w:val="1"/>
          <w:iCs w:val="1"/>
          <w:color w:val="auto"/>
        </w:rPr>
        <w:t xml:space="preserve"> </w:t>
      </w:r>
      <w:r>
        <w:rPr>
          <w:rFonts w:ascii="Arial" w:cs="Arial" w:eastAsia="Arial" w:hAnsi="Arial"/>
          <w:sz w:val="17"/>
          <w:szCs w:val="17"/>
          <w:color w:val="auto"/>
        </w:rPr>
        <w:t>2019 to December 31, 2019 (Successor) and net income of $12.9 million for the period from January 1, 2019 to July 15, 2019 (Predecessor), an increase of $14.8 million, or 41%. The increase was attributable to the items described above.</w:t>
      </w: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760"/>
          </w:cols>
          <w:pgMar w:left="320" w:top="465" w:right="81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Selected Quarterly Financial Information</w:t>
      </w:r>
    </w:p>
    <w:p>
      <w:pPr>
        <w:spacing w:after="0" w:line="112" w:lineRule="exact"/>
        <w:rPr>
          <w:sz w:val="20"/>
          <w:szCs w:val="20"/>
          <w:color w:val="auto"/>
        </w:rPr>
      </w:pPr>
    </w:p>
    <w:p>
      <w:pPr>
        <w:ind w:left="460" w:right="120" w:firstLine="413"/>
        <w:spacing w:after="0" w:line="289" w:lineRule="auto"/>
        <w:rPr>
          <w:sz w:val="20"/>
          <w:szCs w:val="20"/>
          <w:color w:val="auto"/>
        </w:rPr>
      </w:pPr>
      <w:r>
        <w:rPr>
          <w:rFonts w:ascii="Arial" w:cs="Arial" w:eastAsia="Arial" w:hAnsi="Arial"/>
          <w:sz w:val="15"/>
          <w:szCs w:val="15"/>
          <w:color w:val="auto"/>
        </w:rPr>
        <w:t>The following tables present the unaudited quarterly historical consolidated financial and other data for each of the quarters ended September 30, 2021, June 30, 2021, March 31, 2021, December 31, 2020, September 30, 2020, June 30, 2020, March 31, 2020 and December 31, 2019, the period July 16, 2019 to September 30, 2019, the period from July 1, 2019 to July 15, 2019 and each of the quarters ended June 30, 2019 and March 31, 2019. The unaudited quarterly historical consolidated financial and other data have been prepared on the same basis as the audited consolidated financial statements of Definitive OpCo and its subsidiaries included elsewhere in this prospectus. In our opinion, the unaudited quarterly historical consolidated financial information includes all adjustments, which include normal recurring adjustments necessary to present fairly in all material respects our financial position and results of operations for these periods. This information should be read in conjunction with the consolidated financial statements of Definitive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27"/>
        </w:trPr>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w w:val="94"/>
              </w:rPr>
              <w:t>Successor</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89"/>
              </w:rPr>
              <w:t>Predecessor</w:t>
            </w: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95"/>
        </w:trPr>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w w:val="89"/>
              </w:rPr>
              <w:t>Period</w:t>
            </w:r>
          </w:p>
        </w:tc>
        <w:tc>
          <w:tcPr>
            <w:tcW w:w="60" w:type="dxa"/>
            <w:vAlign w:val="bottom"/>
          </w:tcPr>
          <w:p>
            <w:pPr>
              <w:spacing w:after="0"/>
              <w:rPr>
                <w:sz w:val="8"/>
                <w:szCs w:val="8"/>
                <w:color w:val="auto"/>
              </w:rPr>
            </w:pPr>
          </w:p>
        </w:tc>
        <w:tc>
          <w:tcPr>
            <w:tcW w:w="540" w:type="dxa"/>
            <w:vAlign w:val="bottom"/>
            <w:gridSpan w:val="2"/>
          </w:tcPr>
          <w:p>
            <w:pPr>
              <w:jc w:val="center"/>
              <w:ind w:right="120"/>
              <w:spacing w:after="0" w:line="95" w:lineRule="exact"/>
              <w:rPr>
                <w:sz w:val="20"/>
                <w:szCs w:val="20"/>
                <w:color w:val="auto"/>
              </w:rPr>
            </w:pPr>
            <w:r>
              <w:rPr>
                <w:rFonts w:ascii="Arial" w:cs="Arial" w:eastAsia="Arial" w:hAnsi="Arial"/>
                <w:sz w:val="10"/>
                <w:szCs w:val="10"/>
                <w:b w:val="1"/>
                <w:bCs w:val="1"/>
                <w:color w:val="auto"/>
                <w:w w:val="95"/>
              </w:rPr>
              <w:t>Three</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880" w:type="dxa"/>
            <w:vAlign w:val="bottom"/>
            <w:tcBorders>
              <w:right w:val="single" w:sz="8" w:color="auto"/>
            </w:tcBorders>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92"/>
              </w:rPr>
              <w:t>Period from</w:t>
            </w:r>
          </w:p>
        </w:tc>
        <w:tc>
          <w:tcPr>
            <w:tcW w:w="180" w:type="dxa"/>
            <w:vAlign w:val="bottom"/>
          </w:tcPr>
          <w:p>
            <w:pPr>
              <w:spacing w:after="0"/>
              <w:rPr>
                <w:sz w:val="9"/>
                <w:szCs w:val="9"/>
                <w:color w:val="auto"/>
              </w:rPr>
            </w:pPr>
          </w:p>
        </w:tc>
        <w:tc>
          <w:tcPr>
            <w:tcW w:w="4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9"/>
              </w:rPr>
              <w:t>from</w:t>
            </w:r>
          </w:p>
        </w:tc>
        <w:tc>
          <w:tcPr>
            <w:tcW w:w="60" w:type="dxa"/>
            <w:vAlign w:val="bottom"/>
          </w:tcPr>
          <w:p>
            <w:pPr>
              <w:spacing w:after="0"/>
              <w:rPr>
                <w:sz w:val="9"/>
                <w:szCs w:val="9"/>
                <w:color w:val="auto"/>
              </w:rPr>
            </w:pPr>
          </w:p>
        </w:tc>
        <w:tc>
          <w:tcPr>
            <w:tcW w:w="5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5"/>
              </w:rPr>
              <w:t>Months</w:t>
            </w:r>
          </w:p>
        </w:tc>
        <w:tc>
          <w:tcPr>
            <w:tcW w:w="50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95"/>
              </w:rPr>
              <w:t>Three</w:t>
            </w:r>
          </w:p>
        </w:tc>
      </w:tr>
      <w:tr>
        <w:trPr>
          <w:trHeight w:val="114"/>
        </w:trPr>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5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Months</w:t>
            </w:r>
          </w:p>
        </w:tc>
        <w:tc>
          <w:tcPr>
            <w:tcW w:w="72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4"/>
              </w:rPr>
              <w:t>Three Months</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880" w:type="dxa"/>
            <w:vAlign w:val="bottom"/>
            <w:tcBorders>
              <w:right w:val="single" w:sz="8" w:color="auto"/>
            </w:tcBorders>
            <w:gridSpan w:val="3"/>
          </w:tcPr>
          <w:p>
            <w:pPr>
              <w:jc w:val="center"/>
              <w:ind w:right="260"/>
              <w:spacing w:after="0" w:line="114" w:lineRule="exact"/>
              <w:rPr>
                <w:sz w:val="20"/>
                <w:szCs w:val="20"/>
                <w:color w:val="auto"/>
              </w:rPr>
            </w:pPr>
            <w:r>
              <w:rPr>
                <w:rFonts w:ascii="Arial" w:cs="Arial" w:eastAsia="Arial" w:hAnsi="Arial"/>
                <w:sz w:val="10"/>
                <w:szCs w:val="10"/>
                <w:b w:val="1"/>
                <w:bCs w:val="1"/>
                <w:color w:val="auto"/>
                <w:w w:val="93"/>
              </w:rPr>
              <w:t>July 16, 2019</w:t>
            </w:r>
          </w:p>
        </w:tc>
        <w:tc>
          <w:tcPr>
            <w:tcW w:w="180" w:type="dxa"/>
            <w:vAlign w:val="bottom"/>
          </w:tcPr>
          <w:p>
            <w:pPr>
              <w:spacing w:after="0"/>
              <w:rPr>
                <w:sz w:val="9"/>
                <w:szCs w:val="9"/>
                <w:color w:val="auto"/>
              </w:rPr>
            </w:pPr>
          </w:p>
        </w:tc>
        <w:tc>
          <w:tcPr>
            <w:tcW w:w="4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9"/>
              </w:rPr>
              <w:t>July 1,</w:t>
            </w:r>
          </w:p>
        </w:tc>
        <w:tc>
          <w:tcPr>
            <w:tcW w:w="60" w:type="dxa"/>
            <w:vAlign w:val="bottom"/>
          </w:tcPr>
          <w:p>
            <w:pPr>
              <w:spacing w:after="0"/>
              <w:rPr>
                <w:sz w:val="9"/>
                <w:szCs w:val="9"/>
                <w:color w:val="auto"/>
              </w:rPr>
            </w:pPr>
          </w:p>
        </w:tc>
        <w:tc>
          <w:tcPr>
            <w:tcW w:w="5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1"/>
              </w:rPr>
              <w:t>Ended</w:t>
            </w:r>
          </w:p>
        </w:tc>
        <w:tc>
          <w:tcPr>
            <w:tcW w:w="50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95"/>
              </w:rPr>
              <w:t>Months</w:t>
            </w:r>
          </w:p>
        </w:tc>
      </w:tr>
      <w:tr>
        <w:trPr>
          <w:trHeight w:val="114"/>
        </w:trPr>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6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6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to</w:t>
            </w:r>
          </w:p>
        </w:tc>
        <w:tc>
          <w:tcPr>
            <w:tcW w:w="180" w:type="dxa"/>
            <w:vAlign w:val="bottom"/>
          </w:tcPr>
          <w:p>
            <w:pPr>
              <w:spacing w:after="0"/>
              <w:rPr>
                <w:sz w:val="9"/>
                <w:szCs w:val="9"/>
                <w:color w:val="auto"/>
              </w:rPr>
            </w:pPr>
          </w:p>
        </w:tc>
        <w:tc>
          <w:tcPr>
            <w:tcW w:w="4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2"/>
              </w:rPr>
              <w:t>2019 to</w:t>
            </w:r>
          </w:p>
        </w:tc>
        <w:tc>
          <w:tcPr>
            <w:tcW w:w="60" w:type="dxa"/>
            <w:vAlign w:val="bottom"/>
          </w:tcPr>
          <w:p>
            <w:pPr>
              <w:spacing w:after="0"/>
              <w:rPr>
                <w:sz w:val="9"/>
                <w:szCs w:val="9"/>
                <w:color w:val="auto"/>
              </w:rPr>
            </w:pPr>
          </w:p>
        </w:tc>
        <w:tc>
          <w:tcPr>
            <w:tcW w:w="5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5"/>
              </w:rPr>
              <w:t>June</w:t>
            </w:r>
          </w:p>
        </w:tc>
        <w:tc>
          <w:tcPr>
            <w:tcW w:w="50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91"/>
              </w:rPr>
              <w:t>Ended</w:t>
            </w:r>
          </w:p>
        </w:tc>
      </w:tr>
      <w:tr>
        <w:trPr>
          <w:trHeight w:val="114"/>
        </w:trPr>
        <w:tc>
          <w:tcPr>
            <w:tcW w:w="2080" w:type="dxa"/>
            <w:vAlign w:val="bottom"/>
          </w:tcPr>
          <w:p>
            <w:pPr>
              <w:spacing w:after="0"/>
              <w:rPr>
                <w:sz w:val="9"/>
                <w:szCs w:val="9"/>
                <w:color w:val="auto"/>
              </w:rPr>
            </w:pPr>
          </w:p>
        </w:tc>
        <w:tc>
          <w:tcPr>
            <w:tcW w:w="72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60" w:type="dxa"/>
            <w:vAlign w:val="bottom"/>
          </w:tcPr>
          <w:p>
            <w:pPr>
              <w:spacing w:after="0"/>
              <w:rPr>
                <w:sz w:val="9"/>
                <w:szCs w:val="9"/>
                <w:color w:val="auto"/>
              </w:rPr>
            </w:pPr>
          </w:p>
        </w:tc>
        <w:tc>
          <w:tcPr>
            <w:tcW w:w="5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9"/>
                <w:szCs w:val="9"/>
                <w:color w:val="auto"/>
              </w:rPr>
            </w:pPr>
          </w:p>
        </w:tc>
        <w:tc>
          <w:tcPr>
            <w:tcW w:w="6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March 31,</w:t>
            </w:r>
          </w:p>
        </w:tc>
        <w:tc>
          <w:tcPr>
            <w:tcW w:w="74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78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6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9"/>
                <w:szCs w:val="9"/>
                <w:color w:val="auto"/>
              </w:rPr>
            </w:pPr>
          </w:p>
        </w:tc>
        <w:tc>
          <w:tcPr>
            <w:tcW w:w="6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March 31,</w:t>
            </w:r>
          </w:p>
        </w:tc>
        <w:tc>
          <w:tcPr>
            <w:tcW w:w="74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880" w:type="dxa"/>
            <w:vAlign w:val="bottom"/>
            <w:tcBorders>
              <w:right w:val="single" w:sz="8" w:color="auto"/>
            </w:tcBorders>
            <w:gridSpan w:val="3"/>
          </w:tcPr>
          <w:p>
            <w:pPr>
              <w:jc w:val="center"/>
              <w:ind w:right="26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180" w:type="dxa"/>
            <w:vAlign w:val="bottom"/>
          </w:tcPr>
          <w:p>
            <w:pPr>
              <w:spacing w:after="0"/>
              <w:rPr>
                <w:sz w:val="9"/>
                <w:szCs w:val="9"/>
                <w:color w:val="auto"/>
              </w:rPr>
            </w:pPr>
          </w:p>
        </w:tc>
        <w:tc>
          <w:tcPr>
            <w:tcW w:w="46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92"/>
              </w:rPr>
              <w:t>July 15,</w:t>
            </w:r>
          </w:p>
        </w:tc>
        <w:tc>
          <w:tcPr>
            <w:tcW w:w="480" w:type="dxa"/>
            <w:vAlign w:val="bottom"/>
            <w:gridSpan w:val="2"/>
          </w:tcPr>
          <w:p>
            <w:pPr>
              <w:jc w:val="right"/>
              <w:ind w:right="88"/>
              <w:spacing w:after="0" w:line="114" w:lineRule="exact"/>
              <w:rPr>
                <w:sz w:val="20"/>
                <w:szCs w:val="20"/>
                <w:color w:val="auto"/>
              </w:rPr>
            </w:pPr>
            <w:r>
              <w:rPr>
                <w:rFonts w:ascii="Arial" w:cs="Arial" w:eastAsia="Arial" w:hAnsi="Arial"/>
                <w:sz w:val="10"/>
                <w:szCs w:val="10"/>
                <w:b w:val="1"/>
                <w:bCs w:val="1"/>
                <w:color w:val="auto"/>
              </w:rPr>
              <w:t>30,</w:t>
            </w:r>
          </w:p>
        </w:tc>
        <w:tc>
          <w:tcPr>
            <w:tcW w:w="120" w:type="dxa"/>
            <w:vAlign w:val="bottom"/>
          </w:tcPr>
          <w:p>
            <w:pPr>
              <w:spacing w:after="0"/>
              <w:rPr>
                <w:sz w:val="9"/>
                <w:szCs w:val="9"/>
                <w:color w:val="auto"/>
              </w:rPr>
            </w:pPr>
          </w:p>
        </w:tc>
        <w:tc>
          <w:tcPr>
            <w:tcW w:w="50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99"/>
              </w:rPr>
              <w:t>March 31,</w:t>
            </w:r>
          </w:p>
        </w:tc>
      </w:tr>
      <w:tr>
        <w:trPr>
          <w:trHeight w:val="126"/>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44"/>
              <w:spacing w:after="0"/>
              <w:rPr>
                <w:sz w:val="20"/>
                <w:szCs w:val="20"/>
                <w:color w:val="auto"/>
              </w:rPr>
            </w:pPr>
            <w:r>
              <w:rPr>
                <w:rFonts w:ascii="Arial" w:cs="Arial" w:eastAsia="Arial" w:hAnsi="Arial"/>
                <w:sz w:val="10"/>
                <w:szCs w:val="10"/>
                <w:b w:val="1"/>
                <w:bCs w:val="1"/>
                <w:color w:val="auto"/>
                <w:w w:val="91"/>
              </w:rPr>
              <w:t>2020 (1)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43"/>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44"/>
              <w:spacing w:after="0"/>
              <w:rPr>
                <w:sz w:val="20"/>
                <w:szCs w:val="20"/>
                <w:color w:val="auto"/>
              </w:rPr>
            </w:pPr>
            <w:r>
              <w:rPr>
                <w:rFonts w:ascii="Arial" w:cs="Arial" w:eastAsia="Arial" w:hAnsi="Arial"/>
                <w:sz w:val="10"/>
                <w:szCs w:val="10"/>
                <w:b w:val="1"/>
                <w:bCs w:val="1"/>
                <w:color w:val="auto"/>
                <w:w w:val="91"/>
              </w:rPr>
              <w:t>2019 (2)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2"/>
              <w:spacing w:after="0"/>
              <w:rPr>
                <w:sz w:val="20"/>
                <w:szCs w:val="20"/>
                <w:color w:val="auto"/>
              </w:rPr>
            </w:pPr>
            <w:r>
              <w:rPr>
                <w:rFonts w:ascii="Arial" w:cs="Arial" w:eastAsia="Arial" w:hAnsi="Arial"/>
                <w:sz w:val="10"/>
                <w:szCs w:val="10"/>
                <w:b w:val="1"/>
                <w:bCs w:val="1"/>
                <w:color w:val="auto"/>
                <w:w w:val="91"/>
              </w:rPr>
              <w:t>2019 (3)</w:t>
            </w:r>
          </w:p>
        </w:tc>
        <w:tc>
          <w:tcPr>
            <w:tcW w:w="260" w:type="dxa"/>
            <w:vAlign w:val="bottom"/>
            <w:tcBorders>
              <w:right w:val="single" w:sz="8" w:color="auto"/>
            </w:tcBorders>
          </w:tcPr>
          <w:p>
            <w:pPr>
              <w:spacing w:after="0"/>
              <w:rPr>
                <w:sz w:val="10"/>
                <w:szCs w:val="10"/>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 (3)</w:t>
            </w:r>
          </w:p>
        </w:tc>
        <w:tc>
          <w:tcPr>
            <w:tcW w:w="100" w:type="dxa"/>
            <w:vAlign w:val="bottom"/>
          </w:tcPr>
          <w:p>
            <w:pPr>
              <w:spacing w:after="0"/>
              <w:rPr>
                <w:sz w:val="10"/>
                <w:szCs w:val="10"/>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1"/>
              </w:rPr>
              <w:t>2019 (4)</w:t>
            </w:r>
          </w:p>
        </w:tc>
        <w:tc>
          <w:tcPr>
            <w:tcW w:w="40" w:type="dxa"/>
            <w:vAlign w:val="bottom"/>
          </w:tcPr>
          <w:p>
            <w:pPr>
              <w:spacing w:after="0"/>
              <w:rPr>
                <w:sz w:val="10"/>
                <w:szCs w:val="10"/>
                <w:color w:val="auto"/>
              </w:rPr>
            </w:pPr>
          </w:p>
        </w:tc>
      </w:tr>
      <w:tr>
        <w:trPr>
          <w:trHeight w:val="119"/>
        </w:trPr>
        <w:tc>
          <w:tcPr>
            <w:tcW w:w="208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43,084</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$ 39,821</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$ 36,936</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33,658</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30,073</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28,245</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$ 26,341</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23,233</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16,812</w:t>
            </w:r>
          </w:p>
        </w:tc>
        <w:tc>
          <w:tcPr>
            <w:tcW w:w="260" w:type="dxa"/>
            <w:vAlign w:val="bottom"/>
            <w:tcBorders>
              <w:top w:val="single" w:sz="8" w:color="CCEEFF"/>
              <w:right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4"/>
              </w:rPr>
              <w:t>$ 3,829</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5"/>
              </w:rPr>
              <w:t>$ 22,631</w:t>
            </w: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$ 18,998</w:t>
            </w:r>
          </w:p>
        </w:tc>
        <w:tc>
          <w:tcPr>
            <w:tcW w:w="40" w:type="dxa"/>
            <w:vAlign w:val="bottom"/>
            <w:tcBorders>
              <w:top w:val="single" w:sz="8" w:color="CCEEFF"/>
            </w:tcBorders>
            <w:shd w:val="clear" w:color="auto" w:fill="CCEEFF"/>
          </w:tcPr>
          <w:p>
            <w:pPr>
              <w:spacing w:after="0"/>
              <w:rPr>
                <w:sz w:val="10"/>
                <w:szCs w:val="10"/>
                <w:color w:val="auto"/>
              </w:rPr>
            </w:pPr>
          </w:p>
        </w:tc>
      </w:tr>
      <w:tr>
        <w:trPr>
          <w:trHeight w:val="139"/>
        </w:trPr>
        <w:tc>
          <w:tcPr>
            <w:tcW w:w="2080" w:type="dxa"/>
            <w:vAlign w:val="bottom"/>
          </w:tcPr>
          <w:p>
            <w:pPr>
              <w:spacing w:after="0"/>
              <w:rPr>
                <w:sz w:val="20"/>
                <w:szCs w:val="20"/>
                <w:color w:val="auto"/>
              </w:rPr>
            </w:pPr>
            <w:r>
              <w:rPr>
                <w:rFonts w:ascii="Arial" w:cs="Arial" w:eastAsia="Arial" w:hAnsi="Arial"/>
                <w:sz w:val="12"/>
                <w:szCs w:val="12"/>
                <w:color w:val="auto"/>
              </w:rPr>
              <w:t>Gross profit</w:t>
            </w:r>
          </w:p>
        </w:tc>
        <w:tc>
          <w:tcPr>
            <w:tcW w:w="100" w:type="dxa"/>
            <w:vAlign w:val="bottom"/>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3"/>
                <w:szCs w:val="13"/>
                <w:color w:val="auto"/>
              </w:rPr>
              <w:t>32,599</w:t>
            </w:r>
          </w:p>
        </w:tc>
        <w:tc>
          <w:tcPr>
            <w:tcW w:w="100" w:type="dxa"/>
            <w:vAlign w:val="bottom"/>
          </w:tcPr>
          <w:p>
            <w:pPr>
              <w:spacing w:after="0"/>
              <w:rPr>
                <w:sz w:val="12"/>
                <w:szCs w:val="12"/>
                <w:color w:val="auto"/>
              </w:rPr>
            </w:pPr>
          </w:p>
        </w:tc>
        <w:tc>
          <w:tcPr>
            <w:tcW w:w="52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29,952</w:t>
            </w:r>
          </w:p>
        </w:tc>
        <w:tc>
          <w:tcPr>
            <w:tcW w:w="100" w:type="dxa"/>
            <w:vAlign w:val="bottom"/>
          </w:tcPr>
          <w:p>
            <w:pPr>
              <w:spacing w:after="0"/>
              <w:rPr>
                <w:sz w:val="12"/>
                <w:szCs w:val="12"/>
                <w:color w:val="auto"/>
              </w:rPr>
            </w:pPr>
          </w:p>
        </w:tc>
        <w:tc>
          <w:tcPr>
            <w:tcW w:w="660" w:type="dxa"/>
            <w:vAlign w:val="bottom"/>
            <w:gridSpan w:val="3"/>
          </w:tcPr>
          <w:p>
            <w:pPr>
              <w:jc w:val="right"/>
              <w:ind w:right="160"/>
              <w:spacing w:after="0" w:line="139" w:lineRule="exact"/>
              <w:rPr>
                <w:sz w:val="20"/>
                <w:szCs w:val="20"/>
                <w:color w:val="auto"/>
              </w:rPr>
            </w:pPr>
            <w:r>
              <w:rPr>
                <w:rFonts w:ascii="Arial" w:cs="Arial" w:eastAsia="Arial" w:hAnsi="Arial"/>
                <w:sz w:val="13"/>
                <w:szCs w:val="13"/>
                <w:color w:val="auto"/>
              </w:rPr>
              <w:t>27,499</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25,344</w:t>
            </w:r>
          </w:p>
        </w:tc>
        <w:tc>
          <w:tcPr>
            <w:tcW w:w="100" w:type="dxa"/>
            <w:vAlign w:val="bottom"/>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3"/>
                <w:szCs w:val="13"/>
                <w:color w:val="auto"/>
              </w:rPr>
              <w:t>22,660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39" w:lineRule="exact"/>
              <w:rPr>
                <w:sz w:val="20"/>
                <w:szCs w:val="20"/>
                <w:color w:val="auto"/>
              </w:rPr>
            </w:pPr>
            <w:r>
              <w:rPr>
                <w:rFonts w:ascii="Arial" w:cs="Arial" w:eastAsia="Arial" w:hAnsi="Arial"/>
                <w:sz w:val="13"/>
                <w:szCs w:val="13"/>
                <w:color w:val="auto"/>
              </w:rPr>
              <w:t>20,939</w:t>
            </w:r>
          </w:p>
        </w:tc>
        <w:tc>
          <w:tcPr>
            <w:tcW w:w="100" w:type="dxa"/>
            <w:vAlign w:val="bottom"/>
          </w:tcPr>
          <w:p>
            <w:pPr>
              <w:spacing w:after="0"/>
              <w:rPr>
                <w:sz w:val="12"/>
                <w:szCs w:val="12"/>
                <w:color w:val="auto"/>
              </w:rPr>
            </w:pPr>
          </w:p>
        </w:tc>
        <w:tc>
          <w:tcPr>
            <w:tcW w:w="660" w:type="dxa"/>
            <w:vAlign w:val="bottom"/>
            <w:gridSpan w:val="3"/>
          </w:tcPr>
          <w:p>
            <w:pPr>
              <w:jc w:val="right"/>
              <w:ind w:right="160"/>
              <w:spacing w:after="0" w:line="139" w:lineRule="exact"/>
              <w:rPr>
                <w:sz w:val="20"/>
                <w:szCs w:val="20"/>
                <w:color w:val="auto"/>
              </w:rPr>
            </w:pPr>
            <w:r>
              <w:rPr>
                <w:rFonts w:ascii="Arial" w:cs="Arial" w:eastAsia="Arial" w:hAnsi="Arial"/>
                <w:sz w:val="13"/>
                <w:szCs w:val="13"/>
                <w:color w:val="auto"/>
              </w:rPr>
              <w:t>18,906</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15,796</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60"/>
              <w:spacing w:after="0" w:line="139" w:lineRule="exact"/>
              <w:rPr>
                <w:sz w:val="20"/>
                <w:szCs w:val="20"/>
                <w:color w:val="auto"/>
              </w:rPr>
            </w:pPr>
            <w:r>
              <w:rPr>
                <w:rFonts w:ascii="Arial" w:cs="Arial" w:eastAsia="Arial" w:hAnsi="Arial"/>
                <w:sz w:val="13"/>
                <w:szCs w:val="13"/>
                <w:color w:val="auto"/>
              </w:rPr>
              <w:t>10,967</w:t>
            </w:r>
          </w:p>
        </w:tc>
        <w:tc>
          <w:tcPr>
            <w:tcW w:w="54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3,297</w:t>
            </w:r>
          </w:p>
        </w:tc>
        <w:tc>
          <w:tcPr>
            <w:tcW w:w="100" w:type="dxa"/>
            <w:vAlign w:val="bottom"/>
          </w:tcPr>
          <w:p>
            <w:pPr>
              <w:spacing w:after="0"/>
              <w:rPr>
                <w:sz w:val="12"/>
                <w:szCs w:val="12"/>
                <w:color w:val="auto"/>
              </w:rPr>
            </w:pPr>
          </w:p>
        </w:tc>
        <w:tc>
          <w:tcPr>
            <w:tcW w:w="600" w:type="dxa"/>
            <w:vAlign w:val="bottom"/>
            <w:gridSpan w:val="3"/>
          </w:tcPr>
          <w:p>
            <w:pPr>
              <w:jc w:val="right"/>
              <w:ind w:right="120"/>
              <w:spacing w:after="0" w:line="139" w:lineRule="exact"/>
              <w:rPr>
                <w:sz w:val="20"/>
                <w:szCs w:val="20"/>
                <w:color w:val="auto"/>
              </w:rPr>
            </w:pPr>
            <w:r>
              <w:rPr>
                <w:rFonts w:ascii="Arial" w:cs="Arial" w:eastAsia="Arial" w:hAnsi="Arial"/>
                <w:sz w:val="13"/>
                <w:szCs w:val="13"/>
                <w:color w:val="auto"/>
              </w:rPr>
              <w:t>20,177</w:t>
            </w:r>
          </w:p>
        </w:tc>
        <w:tc>
          <w:tcPr>
            <w:tcW w:w="460" w:type="dxa"/>
            <w:vAlign w:val="bottom"/>
          </w:tcPr>
          <w:p>
            <w:pPr>
              <w:jc w:val="right"/>
              <w:spacing w:after="0" w:line="139" w:lineRule="exact"/>
              <w:rPr>
                <w:sz w:val="20"/>
                <w:szCs w:val="20"/>
                <w:color w:val="auto"/>
              </w:rPr>
            </w:pPr>
            <w:r>
              <w:rPr>
                <w:rFonts w:ascii="Arial" w:cs="Arial" w:eastAsia="Arial" w:hAnsi="Arial"/>
                <w:sz w:val="13"/>
                <w:szCs w:val="13"/>
                <w:color w:val="auto"/>
              </w:rPr>
              <w:t>16,656</w:t>
            </w:r>
          </w:p>
        </w:tc>
        <w:tc>
          <w:tcPr>
            <w:tcW w:w="40" w:type="dxa"/>
            <w:vAlign w:val="bottom"/>
          </w:tcPr>
          <w:p>
            <w:pPr>
              <w:spacing w:after="0"/>
              <w:rPr>
                <w:sz w:val="12"/>
                <w:szCs w:val="12"/>
                <w:color w:val="auto"/>
              </w:rPr>
            </w:pPr>
          </w:p>
        </w:tc>
      </w:tr>
      <w:tr>
        <w:trPr>
          <w:trHeight w:val="139"/>
        </w:trPr>
        <w:tc>
          <w:tcPr>
            <w:tcW w:w="20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income from operations</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(4,026)</w:t>
            </w:r>
          </w:p>
        </w:tc>
        <w:tc>
          <w:tcPr>
            <w:tcW w:w="62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(6,623)</w:t>
            </w:r>
          </w:p>
        </w:tc>
        <w:tc>
          <w:tcPr>
            <w:tcW w:w="660" w:type="dxa"/>
            <w:vAlign w:val="bottom"/>
            <w:gridSpan w:val="3"/>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(2,158)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(6,952)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(940)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(2,170)</w:t>
            </w:r>
          </w:p>
        </w:tc>
        <w:tc>
          <w:tcPr>
            <w:tcW w:w="660" w:type="dxa"/>
            <w:vAlign w:val="bottom"/>
            <w:gridSpan w:val="3"/>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(4,383)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(8,586)</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(22,476)</w:t>
            </w:r>
          </w:p>
        </w:tc>
        <w:tc>
          <w:tcPr>
            <w:tcW w:w="64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(647)</w:t>
            </w:r>
          </w:p>
        </w:tc>
        <w:tc>
          <w:tcPr>
            <w:tcW w:w="600" w:type="dxa"/>
            <w:vAlign w:val="bottom"/>
            <w:gridSpan w:val="3"/>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8,022</w:t>
            </w: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5,658</w:t>
            </w:r>
          </w:p>
        </w:tc>
        <w:tc>
          <w:tcPr>
            <w:tcW w:w="40" w:type="dxa"/>
            <w:vAlign w:val="bottom"/>
            <w:shd w:val="clear" w:color="auto" w:fill="CCEEFF"/>
          </w:tcPr>
          <w:p>
            <w:pPr>
              <w:spacing w:after="0"/>
              <w:rPr>
                <w:sz w:val="12"/>
                <w:szCs w:val="12"/>
                <w:color w:val="auto"/>
              </w:rPr>
            </w:pPr>
          </w:p>
        </w:tc>
      </w:tr>
      <w:tr>
        <w:trPr>
          <w:trHeight w:val="139"/>
        </w:trPr>
        <w:tc>
          <w:tcPr>
            <w:tcW w:w="2080" w:type="dxa"/>
            <w:vAlign w:val="bottom"/>
          </w:tcPr>
          <w:p>
            <w:pPr>
              <w:spacing w:after="0"/>
              <w:rPr>
                <w:sz w:val="20"/>
                <w:szCs w:val="20"/>
                <w:color w:val="auto"/>
              </w:rPr>
            </w:pPr>
            <w:r>
              <w:rPr>
                <w:rFonts w:ascii="Arial" w:cs="Arial" w:eastAsia="Arial" w:hAnsi="Arial"/>
                <w:sz w:val="12"/>
                <w:szCs w:val="12"/>
                <w:color w:val="auto"/>
              </w:rPr>
              <w:t>Net (loss) income</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(20,966)</w:t>
            </w:r>
          </w:p>
        </w:tc>
        <w:tc>
          <w:tcPr>
            <w:tcW w:w="620" w:type="dxa"/>
            <w:vAlign w:val="bottom"/>
            <w:gridSpan w:val="3"/>
          </w:tcPr>
          <w:p>
            <w:pPr>
              <w:jc w:val="right"/>
              <w:ind w:right="60"/>
              <w:spacing w:after="0" w:line="139" w:lineRule="exact"/>
              <w:rPr>
                <w:sz w:val="20"/>
                <w:szCs w:val="20"/>
                <w:color w:val="auto"/>
              </w:rPr>
            </w:pPr>
            <w:r>
              <w:rPr>
                <w:rFonts w:ascii="Arial" w:cs="Arial" w:eastAsia="Arial" w:hAnsi="Arial"/>
                <w:sz w:val="13"/>
                <w:szCs w:val="13"/>
                <w:color w:val="auto"/>
              </w:rPr>
              <w:t>(15,039)</w:t>
            </w:r>
          </w:p>
        </w:tc>
        <w:tc>
          <w:tcPr>
            <w:tcW w:w="660" w:type="dxa"/>
            <w:vAlign w:val="bottom"/>
            <w:gridSpan w:val="3"/>
          </w:tcPr>
          <w:p>
            <w:pPr>
              <w:jc w:val="right"/>
              <w:ind w:right="120"/>
              <w:spacing w:after="0" w:line="139" w:lineRule="exact"/>
              <w:rPr>
                <w:sz w:val="20"/>
                <w:szCs w:val="20"/>
                <w:color w:val="auto"/>
              </w:rPr>
            </w:pPr>
            <w:r>
              <w:rPr>
                <w:rFonts w:ascii="Arial" w:cs="Arial" w:eastAsia="Arial" w:hAnsi="Arial"/>
                <w:sz w:val="13"/>
                <w:szCs w:val="13"/>
                <w:color w:val="auto"/>
              </w:rPr>
              <w:t>(10,488)</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(15,862)</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(9,962)</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(11,498)</w:t>
            </w:r>
          </w:p>
        </w:tc>
        <w:tc>
          <w:tcPr>
            <w:tcW w:w="660" w:type="dxa"/>
            <w:vAlign w:val="bottom"/>
            <w:gridSpan w:val="3"/>
          </w:tcPr>
          <w:p>
            <w:pPr>
              <w:jc w:val="right"/>
              <w:ind w:right="120"/>
              <w:spacing w:after="0" w:line="139" w:lineRule="exact"/>
              <w:rPr>
                <w:sz w:val="20"/>
                <w:szCs w:val="20"/>
                <w:color w:val="auto"/>
              </w:rPr>
            </w:pPr>
            <w:r>
              <w:rPr>
                <w:rFonts w:ascii="Arial" w:cs="Arial" w:eastAsia="Arial" w:hAnsi="Arial"/>
                <w:sz w:val="13"/>
                <w:szCs w:val="13"/>
                <w:color w:val="auto"/>
              </w:rPr>
              <w:t>(13,835)</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(18,480)</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line="139" w:lineRule="exact"/>
              <w:rPr>
                <w:sz w:val="20"/>
                <w:szCs w:val="20"/>
                <w:color w:val="auto"/>
              </w:rPr>
            </w:pPr>
            <w:r>
              <w:rPr>
                <w:rFonts w:ascii="Arial" w:cs="Arial" w:eastAsia="Arial" w:hAnsi="Arial"/>
                <w:sz w:val="13"/>
                <w:szCs w:val="13"/>
                <w:color w:val="auto"/>
              </w:rPr>
              <w:t>(30,786)</w:t>
            </w:r>
          </w:p>
        </w:tc>
        <w:tc>
          <w:tcPr>
            <w:tcW w:w="640" w:type="dxa"/>
            <w:vAlign w:val="bottom"/>
            <w:gridSpan w:val="3"/>
          </w:tcPr>
          <w:p>
            <w:pPr>
              <w:jc w:val="right"/>
              <w:ind w:right="60"/>
              <w:spacing w:after="0" w:line="139" w:lineRule="exact"/>
              <w:rPr>
                <w:sz w:val="20"/>
                <w:szCs w:val="20"/>
                <w:color w:val="auto"/>
              </w:rPr>
            </w:pPr>
            <w:r>
              <w:rPr>
                <w:rFonts w:ascii="Arial" w:cs="Arial" w:eastAsia="Arial" w:hAnsi="Arial"/>
                <w:sz w:val="13"/>
                <w:szCs w:val="13"/>
                <w:color w:val="auto"/>
              </w:rPr>
              <w:t>(639)</w:t>
            </w:r>
          </w:p>
        </w:tc>
        <w:tc>
          <w:tcPr>
            <w:tcW w:w="600" w:type="dxa"/>
            <w:vAlign w:val="bottom"/>
            <w:gridSpan w:val="3"/>
          </w:tcPr>
          <w:p>
            <w:pPr>
              <w:jc w:val="right"/>
              <w:ind w:right="120"/>
              <w:spacing w:after="0" w:line="139" w:lineRule="exact"/>
              <w:rPr>
                <w:sz w:val="20"/>
                <w:szCs w:val="20"/>
                <w:color w:val="auto"/>
              </w:rPr>
            </w:pPr>
            <w:r>
              <w:rPr>
                <w:rFonts w:ascii="Arial" w:cs="Arial" w:eastAsia="Arial" w:hAnsi="Arial"/>
                <w:sz w:val="13"/>
                <w:szCs w:val="13"/>
                <w:color w:val="auto"/>
              </w:rPr>
              <w:t>7,964</w:t>
            </w:r>
          </w:p>
        </w:tc>
        <w:tc>
          <w:tcPr>
            <w:tcW w:w="460" w:type="dxa"/>
            <w:vAlign w:val="bottom"/>
          </w:tcPr>
          <w:p>
            <w:pPr>
              <w:jc w:val="right"/>
              <w:spacing w:after="0" w:line="139" w:lineRule="exact"/>
              <w:rPr>
                <w:sz w:val="20"/>
                <w:szCs w:val="20"/>
                <w:color w:val="auto"/>
              </w:rPr>
            </w:pPr>
            <w:r>
              <w:rPr>
                <w:rFonts w:ascii="Arial" w:cs="Arial" w:eastAsia="Arial" w:hAnsi="Arial"/>
                <w:sz w:val="13"/>
                <w:szCs w:val="13"/>
                <w:color w:val="auto"/>
              </w:rPr>
              <w:t>5,543</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right="240" w:hanging="403"/>
        <w:spacing w:after="0" w:line="269" w:lineRule="auto"/>
        <w:tabs>
          <w:tab w:leader="none" w:pos="8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completed the purchase of all of the outstanding shares of Monocl in December 2020 for a total estimated consideration of $46.3 million and up to $60.0 million, consisting of approximately $18.3 million of cash payable at closing, $25.4 million of rollover equity of the Company indirectly through an affiliate, AIDH Management Holdings, LLC, and up to $15.0 million of contingent consideration.</w:t>
      </w:r>
    </w:p>
    <w:p>
      <w:pPr>
        <w:ind w:left="860" w:right="580" w:hanging="403"/>
        <w:spacing w:after="0" w:line="248" w:lineRule="auto"/>
        <w:tabs>
          <w:tab w:leader="none" w:pos="8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 acquired 100% of the issued and outstanding common and preferred stock of HSE for a total purchase price of $6.8 million, consisting of $2.8 million of cash and $4.0 million of equity issued.</w:t>
      </w:r>
    </w:p>
    <w:p>
      <w:pPr>
        <w:spacing w:after="0" w:line="1" w:lineRule="exact"/>
        <w:rPr>
          <w:rFonts w:ascii="Arial" w:cs="Arial" w:eastAsia="Arial" w:hAnsi="Arial"/>
          <w:sz w:val="17"/>
          <w:szCs w:val="17"/>
          <w:color w:val="auto"/>
        </w:rPr>
      </w:pPr>
    </w:p>
    <w:p>
      <w:pPr>
        <w:ind w:left="860" w:right="120" w:hanging="403"/>
        <w:spacing w:after="0" w:line="264" w:lineRule="auto"/>
        <w:tabs>
          <w:tab w:leader="none" w:pos="8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On July 16, 2019, Advent acquired 100% of the issued and outstanding units of the Company, for a total consideration of $1,699.6 million, consisting of $1,129.3 million of cash and $570.3 million of equity units issued to the sellers and former owners. As a result, our interest expense increased substantially and is reflected in our Successor periods consolidated financial statements. Accordingly, the consolidated financial statements for the period prior to the acquisition may not be comparable to those from the periods after.</w:t>
      </w:r>
    </w:p>
    <w:p>
      <w:pPr>
        <w:ind w:left="860" w:right="340" w:hanging="403"/>
        <w:spacing w:after="0" w:line="257" w:lineRule="auto"/>
        <w:tabs>
          <w:tab w:leader="none" w:pos="8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Predecessor Company acquired substantially all of the assets and assumed substantially all of the liabilities of HIMSS for a total purchase price of $29.8 million.</w:t>
      </w:r>
    </w:p>
    <w:p>
      <w:pPr>
        <w:spacing w:after="0" w:line="11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800"/>
          </w:cols>
          <w:pgMar w:left="320" w:top="465" w:right="7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Gross Profit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2"/>
              </w:rPr>
              <w:t>Successor</w:t>
            </w: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89"/>
              </w:rPr>
              <w:t>Predecessor</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ind w:right="44"/>
              <w:spacing w:after="0" w:line="95" w:lineRule="exact"/>
              <w:rPr>
                <w:sz w:val="20"/>
                <w:szCs w:val="20"/>
                <w:color w:val="auto"/>
              </w:rPr>
            </w:pPr>
            <w:r>
              <w:rPr>
                <w:rFonts w:ascii="Arial" w:cs="Arial" w:eastAsia="Arial" w:hAnsi="Arial"/>
                <w:sz w:val="10"/>
                <w:szCs w:val="10"/>
                <w:b w:val="1"/>
                <w:bCs w:val="1"/>
                <w:color w:val="auto"/>
                <w:w w:val="89"/>
              </w:rPr>
              <w:t>Period</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center"/>
              <w:ind w:right="140"/>
              <w:spacing w:after="0" w:line="95" w:lineRule="exact"/>
              <w:rPr>
                <w:sz w:val="20"/>
                <w:szCs w:val="20"/>
                <w:color w:val="auto"/>
              </w:rPr>
            </w:pPr>
            <w:r>
              <w:rPr>
                <w:rFonts w:ascii="Arial" w:cs="Arial" w:eastAsia="Arial" w:hAnsi="Arial"/>
                <w:sz w:val="10"/>
                <w:szCs w:val="10"/>
                <w:b w:val="1"/>
                <w:bCs w:val="1"/>
                <w:color w:val="auto"/>
                <w:w w:val="89"/>
              </w:rPr>
              <w:t>Period</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7"/>
              </w:rPr>
              <w:t>Three</w:t>
            </w:r>
          </w:p>
        </w:tc>
        <w:tc>
          <w:tcPr>
            <w:tcW w:w="60" w:type="dxa"/>
            <w:vAlign w:val="bottom"/>
          </w:tcPr>
          <w:p>
            <w:pPr>
              <w:spacing w:after="0"/>
              <w:rPr>
                <w:sz w:val="9"/>
                <w:szCs w:val="9"/>
                <w:color w:val="auto"/>
              </w:rPr>
            </w:pPr>
          </w:p>
        </w:tc>
        <w:tc>
          <w:tcPr>
            <w:tcW w:w="5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Three</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74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5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70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from</w:t>
            </w:r>
          </w:p>
        </w:tc>
        <w:tc>
          <w:tcPr>
            <w:tcW w:w="60" w:type="dxa"/>
            <w:vAlign w:val="bottom"/>
          </w:tcPr>
          <w:p>
            <w:pPr>
              <w:spacing w:after="0"/>
              <w:rPr>
                <w:sz w:val="9"/>
                <w:szCs w:val="9"/>
                <w:color w:val="auto"/>
              </w:rPr>
            </w:pPr>
          </w:p>
        </w:tc>
        <w:tc>
          <w:tcPr>
            <w:tcW w:w="5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64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74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64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82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0"/>
              </w:rPr>
              <w:t>July 16, 2019</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July 1,</w:t>
            </w:r>
          </w:p>
        </w:tc>
        <w:tc>
          <w:tcPr>
            <w:tcW w:w="60" w:type="dxa"/>
            <w:vAlign w:val="bottom"/>
          </w:tcPr>
          <w:p>
            <w:pPr>
              <w:spacing w:after="0"/>
              <w:rPr>
                <w:sz w:val="9"/>
                <w:szCs w:val="9"/>
                <w:color w:val="auto"/>
              </w:rPr>
            </w:pPr>
          </w:p>
        </w:tc>
        <w:tc>
          <w:tcPr>
            <w:tcW w:w="5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6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7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5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4"/>
              </w:rPr>
              <w:t>to</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2"/>
              </w:rPr>
              <w:t>2019 to</w:t>
            </w:r>
          </w:p>
        </w:tc>
        <w:tc>
          <w:tcPr>
            <w:tcW w:w="60" w:type="dxa"/>
            <w:vAlign w:val="bottom"/>
          </w:tcPr>
          <w:p>
            <w:pPr>
              <w:spacing w:after="0"/>
              <w:rPr>
                <w:sz w:val="9"/>
                <w:szCs w:val="9"/>
                <w:color w:val="auto"/>
              </w:rPr>
            </w:pPr>
          </w:p>
        </w:tc>
        <w:tc>
          <w:tcPr>
            <w:tcW w:w="5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8"/>
              </w:rPr>
              <w:t>Ended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00"/>
        </w:trPr>
        <w:tc>
          <w:tcPr>
            <w:tcW w:w="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87"/>
              </w:rPr>
              <w:t>(</w:t>
            </w:r>
            <w:r>
              <w:rPr>
                <w:rFonts w:ascii="Arial" w:cs="Arial" w:eastAsia="Arial" w:hAnsi="Arial"/>
                <w:sz w:val="10"/>
                <w:szCs w:val="10"/>
                <w:b w:val="1"/>
                <w:bCs w:val="1"/>
                <w:color w:val="auto"/>
                <w:w w:val="87"/>
              </w:rPr>
              <w:t>$ in thousands)</w:t>
            </w:r>
          </w:p>
        </w:tc>
        <w:tc>
          <w:tcPr>
            <w:tcW w:w="1120" w:type="dxa"/>
            <w:vAlign w:val="bottom"/>
            <w:vMerge w:val="restart"/>
          </w:tcPr>
          <w:p>
            <w:pPr>
              <w:spacing w:after="0"/>
              <w:rPr>
                <w:sz w:val="8"/>
                <w:szCs w:val="8"/>
                <w:color w:val="auto"/>
              </w:rPr>
            </w:pPr>
          </w:p>
        </w:tc>
        <w:tc>
          <w:tcPr>
            <w:tcW w:w="820" w:type="dxa"/>
            <w:vAlign w:val="bottom"/>
            <w:gridSpan w:val="3"/>
          </w:tcPr>
          <w:p>
            <w:pPr>
              <w:jc w:val="center"/>
              <w:ind w:right="200"/>
              <w:spacing w:after="0" w:line="81" w:lineRule="exact"/>
              <w:rPr>
                <w:sz w:val="20"/>
                <w:szCs w:val="20"/>
                <w:color w:val="auto"/>
              </w:rPr>
            </w:pPr>
            <w:r>
              <w:rPr>
                <w:rFonts w:ascii="Arial" w:cs="Arial" w:eastAsia="Arial" w:hAnsi="Arial"/>
                <w:sz w:val="9"/>
                <w:szCs w:val="9"/>
                <w:b w:val="1"/>
                <w:bCs w:val="1"/>
                <w:color w:val="auto"/>
              </w:rPr>
              <w:t>September 30,</w:t>
            </w:r>
          </w:p>
        </w:tc>
        <w:tc>
          <w:tcPr>
            <w:tcW w:w="60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June 30,</w:t>
            </w:r>
          </w:p>
        </w:tc>
        <w:tc>
          <w:tcPr>
            <w:tcW w:w="640" w:type="dxa"/>
            <w:vAlign w:val="bottom"/>
            <w:gridSpan w:val="3"/>
          </w:tcPr>
          <w:p>
            <w:pPr>
              <w:jc w:val="center"/>
              <w:ind w:right="200"/>
              <w:spacing w:after="0" w:line="81" w:lineRule="exact"/>
              <w:rPr>
                <w:sz w:val="20"/>
                <w:szCs w:val="20"/>
                <w:color w:val="auto"/>
              </w:rPr>
            </w:pPr>
            <w:r>
              <w:rPr>
                <w:rFonts w:ascii="Arial" w:cs="Arial" w:eastAsia="Arial" w:hAnsi="Arial"/>
                <w:sz w:val="9"/>
                <w:szCs w:val="9"/>
                <w:b w:val="1"/>
                <w:bCs w:val="1"/>
                <w:color w:val="auto"/>
              </w:rPr>
              <w:t>March 31,</w:t>
            </w:r>
          </w:p>
        </w:tc>
        <w:tc>
          <w:tcPr>
            <w:tcW w:w="800" w:type="dxa"/>
            <w:vAlign w:val="bottom"/>
            <w:gridSpan w:val="3"/>
          </w:tcPr>
          <w:p>
            <w:pPr>
              <w:jc w:val="center"/>
              <w:ind w:right="200"/>
              <w:spacing w:after="0" w:line="81" w:lineRule="exact"/>
              <w:rPr>
                <w:sz w:val="20"/>
                <w:szCs w:val="20"/>
                <w:color w:val="auto"/>
              </w:rPr>
            </w:pPr>
            <w:r>
              <w:rPr>
                <w:rFonts w:ascii="Arial" w:cs="Arial" w:eastAsia="Arial" w:hAnsi="Arial"/>
                <w:sz w:val="9"/>
                <w:szCs w:val="9"/>
                <w:b w:val="1"/>
                <w:bCs w:val="1"/>
                <w:color w:val="auto"/>
              </w:rPr>
              <w:t>December 31,</w:t>
            </w:r>
          </w:p>
        </w:tc>
        <w:tc>
          <w:tcPr>
            <w:tcW w:w="820" w:type="dxa"/>
            <w:vAlign w:val="bottom"/>
            <w:gridSpan w:val="3"/>
          </w:tcPr>
          <w:p>
            <w:pPr>
              <w:jc w:val="center"/>
              <w:ind w:right="200"/>
              <w:spacing w:after="0" w:line="81" w:lineRule="exact"/>
              <w:rPr>
                <w:sz w:val="20"/>
                <w:szCs w:val="20"/>
                <w:color w:val="auto"/>
              </w:rPr>
            </w:pPr>
            <w:r>
              <w:rPr>
                <w:rFonts w:ascii="Arial" w:cs="Arial" w:eastAsia="Arial" w:hAnsi="Arial"/>
                <w:sz w:val="9"/>
                <w:szCs w:val="9"/>
                <w:b w:val="1"/>
                <w:bCs w:val="1"/>
                <w:color w:val="auto"/>
              </w:rPr>
              <w:t>September 30,</w:t>
            </w:r>
          </w:p>
        </w:tc>
        <w:tc>
          <w:tcPr>
            <w:tcW w:w="60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June 30,</w:t>
            </w:r>
          </w:p>
        </w:tc>
        <w:tc>
          <w:tcPr>
            <w:tcW w:w="640" w:type="dxa"/>
            <w:vAlign w:val="bottom"/>
            <w:gridSpan w:val="3"/>
          </w:tcPr>
          <w:p>
            <w:pPr>
              <w:jc w:val="center"/>
              <w:ind w:right="200"/>
              <w:spacing w:after="0" w:line="81" w:lineRule="exact"/>
              <w:rPr>
                <w:sz w:val="20"/>
                <w:szCs w:val="20"/>
                <w:color w:val="auto"/>
              </w:rPr>
            </w:pPr>
            <w:r>
              <w:rPr>
                <w:rFonts w:ascii="Arial" w:cs="Arial" w:eastAsia="Arial" w:hAnsi="Arial"/>
                <w:sz w:val="9"/>
                <w:szCs w:val="9"/>
                <w:b w:val="1"/>
                <w:bCs w:val="1"/>
                <w:color w:val="auto"/>
              </w:rPr>
              <w:t>March 31,</w:t>
            </w:r>
          </w:p>
        </w:tc>
        <w:tc>
          <w:tcPr>
            <w:tcW w:w="800" w:type="dxa"/>
            <w:vAlign w:val="bottom"/>
            <w:gridSpan w:val="3"/>
          </w:tcPr>
          <w:p>
            <w:pPr>
              <w:jc w:val="center"/>
              <w:ind w:right="180"/>
              <w:spacing w:after="0" w:line="81" w:lineRule="exact"/>
              <w:rPr>
                <w:sz w:val="20"/>
                <w:szCs w:val="20"/>
                <w:color w:val="auto"/>
              </w:rPr>
            </w:pPr>
            <w:r>
              <w:rPr>
                <w:rFonts w:ascii="Arial" w:cs="Arial" w:eastAsia="Arial" w:hAnsi="Arial"/>
                <w:sz w:val="9"/>
                <w:szCs w:val="9"/>
                <w:b w:val="1"/>
                <w:bCs w:val="1"/>
                <w:color w:val="auto"/>
                <w:w w:val="99"/>
              </w:rPr>
              <w:t>December 31,</w:t>
            </w:r>
          </w:p>
        </w:tc>
        <w:tc>
          <w:tcPr>
            <w:tcW w:w="820" w:type="dxa"/>
            <w:vAlign w:val="bottom"/>
            <w:gridSpan w:val="3"/>
          </w:tcPr>
          <w:p>
            <w:pPr>
              <w:jc w:val="center"/>
              <w:ind w:right="200"/>
              <w:spacing w:after="0" w:line="81" w:lineRule="exact"/>
              <w:rPr>
                <w:sz w:val="20"/>
                <w:szCs w:val="20"/>
                <w:color w:val="auto"/>
              </w:rPr>
            </w:pPr>
            <w:r>
              <w:rPr>
                <w:rFonts w:ascii="Arial" w:cs="Arial" w:eastAsia="Arial" w:hAnsi="Arial"/>
                <w:sz w:val="9"/>
                <w:szCs w:val="9"/>
                <w:b w:val="1"/>
                <w:bCs w:val="1"/>
                <w:color w:val="auto"/>
              </w:rPr>
              <w:t>September 30,</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6"/>
              </w:rPr>
              <w:t>July 15,</w:t>
            </w:r>
          </w:p>
        </w:tc>
        <w:tc>
          <w:tcPr>
            <w:tcW w:w="60" w:type="dxa"/>
            <w:vAlign w:val="bottom"/>
          </w:tcPr>
          <w:p>
            <w:pPr>
              <w:spacing w:after="0"/>
              <w:rPr>
                <w:sz w:val="8"/>
                <w:szCs w:val="8"/>
                <w:color w:val="auto"/>
              </w:rPr>
            </w:pPr>
          </w:p>
        </w:tc>
        <w:tc>
          <w:tcPr>
            <w:tcW w:w="54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June 30,</w:t>
            </w:r>
          </w:p>
        </w:tc>
        <w:tc>
          <w:tcPr>
            <w:tcW w:w="40" w:type="dxa"/>
            <w:vAlign w:val="bottom"/>
          </w:tcPr>
          <w:p>
            <w:pPr>
              <w:spacing w:after="0"/>
              <w:rPr>
                <w:sz w:val="8"/>
                <w:szCs w:val="8"/>
                <w:color w:val="auto"/>
              </w:rPr>
            </w:pPr>
          </w:p>
        </w:tc>
        <w:tc>
          <w:tcPr>
            <w:tcW w:w="600" w:type="dxa"/>
            <w:vAlign w:val="bottom"/>
            <w:gridSpan w:val="3"/>
          </w:tcPr>
          <w:p>
            <w:pPr>
              <w:jc w:val="center"/>
              <w:ind w:right="140"/>
              <w:spacing w:after="0" w:line="81" w:lineRule="exact"/>
              <w:rPr>
                <w:sz w:val="20"/>
                <w:szCs w:val="20"/>
                <w:color w:val="auto"/>
              </w:rPr>
            </w:pPr>
            <w:r>
              <w:rPr>
                <w:rFonts w:ascii="Arial" w:cs="Arial" w:eastAsia="Arial" w:hAnsi="Arial"/>
                <w:sz w:val="9"/>
                <w:szCs w:val="9"/>
                <w:b w:val="1"/>
                <w:bCs w:val="1"/>
                <w:color w:val="auto"/>
              </w:rPr>
              <w:t>March 31,</w:t>
            </w:r>
          </w:p>
        </w:tc>
        <w:tc>
          <w:tcPr>
            <w:tcW w:w="0" w:type="dxa"/>
            <w:vAlign w:val="bottom"/>
          </w:tcPr>
          <w:p>
            <w:pPr>
              <w:spacing w:after="0"/>
              <w:rPr>
                <w:sz w:val="1"/>
                <w:szCs w:val="1"/>
                <w:color w:val="auto"/>
              </w:rPr>
            </w:pPr>
          </w:p>
        </w:tc>
      </w:tr>
      <w:tr>
        <w:trPr>
          <w:trHeight w:val="154"/>
        </w:trPr>
        <w:tc>
          <w:tcPr>
            <w:tcW w:w="700" w:type="dxa"/>
            <w:vAlign w:val="bottom"/>
            <w:tcBorders>
              <w:bottom w:val="single" w:sz="8" w:color="auto"/>
            </w:tcBorders>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44"/>
              <w:spacing w:after="0" w:line="94" w:lineRule="exact"/>
              <w:rPr>
                <w:sz w:val="20"/>
                <w:szCs w:val="20"/>
                <w:color w:val="auto"/>
              </w:rPr>
            </w:pPr>
            <w:r>
              <w:rPr>
                <w:rFonts w:ascii="Arial" w:cs="Arial" w:eastAsia="Arial" w:hAnsi="Arial"/>
                <w:sz w:val="10"/>
                <w:szCs w:val="10"/>
                <w:b w:val="1"/>
                <w:bCs w:val="1"/>
                <w:color w:val="auto"/>
                <w:w w:val="98"/>
              </w:rPr>
              <w:t>2021</w:t>
            </w:r>
          </w:p>
        </w:tc>
        <w:tc>
          <w:tcPr>
            <w:tcW w:w="200" w:type="dxa"/>
            <w:vAlign w:val="bottom"/>
          </w:tcPr>
          <w:p>
            <w:pPr>
              <w:spacing w:after="0"/>
              <w:rPr>
                <w:sz w:val="13"/>
                <w:szCs w:val="13"/>
                <w:color w:val="auto"/>
              </w:rPr>
            </w:pPr>
          </w:p>
        </w:tc>
        <w:tc>
          <w:tcPr>
            <w:tcW w:w="4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center"/>
              <w:ind w:right="4"/>
              <w:spacing w:after="0" w:line="94" w:lineRule="exact"/>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center"/>
              <w:ind w:right="44"/>
              <w:spacing w:after="0" w:line="9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5"/>
              <w:spacing w:after="0" w:line="9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3"/>
                <w:szCs w:val="13"/>
                <w:color w:val="auto"/>
              </w:rPr>
            </w:pPr>
          </w:p>
        </w:tc>
        <w:tc>
          <w:tcPr>
            <w:tcW w:w="40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center"/>
              <w:ind w:right="24"/>
              <w:spacing w:after="0" w:line="9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center"/>
              <w:ind w:right="44"/>
              <w:spacing w:after="0" w:line="94" w:lineRule="exact"/>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center"/>
              <w:ind w:right="44"/>
              <w:spacing w:after="0" w:line="94" w:lineRule="exact"/>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500" w:type="dxa"/>
            <w:vAlign w:val="bottom"/>
            <w:gridSpan w:val="2"/>
          </w:tcPr>
          <w:p>
            <w:pPr>
              <w:jc w:val="center"/>
              <w:ind w:left="83"/>
              <w:spacing w:after="0" w:line="94" w:lineRule="exact"/>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13"/>
                <w:szCs w:val="13"/>
                <w:color w:val="auto"/>
              </w:rPr>
            </w:pPr>
          </w:p>
        </w:tc>
        <w:tc>
          <w:tcPr>
            <w:tcW w:w="440" w:type="dxa"/>
            <w:vAlign w:val="bottom"/>
            <w:gridSpan w:val="2"/>
          </w:tcPr>
          <w:p>
            <w:pPr>
              <w:jc w:val="center"/>
              <w:ind w:left="3"/>
              <w:spacing w:after="0" w:line="94" w:lineRule="exact"/>
              <w:rPr>
                <w:sz w:val="20"/>
                <w:szCs w:val="20"/>
                <w:color w:val="auto"/>
              </w:rPr>
            </w:pPr>
            <w:r>
              <w:rPr>
                <w:rFonts w:ascii="Arial" w:cs="Arial" w:eastAsia="Arial" w:hAnsi="Arial"/>
                <w:sz w:val="10"/>
                <w:szCs w:val="10"/>
                <w:b w:val="1"/>
                <w:bCs w:val="1"/>
                <w:color w:val="auto"/>
                <w:w w:val="98"/>
              </w:rPr>
              <w:t>2019</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ind w:right="24"/>
              <w:spacing w:after="0" w:line="94" w:lineRule="exact"/>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820" w:type="dxa"/>
            <w:vAlign w:val="bottom"/>
            <w:tcBorders>
              <w:top w:val="single" w:sz="8" w:color="CCEEFF"/>
            </w:tcBorders>
            <w:gridSpan w:val="2"/>
            <w:shd w:val="clear" w:color="auto" w:fill="CCEEFF"/>
          </w:tcPr>
          <w:p>
            <w:pPr>
              <w:spacing w:after="0" w:line="105" w:lineRule="exact"/>
              <w:rPr>
                <w:sz w:val="20"/>
                <w:szCs w:val="20"/>
                <w:color w:val="auto"/>
              </w:rPr>
            </w:pPr>
            <w:r>
              <w:rPr>
                <w:rFonts w:ascii="Arial" w:cs="Arial" w:eastAsia="Arial" w:hAnsi="Arial"/>
                <w:sz w:val="12"/>
                <w:szCs w:val="12"/>
                <w:color w:val="auto"/>
              </w:rPr>
              <w:t>Reported gross profit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rPr>
              <w:t>32,599</w:t>
            </w:r>
          </w:p>
        </w:tc>
        <w:tc>
          <w:tcPr>
            <w:tcW w:w="2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w w:val="87"/>
              </w:rPr>
              <w:t>$29,952</w:t>
            </w: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w w:val="97"/>
              </w:rPr>
              <w:t>27,499</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rPr>
              <w:t>25,344</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rPr>
              <w:t>22,660</w:t>
            </w:r>
          </w:p>
        </w:tc>
        <w:tc>
          <w:tcPr>
            <w:tcW w:w="2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w w:val="87"/>
              </w:rPr>
              <w:t>$20,939</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w w:val="92"/>
              </w:rPr>
              <w:t>18,906</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rPr>
              <w:t>15,796</w:t>
            </w: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rPr>
              <w:t>10,967</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left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w w:val="84"/>
              </w:rPr>
              <w:t>$ 3,297</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w w:val="82"/>
              </w:rPr>
              <w:t>$20,177</w:t>
            </w: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w w:val="97"/>
              </w:rPr>
              <w:t>16,656</w:t>
            </w: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820" w:type="dxa"/>
            <w:vAlign w:val="bottom"/>
            <w:gridSpan w:val="2"/>
          </w:tcPr>
          <w:p>
            <w:pPr>
              <w:spacing w:after="0" w:line="113" w:lineRule="exact"/>
              <w:rPr>
                <w:sz w:val="20"/>
                <w:szCs w:val="20"/>
                <w:color w:val="auto"/>
              </w:rPr>
            </w:pPr>
            <w:r>
              <w:rPr>
                <w:rFonts w:ascii="Arial" w:cs="Arial" w:eastAsia="Arial" w:hAnsi="Arial"/>
                <w:sz w:val="12"/>
                <w:szCs w:val="12"/>
                <w:color w:val="auto"/>
              </w:rPr>
              <w:t>Amortization of intangible assets</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20" w:type="dxa"/>
            <w:vAlign w:val="bottom"/>
            <w:gridSpan w:val="2"/>
          </w:tcPr>
          <w:p>
            <w:pPr>
              <w:ind w:left="120"/>
              <w:spacing w:after="0" w:line="127" w:lineRule="exact"/>
              <w:rPr>
                <w:sz w:val="20"/>
                <w:szCs w:val="20"/>
                <w:color w:val="auto"/>
              </w:rPr>
            </w:pPr>
            <w:r>
              <w:rPr>
                <w:rFonts w:ascii="Arial" w:cs="Arial" w:eastAsia="Arial" w:hAnsi="Arial"/>
                <w:sz w:val="12"/>
                <w:szCs w:val="12"/>
                <w:color w:val="auto"/>
                <w:w w:val="96"/>
              </w:rPr>
              <w:t>resulting from acquisition-related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20" w:type="dxa"/>
            <w:vAlign w:val="bottom"/>
            <w:gridSpan w:val="2"/>
          </w:tcPr>
          <w:p>
            <w:pPr>
              <w:ind w:left="120"/>
              <w:spacing w:after="0" w:line="127" w:lineRule="exact"/>
              <w:rPr>
                <w:sz w:val="20"/>
                <w:szCs w:val="20"/>
                <w:color w:val="auto"/>
              </w:rPr>
            </w:pPr>
            <w:r>
              <w:rPr>
                <w:rFonts w:ascii="Arial" w:cs="Arial" w:eastAsia="Arial" w:hAnsi="Arial"/>
                <w:sz w:val="12"/>
                <w:szCs w:val="12"/>
                <w:color w:val="auto"/>
              </w:rPr>
              <w:t>purchase accounting</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20" w:type="dxa"/>
            <w:vAlign w:val="bottom"/>
            <w:gridSpan w:val="2"/>
          </w:tcPr>
          <w:p>
            <w:pPr>
              <w:ind w:left="120"/>
              <w:spacing w:after="0"/>
              <w:rPr>
                <w:sz w:val="20"/>
                <w:szCs w:val="20"/>
                <w:color w:val="auto"/>
              </w:rPr>
            </w:pPr>
            <w:r>
              <w:rPr>
                <w:rFonts w:ascii="Arial" w:cs="Arial" w:eastAsia="Arial" w:hAnsi="Arial"/>
                <w:sz w:val="12"/>
                <w:szCs w:val="12"/>
                <w:color w:val="auto"/>
              </w:rPr>
              <w:t>adjustments</w:t>
            </w:r>
            <w:r>
              <w:rPr>
                <w:rFonts w:ascii="Arial" w:cs="Arial" w:eastAsia="Arial" w:hAnsi="Arial"/>
                <w:sz w:val="8"/>
                <w:szCs w:val="8"/>
                <w:color w:val="auto"/>
              </w:rPr>
              <w:t>(1)</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5,096</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5,042</w:t>
            </w:r>
          </w:p>
        </w:tc>
        <w:tc>
          <w:tcPr>
            <w:tcW w:w="6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4,987</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4,994</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4,759</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4,708</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4,708</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4,696</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3,906</w:t>
            </w:r>
          </w:p>
        </w:tc>
        <w:tc>
          <w:tcPr>
            <w:tcW w:w="100" w:type="dxa"/>
            <w:vAlign w:val="bottom"/>
            <w:gridSpan w:val="2"/>
          </w:tcPr>
          <w:p>
            <w:pPr>
              <w:spacing w:after="0"/>
              <w:rPr>
                <w:sz w:val="12"/>
                <w:szCs w:val="12"/>
                <w:color w:val="auto"/>
              </w:rPr>
            </w:pPr>
          </w:p>
        </w:tc>
        <w:tc>
          <w:tcPr>
            <w:tcW w:w="500" w:type="dxa"/>
            <w:vAlign w:val="bottom"/>
            <w:tcBorders>
              <w:left w:val="single" w:sz="8" w:color="auto"/>
            </w:tcBorders>
            <w:gridSpan w:val="2"/>
          </w:tcPr>
          <w:p>
            <w:pPr>
              <w:jc w:val="right"/>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12"/>
                <w:szCs w:val="12"/>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249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27"/>
        </w:trPr>
        <w:tc>
          <w:tcPr>
            <w:tcW w:w="18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Equity compensation costs</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48</w:t>
            </w:r>
          </w:p>
        </w:tc>
        <w:tc>
          <w:tcPr>
            <w:tcW w:w="6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16</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16</w:t>
            </w:r>
          </w:p>
        </w:tc>
        <w:tc>
          <w:tcPr>
            <w:tcW w:w="6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13</w:t>
            </w:r>
          </w:p>
        </w:tc>
        <w:tc>
          <w:tcPr>
            <w:tcW w:w="100" w:type="dxa"/>
            <w:vAlign w:val="bottom"/>
            <w:gridSpan w:val="2"/>
            <w:shd w:val="clear" w:color="auto" w:fill="CCEEFF"/>
          </w:tcPr>
          <w:p>
            <w:pPr>
              <w:spacing w:after="0"/>
              <w:rPr>
                <w:sz w:val="11"/>
                <w:szCs w:val="11"/>
                <w:color w:val="auto"/>
              </w:rPr>
            </w:pPr>
          </w:p>
        </w:tc>
        <w:tc>
          <w:tcPr>
            <w:tcW w:w="640" w:type="dxa"/>
            <w:vAlign w:val="bottom"/>
            <w:tcBorders>
              <w:left w:val="single" w:sz="8" w:color="auto"/>
            </w:tcBorders>
            <w:gridSpan w:val="3"/>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107</w:t>
            </w:r>
          </w:p>
        </w:tc>
        <w:tc>
          <w:tcPr>
            <w:tcW w:w="44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75</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line="132" w:lineRule="exact"/>
              <w:rPr>
                <w:sz w:val="20"/>
                <w:szCs w:val="20"/>
                <w:color w:val="auto"/>
              </w:rPr>
            </w:pPr>
            <w:r>
              <w:rPr>
                <w:rFonts w:ascii="Arial" w:cs="Arial" w:eastAsia="Arial" w:hAnsi="Arial"/>
                <w:sz w:val="12"/>
                <w:szCs w:val="12"/>
                <w:color w:val="auto"/>
              </w:rPr>
              <w:t>Adjusted Gross Profit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rPr>
              <w:t>37,743</w:t>
            </w:r>
          </w:p>
        </w:tc>
        <w:tc>
          <w:tcPr>
            <w:tcW w:w="60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w w:val="87"/>
              </w:rPr>
              <w:t>$35,010</w:t>
            </w: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w w:val="97"/>
              </w:rPr>
              <w:t>32,501</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rPr>
              <w:t>30,354</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rPr>
              <w:t>27,435</w:t>
            </w:r>
          </w:p>
        </w:tc>
        <w:tc>
          <w:tcPr>
            <w:tcW w:w="60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w w:val="87"/>
              </w:rPr>
              <w:t>$25,662</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w w:val="92"/>
              </w:rPr>
              <w:t>23,629</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rPr>
              <w:t>20,507</w:t>
            </w:r>
          </w:p>
        </w:tc>
        <w:tc>
          <w:tcPr>
            <w:tcW w:w="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gridSpan w:val="2"/>
            <w:vMerge w:val="restart"/>
          </w:tcPr>
          <w:p>
            <w:pPr>
              <w:jc w:val="right"/>
              <w:ind w:right="200"/>
              <w:spacing w:after="0" w:line="132" w:lineRule="exact"/>
              <w:rPr>
                <w:sz w:val="20"/>
                <w:szCs w:val="20"/>
                <w:color w:val="auto"/>
              </w:rPr>
            </w:pPr>
            <w:r>
              <w:rPr>
                <w:rFonts w:ascii="Arial" w:cs="Arial" w:eastAsia="Arial" w:hAnsi="Arial"/>
                <w:sz w:val="12"/>
                <w:szCs w:val="12"/>
                <w:color w:val="auto"/>
              </w:rPr>
              <w:t>14,886</w:t>
            </w:r>
          </w:p>
        </w:tc>
        <w:tc>
          <w:tcPr>
            <w:tcW w:w="80" w:type="dxa"/>
            <w:vAlign w:val="bottom"/>
            <w:tcBorders>
              <w:top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tcBorders>
            <w:gridSpan w:val="2"/>
            <w:vMerge w:val="restart"/>
          </w:tcPr>
          <w:p>
            <w:pPr>
              <w:jc w:val="right"/>
              <w:ind w:right="140"/>
              <w:spacing w:after="0" w:line="132" w:lineRule="exact"/>
              <w:rPr>
                <w:sz w:val="20"/>
                <w:szCs w:val="20"/>
                <w:color w:val="auto"/>
              </w:rPr>
            </w:pPr>
            <w:r>
              <w:rPr>
                <w:rFonts w:ascii="Arial" w:cs="Arial" w:eastAsia="Arial" w:hAnsi="Arial"/>
                <w:sz w:val="12"/>
                <w:szCs w:val="12"/>
                <w:color w:val="auto"/>
                <w:w w:val="84"/>
              </w:rPr>
              <w:t>$ 3,445</w:t>
            </w:r>
          </w:p>
        </w:tc>
        <w:tc>
          <w:tcPr>
            <w:tcW w:w="600" w:type="dxa"/>
            <w:vAlign w:val="bottom"/>
            <w:tcBorders>
              <w:top w:val="single" w:sz="8" w:color="auto"/>
            </w:tcBorders>
            <w:gridSpan w:val="3"/>
            <w:vMerge w:val="restart"/>
          </w:tcPr>
          <w:p>
            <w:pPr>
              <w:jc w:val="right"/>
              <w:ind w:right="160"/>
              <w:spacing w:after="0" w:line="132" w:lineRule="exact"/>
              <w:rPr>
                <w:sz w:val="20"/>
                <w:szCs w:val="20"/>
                <w:color w:val="auto"/>
              </w:rPr>
            </w:pPr>
            <w:r>
              <w:rPr>
                <w:rFonts w:ascii="Arial" w:cs="Arial" w:eastAsia="Arial" w:hAnsi="Arial"/>
                <w:sz w:val="12"/>
                <w:szCs w:val="12"/>
                <w:color w:val="auto"/>
                <w:w w:val="96"/>
              </w:rPr>
              <w:t>$20,501</w:t>
            </w:r>
          </w:p>
        </w:tc>
        <w:tc>
          <w:tcPr>
            <w:tcW w:w="120" w:type="dxa"/>
            <w:vAlign w:val="bottom"/>
            <w:tcBorders>
              <w:top w:val="single" w:sz="8" w:color="auto"/>
            </w:tcBorders>
            <w:gridSpan w:val="2"/>
            <w:vMerge w:val="restart"/>
          </w:tcPr>
          <w:p>
            <w:pPr>
              <w:jc w:val="right"/>
              <w:spacing w:after="0" w:line="132"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auto"/>
            </w:tcBorders>
            <w:vMerge w:val="restart"/>
          </w:tcPr>
          <w:p>
            <w:pPr>
              <w:jc w:val="right"/>
              <w:spacing w:after="0" w:line="132" w:lineRule="exact"/>
              <w:rPr>
                <w:sz w:val="20"/>
                <w:szCs w:val="20"/>
                <w:color w:val="auto"/>
              </w:rPr>
            </w:pPr>
            <w:r>
              <w:rPr>
                <w:rFonts w:ascii="Arial" w:cs="Arial" w:eastAsia="Arial" w:hAnsi="Arial"/>
                <w:sz w:val="12"/>
                <w:szCs w:val="12"/>
                <w:color w:val="auto"/>
                <w:w w:val="97"/>
              </w:rPr>
              <w:t>16,938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2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2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Revenue</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43,084</w:t>
            </w:r>
          </w:p>
        </w:tc>
        <w:tc>
          <w:tcPr>
            <w:tcW w:w="6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39,821</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w w:val="97"/>
              </w:rPr>
              <w:t>36,936</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33,658</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30,073</w:t>
            </w:r>
          </w:p>
        </w:tc>
        <w:tc>
          <w:tcPr>
            <w:tcW w:w="6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28,245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w w:val="92"/>
              </w:rPr>
              <w:t>26,341</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23,233</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16,812</w:t>
            </w:r>
          </w:p>
        </w:tc>
        <w:tc>
          <w:tcPr>
            <w:tcW w:w="100" w:type="dxa"/>
            <w:vAlign w:val="bottom"/>
            <w:gridSpan w:val="2"/>
            <w:shd w:val="clear" w:color="auto" w:fill="CCEEFF"/>
          </w:tcPr>
          <w:p>
            <w:pPr>
              <w:spacing w:after="0"/>
              <w:rPr>
                <w:sz w:val="11"/>
                <w:szCs w:val="11"/>
                <w:color w:val="auto"/>
              </w:rPr>
            </w:pPr>
          </w:p>
        </w:tc>
        <w:tc>
          <w:tcPr>
            <w:tcW w:w="640" w:type="dxa"/>
            <w:vAlign w:val="bottom"/>
            <w:tcBorders>
              <w:left w:val="single" w:sz="8" w:color="auto"/>
            </w:tcBorders>
            <w:gridSpan w:val="3"/>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3,829</w:t>
            </w:r>
          </w:p>
        </w:tc>
        <w:tc>
          <w:tcPr>
            <w:tcW w:w="600" w:type="dxa"/>
            <w:vAlign w:val="bottom"/>
            <w:gridSpan w:val="3"/>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22,631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w w:val="97"/>
              </w:rPr>
              <w:t>18,998</w:t>
            </w:r>
          </w:p>
        </w:tc>
        <w:tc>
          <w:tcPr>
            <w:tcW w:w="0" w:type="dxa"/>
            <w:vAlign w:val="bottom"/>
          </w:tcPr>
          <w:p>
            <w:pPr>
              <w:spacing w:after="0"/>
              <w:rPr>
                <w:sz w:val="1"/>
                <w:szCs w:val="1"/>
                <w:color w:val="auto"/>
              </w:rPr>
            </w:pPr>
          </w:p>
        </w:tc>
      </w:tr>
      <w:tr>
        <w:trPr>
          <w:trHeight w:val="127"/>
        </w:trPr>
        <w:tc>
          <w:tcPr>
            <w:tcW w:w="1820" w:type="dxa"/>
            <w:vAlign w:val="bottom"/>
            <w:gridSpan w:val="2"/>
          </w:tcPr>
          <w:p>
            <w:pPr>
              <w:spacing w:after="0" w:line="127" w:lineRule="exact"/>
              <w:rPr>
                <w:sz w:val="20"/>
                <w:szCs w:val="20"/>
                <w:color w:val="auto"/>
              </w:rPr>
            </w:pPr>
            <w:r>
              <w:rPr>
                <w:rFonts w:ascii="Arial" w:cs="Arial" w:eastAsia="Arial" w:hAnsi="Arial"/>
                <w:sz w:val="12"/>
                <w:szCs w:val="12"/>
                <w:color w:val="auto"/>
              </w:rPr>
              <w:t>Adjusted Gross Margin</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88%</w:t>
            </w:r>
          </w:p>
        </w:tc>
        <w:tc>
          <w:tcPr>
            <w:tcW w:w="6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88%</w:t>
            </w:r>
          </w:p>
        </w:tc>
        <w:tc>
          <w:tcPr>
            <w:tcW w:w="60" w:type="dxa"/>
            <w:vAlign w:val="bottom"/>
          </w:tcPr>
          <w:p>
            <w:pPr>
              <w:spacing w:after="0"/>
              <w:rPr>
                <w:sz w:val="11"/>
                <w:szCs w:val="11"/>
                <w:color w:val="auto"/>
              </w:rPr>
            </w:pPr>
          </w:p>
        </w:tc>
        <w:tc>
          <w:tcPr>
            <w:tcW w:w="58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88%</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90%</w:t>
            </w:r>
          </w:p>
        </w:tc>
        <w:tc>
          <w:tcPr>
            <w:tcW w:w="80" w:type="dxa"/>
            <w:vAlign w:val="bottom"/>
          </w:tcPr>
          <w:p>
            <w:pPr>
              <w:spacing w:after="0"/>
              <w:rPr>
                <w:sz w:val="11"/>
                <w:szCs w:val="11"/>
                <w:color w:val="auto"/>
              </w:rPr>
            </w:pP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91%</w:t>
            </w:r>
          </w:p>
        </w:tc>
        <w:tc>
          <w:tcPr>
            <w:tcW w:w="6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91%</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90%</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88%</w:t>
            </w:r>
          </w:p>
        </w:tc>
        <w:tc>
          <w:tcPr>
            <w:tcW w:w="120" w:type="dxa"/>
            <w:vAlign w:val="bottom"/>
          </w:tcPr>
          <w:p>
            <w:pPr>
              <w:spacing w:after="0"/>
              <w:rPr>
                <w:sz w:val="11"/>
                <w:szCs w:val="11"/>
                <w:color w:val="auto"/>
              </w:rPr>
            </w:pPr>
          </w:p>
        </w:tc>
        <w:tc>
          <w:tcPr>
            <w:tcW w:w="7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89%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50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90%</w:t>
            </w:r>
          </w:p>
        </w:tc>
        <w:tc>
          <w:tcPr>
            <w:tcW w:w="600" w:type="dxa"/>
            <w:vAlign w:val="bottom"/>
            <w:gridSpan w:val="3"/>
          </w:tcPr>
          <w:p>
            <w:pPr>
              <w:jc w:val="right"/>
              <w:ind w:right="60"/>
              <w:spacing w:after="0" w:line="127" w:lineRule="exact"/>
              <w:rPr>
                <w:sz w:val="20"/>
                <w:szCs w:val="20"/>
                <w:color w:val="auto"/>
              </w:rPr>
            </w:pPr>
            <w:r>
              <w:rPr>
                <w:rFonts w:ascii="Arial" w:cs="Arial" w:eastAsia="Arial" w:hAnsi="Arial"/>
                <w:sz w:val="12"/>
                <w:szCs w:val="12"/>
                <w:color w:val="auto"/>
              </w:rPr>
              <w:t>91%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5702300</wp:posOffset>
            </wp:positionH>
            <wp:positionV relativeFrom="paragraph">
              <wp:posOffset>-763270</wp:posOffset>
            </wp:positionV>
            <wp:extent cx="158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-264795</wp:posOffset>
            </wp:positionV>
            <wp:extent cx="825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825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Gross Margin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2"/>
              </w:rPr>
              <w:t>Successor</w:t>
            </w: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89"/>
              </w:rPr>
              <w:t>Predecessor</w:t>
            </w: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w w:val="96"/>
              </w:rPr>
              <w:t>Period</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Three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6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920" w:type="dxa"/>
            <w:vAlign w:val="bottom"/>
            <w:tcBorders>
              <w:right w:val="single" w:sz="8" w:color="auto"/>
            </w:tcBorders>
            <w:gridSpan w:val="3"/>
          </w:tcPr>
          <w:p>
            <w:pPr>
              <w:jc w:val="center"/>
              <w:ind w:right="280"/>
              <w:spacing w:after="0" w:line="114" w:lineRule="exact"/>
              <w:rPr>
                <w:sz w:val="20"/>
                <w:szCs w:val="20"/>
                <w:color w:val="auto"/>
              </w:rPr>
            </w:pPr>
            <w:r>
              <w:rPr>
                <w:rFonts w:ascii="Arial" w:cs="Arial" w:eastAsia="Arial" w:hAnsi="Arial"/>
                <w:sz w:val="10"/>
                <w:szCs w:val="10"/>
                <w:b w:val="1"/>
                <w:bCs w:val="1"/>
                <w:color w:val="auto"/>
                <w:w w:val="92"/>
              </w:rPr>
              <w:t>Period from</w:t>
            </w:r>
          </w:p>
        </w:tc>
        <w:tc>
          <w:tcPr>
            <w:tcW w:w="160" w:type="dxa"/>
            <w:vAlign w:val="bottom"/>
          </w:tcPr>
          <w:p>
            <w:pPr>
              <w:spacing w:after="0"/>
              <w:rPr>
                <w:sz w:val="9"/>
                <w:szCs w:val="9"/>
                <w:color w:val="auto"/>
              </w:rPr>
            </w:pP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8"/>
              </w:rPr>
              <w:t>from</w:t>
            </w:r>
          </w:p>
        </w:tc>
        <w:tc>
          <w:tcPr>
            <w:tcW w:w="40" w:type="dxa"/>
            <w:vAlign w:val="bottom"/>
          </w:tcPr>
          <w:p>
            <w:pPr>
              <w:spacing w:after="0"/>
              <w:rPr>
                <w:sz w:val="9"/>
                <w:szCs w:val="9"/>
                <w:color w:val="auto"/>
              </w:rPr>
            </w:pPr>
          </w:p>
        </w:tc>
        <w:tc>
          <w:tcPr>
            <w:tcW w:w="5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Months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9"/>
              </w:rPr>
              <w:t>Months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Months</w:t>
            </w:r>
          </w:p>
        </w:tc>
        <w:tc>
          <w:tcPr>
            <w:tcW w:w="6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920" w:type="dxa"/>
            <w:vAlign w:val="bottom"/>
            <w:tcBorders>
              <w:right w:val="single" w:sz="8" w:color="auto"/>
            </w:tcBorders>
            <w:gridSpan w:val="3"/>
          </w:tcPr>
          <w:p>
            <w:pPr>
              <w:jc w:val="center"/>
              <w:ind w:right="280"/>
              <w:spacing w:after="0" w:line="114" w:lineRule="exact"/>
              <w:rPr>
                <w:sz w:val="20"/>
                <w:szCs w:val="20"/>
                <w:color w:val="auto"/>
              </w:rPr>
            </w:pPr>
            <w:r>
              <w:rPr>
                <w:rFonts w:ascii="Arial" w:cs="Arial" w:eastAsia="Arial" w:hAnsi="Arial"/>
                <w:sz w:val="10"/>
                <w:szCs w:val="10"/>
                <w:b w:val="1"/>
                <w:bCs w:val="1"/>
                <w:color w:val="auto"/>
                <w:w w:val="90"/>
              </w:rPr>
              <w:t>July 16, 2019</w:t>
            </w:r>
          </w:p>
        </w:tc>
        <w:tc>
          <w:tcPr>
            <w:tcW w:w="160" w:type="dxa"/>
            <w:vAlign w:val="bottom"/>
          </w:tcPr>
          <w:p>
            <w:pPr>
              <w:spacing w:after="0"/>
              <w:rPr>
                <w:sz w:val="9"/>
                <w:szCs w:val="9"/>
                <w:color w:val="auto"/>
              </w:rPr>
            </w:pP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6"/>
              </w:rPr>
              <w:t>July 1,</w:t>
            </w:r>
          </w:p>
        </w:tc>
        <w:tc>
          <w:tcPr>
            <w:tcW w:w="40" w:type="dxa"/>
            <w:vAlign w:val="bottom"/>
          </w:tcPr>
          <w:p>
            <w:pPr>
              <w:spacing w:after="0"/>
              <w:rPr>
                <w:sz w:val="9"/>
                <w:szCs w:val="9"/>
                <w:color w:val="auto"/>
              </w:rPr>
            </w:pPr>
          </w:p>
        </w:tc>
        <w:tc>
          <w:tcPr>
            <w:tcW w:w="5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Months</w:t>
            </w:r>
          </w:p>
        </w:tc>
        <w:tc>
          <w:tcPr>
            <w:tcW w:w="4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8"/>
              </w:rPr>
              <w:t>Ended</w:t>
            </w:r>
          </w:p>
        </w:tc>
        <w:tc>
          <w:tcPr>
            <w:tcW w:w="4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6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14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84"/>
              </w:rPr>
              <w:t>to</w:t>
            </w:r>
          </w:p>
        </w:tc>
        <w:tc>
          <w:tcPr>
            <w:tcW w:w="160" w:type="dxa"/>
            <w:vAlign w:val="bottom"/>
          </w:tcPr>
          <w:p>
            <w:pPr>
              <w:spacing w:after="0"/>
              <w:rPr>
                <w:sz w:val="9"/>
                <w:szCs w:val="9"/>
                <w:color w:val="auto"/>
              </w:rPr>
            </w:pP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6"/>
              </w:rPr>
              <w:t>2019 to</w:t>
            </w:r>
          </w:p>
        </w:tc>
        <w:tc>
          <w:tcPr>
            <w:tcW w:w="40" w:type="dxa"/>
            <w:vAlign w:val="bottom"/>
          </w:tcPr>
          <w:p>
            <w:pPr>
              <w:spacing w:after="0"/>
              <w:rPr>
                <w:sz w:val="9"/>
                <w:szCs w:val="9"/>
                <w:color w:val="auto"/>
              </w:rPr>
            </w:pPr>
          </w:p>
        </w:tc>
        <w:tc>
          <w:tcPr>
            <w:tcW w:w="5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4"/>
        </w:trPr>
        <w:tc>
          <w:tcPr>
            <w:tcW w:w="174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7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September 30,</w:t>
            </w:r>
          </w:p>
        </w:tc>
        <w:tc>
          <w:tcPr>
            <w:tcW w:w="6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June 30,</w:t>
            </w: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March 31,</w:t>
            </w:r>
          </w:p>
        </w:tc>
        <w:tc>
          <w:tcPr>
            <w:tcW w:w="40" w:type="dxa"/>
            <w:vAlign w:val="bottom"/>
          </w:tcPr>
          <w:p>
            <w:pPr>
              <w:spacing w:after="0"/>
              <w:rPr>
                <w:sz w:val="9"/>
                <w:szCs w:val="9"/>
                <w:color w:val="auto"/>
              </w:rPr>
            </w:pPr>
          </w:p>
        </w:tc>
        <w:tc>
          <w:tcPr>
            <w:tcW w:w="7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December 31,</w:t>
            </w:r>
          </w:p>
        </w:tc>
        <w:tc>
          <w:tcPr>
            <w:tcW w:w="40" w:type="dxa"/>
            <w:vAlign w:val="bottom"/>
          </w:tcPr>
          <w:p>
            <w:pPr>
              <w:spacing w:after="0"/>
              <w:rPr>
                <w:sz w:val="9"/>
                <w:szCs w:val="9"/>
                <w:color w:val="auto"/>
              </w:rPr>
            </w:pPr>
          </w:p>
        </w:tc>
        <w:tc>
          <w:tcPr>
            <w:tcW w:w="7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September 30,</w:t>
            </w:r>
          </w:p>
        </w:tc>
        <w:tc>
          <w:tcPr>
            <w:tcW w:w="4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June 30,</w:t>
            </w:r>
          </w:p>
        </w:tc>
        <w:tc>
          <w:tcPr>
            <w:tcW w:w="6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March 31,</w:t>
            </w:r>
          </w:p>
        </w:tc>
        <w:tc>
          <w:tcPr>
            <w:tcW w:w="80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December 31,</w:t>
            </w:r>
          </w:p>
        </w:tc>
        <w:tc>
          <w:tcPr>
            <w:tcW w:w="920" w:type="dxa"/>
            <w:vAlign w:val="bottom"/>
            <w:tcBorders>
              <w:right w:val="single" w:sz="8" w:color="auto"/>
            </w:tcBorders>
            <w:gridSpan w:val="3"/>
          </w:tcPr>
          <w:p>
            <w:pPr>
              <w:spacing w:after="0" w:line="114" w:lineRule="exact"/>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9"/>
                <w:szCs w:val="9"/>
                <w:color w:val="auto"/>
              </w:rPr>
            </w:pP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2"/>
              </w:rPr>
              <w:t>July 15,</w:t>
            </w:r>
          </w:p>
        </w:tc>
        <w:tc>
          <w:tcPr>
            <w:tcW w:w="40" w:type="dxa"/>
            <w:vAlign w:val="bottom"/>
          </w:tcPr>
          <w:p>
            <w:pPr>
              <w:spacing w:after="0"/>
              <w:rPr>
                <w:sz w:val="9"/>
                <w:szCs w:val="9"/>
                <w:color w:val="auto"/>
              </w:rPr>
            </w:pPr>
          </w:p>
        </w:tc>
        <w:tc>
          <w:tcPr>
            <w:tcW w:w="5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00"/>
        </w:trPr>
        <w:tc>
          <w:tcPr>
            <w:tcW w:w="17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ind w:right="60"/>
              <w:spacing w:after="0" w:line="81" w:lineRule="exact"/>
              <w:rPr>
                <w:sz w:val="20"/>
                <w:szCs w:val="20"/>
                <w:color w:val="auto"/>
              </w:rPr>
            </w:pPr>
            <w:r>
              <w:rPr>
                <w:rFonts w:ascii="Arial" w:cs="Arial" w:eastAsia="Arial" w:hAnsi="Arial"/>
                <w:sz w:val="9"/>
                <w:szCs w:val="9"/>
                <w:b w:val="1"/>
                <w:bCs w:val="1"/>
                <w:color w:val="auto"/>
                <w:w w:val="99"/>
              </w:rPr>
              <w:t>2021</w:t>
            </w:r>
          </w:p>
        </w:tc>
        <w:tc>
          <w:tcPr>
            <w:tcW w:w="140" w:type="dxa"/>
            <w:vAlign w:val="bottom"/>
          </w:tcPr>
          <w:p>
            <w:pPr>
              <w:spacing w:after="0"/>
              <w:rPr>
                <w:sz w:val="8"/>
                <w:szCs w:val="8"/>
                <w:color w:val="auto"/>
              </w:rPr>
            </w:pPr>
          </w:p>
        </w:tc>
        <w:tc>
          <w:tcPr>
            <w:tcW w:w="4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w w:val="99"/>
              </w:rPr>
              <w:t>2021</w:t>
            </w:r>
          </w:p>
        </w:tc>
        <w:tc>
          <w:tcPr>
            <w:tcW w:w="200" w:type="dxa"/>
            <w:vAlign w:val="bottom"/>
          </w:tcPr>
          <w:p>
            <w:pPr>
              <w:spacing w:after="0"/>
              <w:rPr>
                <w:sz w:val="8"/>
                <w:szCs w:val="8"/>
                <w:color w:val="auto"/>
              </w:rPr>
            </w:pPr>
          </w:p>
        </w:tc>
        <w:tc>
          <w:tcPr>
            <w:tcW w:w="44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2021</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center"/>
              <w:ind w:right="40"/>
              <w:spacing w:after="0" w:line="81" w:lineRule="exact"/>
              <w:rPr>
                <w:sz w:val="20"/>
                <w:szCs w:val="20"/>
                <w:color w:val="auto"/>
              </w:rPr>
            </w:pPr>
            <w:r>
              <w:rPr>
                <w:rFonts w:ascii="Arial" w:cs="Arial" w:eastAsia="Arial" w:hAnsi="Arial"/>
                <w:sz w:val="9"/>
                <w:szCs w:val="9"/>
                <w:b w:val="1"/>
                <w:bCs w:val="1"/>
                <w:color w:val="auto"/>
                <w:w w:val="99"/>
              </w:rPr>
              <w:t>2020</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2020</w:t>
            </w:r>
          </w:p>
        </w:tc>
        <w:tc>
          <w:tcPr>
            <w:tcW w:w="160" w:type="dxa"/>
            <w:vAlign w:val="bottom"/>
          </w:tcPr>
          <w:p>
            <w:pPr>
              <w:spacing w:after="0"/>
              <w:rPr>
                <w:sz w:val="8"/>
                <w:szCs w:val="8"/>
                <w:color w:val="auto"/>
              </w:rPr>
            </w:pPr>
          </w:p>
        </w:tc>
        <w:tc>
          <w:tcPr>
            <w:tcW w:w="46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w w:val="99"/>
              </w:rPr>
              <w:t>2020</w:t>
            </w:r>
          </w:p>
        </w:tc>
        <w:tc>
          <w:tcPr>
            <w:tcW w:w="200" w:type="dxa"/>
            <w:vAlign w:val="bottom"/>
          </w:tcPr>
          <w:p>
            <w:pPr>
              <w:spacing w:after="0"/>
              <w:rPr>
                <w:sz w:val="8"/>
                <w:szCs w:val="8"/>
                <w:color w:val="auto"/>
              </w:rPr>
            </w:pPr>
          </w:p>
        </w:tc>
        <w:tc>
          <w:tcPr>
            <w:tcW w:w="440" w:type="dxa"/>
            <w:vAlign w:val="bottom"/>
          </w:tcPr>
          <w:p>
            <w:pPr>
              <w:jc w:val="right"/>
              <w:ind w:right="61"/>
              <w:spacing w:after="0" w:line="81" w:lineRule="exact"/>
              <w:rPr>
                <w:sz w:val="20"/>
                <w:szCs w:val="20"/>
                <w:color w:val="auto"/>
              </w:rPr>
            </w:pPr>
            <w:r>
              <w:rPr>
                <w:rFonts w:ascii="Arial" w:cs="Arial" w:eastAsia="Arial" w:hAnsi="Arial"/>
                <w:sz w:val="9"/>
                <w:szCs w:val="9"/>
                <w:b w:val="1"/>
                <w:bCs w:val="1"/>
                <w:color w:val="auto"/>
              </w:rPr>
              <w:t>2020</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center"/>
              <w:ind w:right="40"/>
              <w:spacing w:after="0" w:line="81" w:lineRule="exact"/>
              <w:rPr>
                <w:sz w:val="20"/>
                <w:szCs w:val="20"/>
                <w:color w:val="auto"/>
              </w:rPr>
            </w:pPr>
            <w:r>
              <w:rPr>
                <w:rFonts w:ascii="Arial" w:cs="Arial" w:eastAsia="Arial" w:hAnsi="Arial"/>
                <w:sz w:val="9"/>
                <w:szCs w:val="9"/>
                <w:b w:val="1"/>
                <w:bCs w:val="1"/>
                <w:color w:val="auto"/>
                <w:w w:val="99"/>
              </w:rPr>
              <w:t>2019</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center"/>
              <w:ind w:right="59"/>
              <w:spacing w:after="0" w:line="81" w:lineRule="exact"/>
              <w:rPr>
                <w:sz w:val="20"/>
                <w:szCs w:val="20"/>
                <w:color w:val="auto"/>
              </w:rPr>
            </w:pPr>
            <w:r>
              <w:rPr>
                <w:rFonts w:ascii="Arial" w:cs="Arial" w:eastAsia="Arial" w:hAnsi="Arial"/>
                <w:sz w:val="9"/>
                <w:szCs w:val="9"/>
                <w:b w:val="1"/>
                <w:bCs w:val="1"/>
                <w:color w:val="auto"/>
                <w:w w:val="99"/>
              </w:rPr>
              <w:t>2019</w:t>
            </w:r>
          </w:p>
        </w:tc>
        <w:tc>
          <w:tcPr>
            <w:tcW w:w="300" w:type="dxa"/>
            <w:vAlign w:val="bottom"/>
            <w:tcBorders>
              <w:right w:val="single" w:sz="8" w:color="auto"/>
            </w:tcBorders>
          </w:tcPr>
          <w:p>
            <w:pPr>
              <w:spacing w:after="0"/>
              <w:rPr>
                <w:sz w:val="8"/>
                <w:szCs w:val="8"/>
                <w:color w:val="auto"/>
              </w:rPr>
            </w:pPr>
          </w:p>
        </w:tc>
        <w:tc>
          <w:tcPr>
            <w:tcW w:w="500" w:type="dxa"/>
            <w:vAlign w:val="bottom"/>
            <w:gridSpan w:val="2"/>
          </w:tcPr>
          <w:p>
            <w:pPr>
              <w:jc w:val="center"/>
              <w:ind w:left="78"/>
              <w:spacing w:after="0" w:line="81" w:lineRule="exact"/>
              <w:rPr>
                <w:sz w:val="20"/>
                <w:szCs w:val="20"/>
                <w:color w:val="auto"/>
              </w:rPr>
            </w:pPr>
            <w:r>
              <w:rPr>
                <w:rFonts w:ascii="Arial" w:cs="Arial" w:eastAsia="Arial" w:hAnsi="Arial"/>
                <w:sz w:val="9"/>
                <w:szCs w:val="9"/>
                <w:b w:val="1"/>
                <w:bCs w:val="1"/>
                <w:color w:val="auto"/>
                <w:w w:val="99"/>
              </w:rPr>
              <w:t>2019</w:t>
            </w:r>
          </w:p>
        </w:tc>
        <w:tc>
          <w:tcPr>
            <w:tcW w:w="160" w:type="dxa"/>
            <w:vAlign w:val="bottom"/>
          </w:tcPr>
          <w:p>
            <w:pPr>
              <w:spacing w:after="0"/>
              <w:rPr>
                <w:sz w:val="8"/>
                <w:szCs w:val="8"/>
                <w:color w:val="auto"/>
              </w:rPr>
            </w:pPr>
          </w:p>
        </w:tc>
        <w:tc>
          <w:tcPr>
            <w:tcW w:w="46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w w:val="99"/>
              </w:rPr>
              <w:t>2019</w:t>
            </w:r>
          </w:p>
        </w:tc>
        <w:tc>
          <w:tcPr>
            <w:tcW w:w="160" w:type="dxa"/>
            <w:vAlign w:val="bottom"/>
          </w:tcPr>
          <w:p>
            <w:pPr>
              <w:spacing w:after="0"/>
              <w:rPr>
                <w:sz w:val="8"/>
                <w:szCs w:val="8"/>
                <w:color w:val="auto"/>
              </w:rPr>
            </w:pPr>
          </w:p>
        </w:tc>
        <w:tc>
          <w:tcPr>
            <w:tcW w:w="5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2019</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right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Revenue</w:t>
            </w:r>
          </w:p>
        </w:tc>
        <w:tc>
          <w:tcPr>
            <w:tcW w:w="10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43,084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w w:val="85"/>
              </w:rPr>
              <w:t>$39,821</w:t>
            </w: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w w:val="82"/>
              </w:rPr>
              <w:t>$ 36,936</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33,658</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30,073</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w w:val="85"/>
              </w:rPr>
              <w:t>$28,245</w:t>
            </w: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w w:val="82"/>
              </w:rPr>
              <w:t>$ 26,341</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23,233</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16,812</w:t>
            </w:r>
          </w:p>
        </w:tc>
        <w:tc>
          <w:tcPr>
            <w:tcW w:w="30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w w:val="80"/>
              </w:rPr>
              <w:t>$3,829</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w w:val="85"/>
              </w:rPr>
              <w:t>$22,631</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w w:val="86"/>
              </w:rPr>
              <w:t>$ 18,998</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20" w:type="dxa"/>
            <w:vAlign w:val="bottom"/>
            <w:gridSpan w:val="2"/>
          </w:tcPr>
          <w:p>
            <w:pPr>
              <w:spacing w:after="0"/>
              <w:rPr>
                <w:sz w:val="20"/>
                <w:szCs w:val="20"/>
                <w:color w:val="auto"/>
              </w:rPr>
            </w:pPr>
            <w:r>
              <w:rPr>
                <w:rFonts w:ascii="Arial" w:cs="Arial" w:eastAsia="Arial" w:hAnsi="Arial"/>
                <w:sz w:val="12"/>
                <w:szCs w:val="12"/>
                <w:color w:val="auto"/>
              </w:rPr>
              <w:t>Total cost of revenue</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10,485</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200"/>
              <w:spacing w:after="0" w:line="139" w:lineRule="exact"/>
              <w:rPr>
                <w:sz w:val="20"/>
                <w:szCs w:val="20"/>
                <w:color w:val="auto"/>
              </w:rPr>
            </w:pPr>
            <w:r>
              <w:rPr>
                <w:rFonts w:ascii="Arial" w:cs="Arial" w:eastAsia="Arial" w:hAnsi="Arial"/>
                <w:sz w:val="13"/>
                <w:szCs w:val="13"/>
                <w:color w:val="auto"/>
              </w:rPr>
              <w:t>9,869</w:t>
            </w: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9,437</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8,314</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60"/>
              <w:spacing w:after="0" w:line="139" w:lineRule="exact"/>
              <w:rPr>
                <w:sz w:val="20"/>
                <w:szCs w:val="20"/>
                <w:color w:val="auto"/>
              </w:rPr>
            </w:pPr>
            <w:r>
              <w:rPr>
                <w:rFonts w:ascii="Arial" w:cs="Arial" w:eastAsia="Arial" w:hAnsi="Arial"/>
                <w:sz w:val="13"/>
                <w:szCs w:val="13"/>
                <w:color w:val="auto"/>
              </w:rPr>
              <w:t>7,413</w:t>
            </w:r>
          </w:p>
        </w:tc>
        <w:tc>
          <w:tcPr>
            <w:tcW w:w="660" w:type="dxa"/>
            <w:vAlign w:val="bottom"/>
            <w:tcBorders>
              <w:bottom w:val="single" w:sz="8" w:color="auto"/>
            </w:tcBorders>
            <w:gridSpan w:val="3"/>
          </w:tcPr>
          <w:p>
            <w:pPr>
              <w:jc w:val="right"/>
              <w:ind w:right="200"/>
              <w:spacing w:after="0" w:line="139" w:lineRule="exact"/>
              <w:rPr>
                <w:sz w:val="20"/>
                <w:szCs w:val="20"/>
                <w:color w:val="auto"/>
              </w:rPr>
            </w:pPr>
            <w:r>
              <w:rPr>
                <w:rFonts w:ascii="Arial" w:cs="Arial" w:eastAsia="Arial" w:hAnsi="Arial"/>
                <w:sz w:val="13"/>
                <w:szCs w:val="13"/>
                <w:color w:val="auto"/>
              </w:rPr>
              <w:t>7,306</w:t>
            </w:r>
          </w:p>
        </w:tc>
        <w:tc>
          <w:tcPr>
            <w:tcW w:w="640" w:type="dxa"/>
            <w:vAlign w:val="bottom"/>
            <w:tcBorders>
              <w:bottom w:val="single" w:sz="8" w:color="auto"/>
            </w:tcBorders>
            <w:gridSpan w:val="2"/>
          </w:tcPr>
          <w:p>
            <w:pPr>
              <w:jc w:val="right"/>
              <w:ind w:right="200"/>
              <w:spacing w:after="0" w:line="139" w:lineRule="exact"/>
              <w:rPr>
                <w:sz w:val="20"/>
                <w:szCs w:val="20"/>
                <w:color w:val="auto"/>
              </w:rPr>
            </w:pPr>
            <w:r>
              <w:rPr>
                <w:rFonts w:ascii="Arial" w:cs="Arial" w:eastAsia="Arial" w:hAnsi="Arial"/>
                <w:sz w:val="13"/>
                <w:szCs w:val="13"/>
                <w:color w:val="auto"/>
              </w:rPr>
              <w:t>7,435</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0"/>
              <w:spacing w:after="0" w:line="139" w:lineRule="exact"/>
              <w:rPr>
                <w:sz w:val="20"/>
                <w:szCs w:val="20"/>
                <w:color w:val="auto"/>
              </w:rPr>
            </w:pPr>
            <w:r>
              <w:rPr>
                <w:rFonts w:ascii="Arial" w:cs="Arial" w:eastAsia="Arial" w:hAnsi="Arial"/>
                <w:sz w:val="13"/>
                <w:szCs w:val="13"/>
                <w:color w:val="auto"/>
              </w:rPr>
              <w:t>7,437</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gridSpan w:val="2"/>
          </w:tcPr>
          <w:p>
            <w:pPr>
              <w:jc w:val="right"/>
              <w:ind w:right="300"/>
              <w:spacing w:after="0" w:line="139" w:lineRule="exact"/>
              <w:rPr>
                <w:sz w:val="20"/>
                <w:szCs w:val="20"/>
                <w:color w:val="auto"/>
              </w:rPr>
            </w:pPr>
            <w:r>
              <w:rPr>
                <w:rFonts w:ascii="Arial" w:cs="Arial" w:eastAsia="Arial" w:hAnsi="Arial"/>
                <w:sz w:val="13"/>
                <w:szCs w:val="13"/>
                <w:color w:val="auto"/>
              </w:rPr>
              <w:t>5,845</w:t>
            </w:r>
          </w:p>
        </w:tc>
        <w:tc>
          <w:tcPr>
            <w:tcW w:w="16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39" w:lineRule="exact"/>
              <w:rPr>
                <w:sz w:val="20"/>
                <w:szCs w:val="20"/>
                <w:color w:val="auto"/>
              </w:rPr>
            </w:pPr>
            <w:r>
              <w:rPr>
                <w:rFonts w:ascii="Arial" w:cs="Arial" w:eastAsia="Arial" w:hAnsi="Arial"/>
                <w:sz w:val="13"/>
                <w:szCs w:val="13"/>
                <w:color w:val="auto"/>
              </w:rPr>
              <w:t>532</w:t>
            </w:r>
          </w:p>
        </w:tc>
        <w:tc>
          <w:tcPr>
            <w:tcW w:w="46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color w:val="auto"/>
              </w:rPr>
              <w:t>2,454</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color w:val="auto"/>
              </w:rPr>
              <w:t>2,342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Reported gross profit</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32,599</w:t>
            </w: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7"/>
              </w:rPr>
              <w:t>$29,952</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$ 27,499</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25,344</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22,660</w:t>
            </w:r>
          </w:p>
        </w:tc>
        <w:tc>
          <w:tcPr>
            <w:tcW w:w="66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3"/>
              </w:rPr>
              <w:t>$20,939</w:t>
            </w:r>
          </w:p>
        </w:tc>
        <w:tc>
          <w:tcPr>
            <w:tcW w:w="6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82"/>
              </w:rPr>
              <w:t>$ 18,906</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15,796</w:t>
            </w:r>
          </w:p>
        </w:tc>
        <w:tc>
          <w:tcPr>
            <w:tcW w:w="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10,967</w:t>
            </w:r>
          </w:p>
        </w:tc>
        <w:tc>
          <w:tcPr>
            <w:tcW w:w="660" w:type="dxa"/>
            <w:vAlign w:val="bottom"/>
            <w:gridSpan w:val="3"/>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$3,297</w:t>
            </w:r>
          </w:p>
        </w:tc>
        <w:tc>
          <w:tcPr>
            <w:tcW w:w="4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3"/>
              </w:rPr>
              <w:t>$20,177</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4"/>
              </w:rPr>
              <w:t>$ 16,656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tcPr>
          <w:p>
            <w:pPr>
              <w:spacing w:after="0"/>
              <w:rPr>
                <w:sz w:val="20"/>
                <w:szCs w:val="20"/>
                <w:color w:val="auto"/>
              </w:rPr>
            </w:pPr>
            <w:r>
              <w:rPr>
                <w:rFonts w:ascii="Arial" w:cs="Arial" w:eastAsia="Arial" w:hAnsi="Arial"/>
                <w:sz w:val="12"/>
                <w:szCs w:val="12"/>
                <w:b w:val="1"/>
                <w:bCs w:val="1"/>
                <w:color w:val="auto"/>
              </w:rPr>
              <w:t>Gross margin</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76%</w:t>
            </w:r>
          </w:p>
        </w:tc>
        <w:tc>
          <w:tcPr>
            <w:tcW w:w="680" w:type="dxa"/>
            <w:vAlign w:val="bottom"/>
            <w:gridSpan w:val="3"/>
          </w:tcPr>
          <w:p>
            <w:pPr>
              <w:jc w:val="right"/>
              <w:ind w:right="100"/>
              <w:spacing w:after="0" w:line="139" w:lineRule="exact"/>
              <w:rPr>
                <w:sz w:val="20"/>
                <w:szCs w:val="20"/>
                <w:color w:val="auto"/>
              </w:rPr>
            </w:pPr>
            <w:r>
              <w:rPr>
                <w:rFonts w:ascii="Arial" w:cs="Arial" w:eastAsia="Arial" w:hAnsi="Arial"/>
                <w:sz w:val="13"/>
                <w:szCs w:val="13"/>
                <w:color w:val="auto"/>
              </w:rPr>
              <w:t>75%</w:t>
            </w:r>
          </w:p>
        </w:tc>
        <w:tc>
          <w:tcPr>
            <w:tcW w:w="60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74%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75%</w:t>
            </w:r>
          </w:p>
        </w:tc>
        <w:tc>
          <w:tcPr>
            <w:tcW w:w="660" w:type="dxa"/>
            <w:vAlign w:val="bottom"/>
            <w:gridSpan w:val="3"/>
          </w:tcPr>
          <w:p>
            <w:pPr>
              <w:jc w:val="right"/>
              <w:ind w:right="100"/>
              <w:spacing w:after="0" w:line="139" w:lineRule="exact"/>
              <w:rPr>
                <w:sz w:val="20"/>
                <w:szCs w:val="20"/>
                <w:color w:val="auto"/>
              </w:rPr>
            </w:pPr>
            <w:r>
              <w:rPr>
                <w:rFonts w:ascii="Arial" w:cs="Arial" w:eastAsia="Arial" w:hAnsi="Arial"/>
                <w:sz w:val="13"/>
                <w:szCs w:val="13"/>
                <w:color w:val="auto"/>
              </w:rPr>
              <w:t>74%</w:t>
            </w:r>
          </w:p>
        </w:tc>
        <w:tc>
          <w:tcPr>
            <w:tcW w:w="6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72%</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68%</w:t>
            </w:r>
          </w:p>
        </w:tc>
        <w:tc>
          <w:tcPr>
            <w:tcW w:w="14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80"/>
              <w:spacing w:after="0" w:line="139" w:lineRule="exact"/>
              <w:rPr>
                <w:sz w:val="20"/>
                <w:szCs w:val="20"/>
                <w:color w:val="auto"/>
              </w:rPr>
            </w:pPr>
            <w:r>
              <w:rPr>
                <w:rFonts w:ascii="Arial" w:cs="Arial" w:eastAsia="Arial" w:hAnsi="Arial"/>
                <w:sz w:val="13"/>
                <w:szCs w:val="13"/>
                <w:color w:val="auto"/>
              </w:rPr>
              <w:t>65%</w:t>
            </w:r>
          </w:p>
        </w:tc>
        <w:tc>
          <w:tcPr>
            <w:tcW w:w="66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86%</w:t>
            </w:r>
          </w:p>
        </w:tc>
        <w:tc>
          <w:tcPr>
            <w:tcW w:w="62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89%</w:t>
            </w:r>
          </w:p>
        </w:tc>
        <w:tc>
          <w:tcPr>
            <w:tcW w:w="64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43,084</w:t>
            </w: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7"/>
              </w:rPr>
              <w:t>$39,821</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$ 36,936</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33,658</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30,073</w:t>
            </w:r>
          </w:p>
        </w:tc>
        <w:tc>
          <w:tcPr>
            <w:tcW w:w="66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3"/>
              </w:rPr>
              <w:t>$28,245</w:t>
            </w:r>
          </w:p>
        </w:tc>
        <w:tc>
          <w:tcPr>
            <w:tcW w:w="6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82"/>
              </w:rPr>
              <w:t>$ 26,341</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23,233</w:t>
            </w:r>
          </w:p>
        </w:tc>
        <w:tc>
          <w:tcPr>
            <w:tcW w:w="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16,812</w:t>
            </w:r>
          </w:p>
        </w:tc>
        <w:tc>
          <w:tcPr>
            <w:tcW w:w="660" w:type="dxa"/>
            <w:vAlign w:val="bottom"/>
            <w:gridSpan w:val="3"/>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$3,829</w:t>
            </w:r>
          </w:p>
        </w:tc>
        <w:tc>
          <w:tcPr>
            <w:tcW w:w="4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3"/>
              </w:rPr>
              <w:t>$22,631</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4"/>
              </w:rPr>
              <w:t>$ 18,998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tcPr>
          <w:p>
            <w:pPr>
              <w:spacing w:after="0"/>
              <w:rPr>
                <w:sz w:val="20"/>
                <w:szCs w:val="20"/>
                <w:color w:val="auto"/>
              </w:rPr>
            </w:pPr>
            <w:r>
              <w:rPr>
                <w:rFonts w:ascii="Arial" w:cs="Arial" w:eastAsia="Arial" w:hAnsi="Arial"/>
                <w:sz w:val="12"/>
                <w:szCs w:val="12"/>
                <w:color w:val="auto"/>
              </w:rPr>
              <w:t>Total cost of revenue</w:t>
            </w:r>
          </w:p>
        </w:tc>
        <w:tc>
          <w:tcPr>
            <w:tcW w:w="100" w:type="dxa"/>
            <w:vAlign w:val="bottom"/>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3"/>
                <w:szCs w:val="13"/>
                <w:color w:val="auto"/>
              </w:rPr>
              <w:t>10,485</w:t>
            </w:r>
          </w:p>
        </w:tc>
        <w:tc>
          <w:tcPr>
            <w:tcW w:w="140" w:type="dxa"/>
            <w:vAlign w:val="bottom"/>
          </w:tcPr>
          <w:p>
            <w:pPr>
              <w:spacing w:after="0"/>
              <w:rPr>
                <w:sz w:val="12"/>
                <w:szCs w:val="12"/>
                <w:color w:val="auto"/>
              </w:rPr>
            </w:pPr>
          </w:p>
        </w:tc>
        <w:tc>
          <w:tcPr>
            <w:tcW w:w="680" w:type="dxa"/>
            <w:vAlign w:val="bottom"/>
            <w:gridSpan w:val="3"/>
          </w:tcPr>
          <w:p>
            <w:pPr>
              <w:jc w:val="right"/>
              <w:ind w:right="200"/>
              <w:spacing w:after="0" w:line="139" w:lineRule="exact"/>
              <w:rPr>
                <w:sz w:val="20"/>
                <w:szCs w:val="20"/>
                <w:color w:val="auto"/>
              </w:rPr>
            </w:pPr>
            <w:r>
              <w:rPr>
                <w:rFonts w:ascii="Arial" w:cs="Arial" w:eastAsia="Arial" w:hAnsi="Arial"/>
                <w:sz w:val="13"/>
                <w:szCs w:val="13"/>
                <w:color w:val="auto"/>
              </w:rPr>
              <w:t>9,869</w:t>
            </w:r>
          </w:p>
        </w:tc>
        <w:tc>
          <w:tcPr>
            <w:tcW w:w="440" w:type="dxa"/>
            <w:vAlign w:val="bottom"/>
          </w:tcPr>
          <w:p>
            <w:pPr>
              <w:jc w:val="right"/>
              <w:spacing w:after="0" w:line="139" w:lineRule="exact"/>
              <w:rPr>
                <w:sz w:val="20"/>
                <w:szCs w:val="20"/>
                <w:color w:val="auto"/>
              </w:rPr>
            </w:pPr>
            <w:r>
              <w:rPr>
                <w:rFonts w:ascii="Arial" w:cs="Arial" w:eastAsia="Arial" w:hAnsi="Arial"/>
                <w:sz w:val="13"/>
                <w:szCs w:val="13"/>
                <w:color w:val="auto"/>
              </w:rPr>
              <w:t>9,437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Arial" w:cs="Arial" w:eastAsia="Arial" w:hAnsi="Arial"/>
                <w:sz w:val="13"/>
                <w:szCs w:val="13"/>
                <w:color w:val="auto"/>
              </w:rPr>
              <w:t>8,314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39" w:lineRule="exact"/>
              <w:rPr>
                <w:sz w:val="20"/>
                <w:szCs w:val="20"/>
                <w:color w:val="auto"/>
              </w:rPr>
            </w:pPr>
            <w:r>
              <w:rPr>
                <w:rFonts w:ascii="Arial" w:cs="Arial" w:eastAsia="Arial" w:hAnsi="Arial"/>
                <w:sz w:val="13"/>
                <w:szCs w:val="13"/>
                <w:color w:val="auto"/>
              </w:rPr>
              <w:t>7,413</w:t>
            </w:r>
          </w:p>
        </w:tc>
        <w:tc>
          <w:tcPr>
            <w:tcW w:w="660" w:type="dxa"/>
            <w:vAlign w:val="bottom"/>
            <w:gridSpan w:val="3"/>
          </w:tcPr>
          <w:p>
            <w:pPr>
              <w:jc w:val="right"/>
              <w:ind w:right="200"/>
              <w:spacing w:after="0" w:line="139" w:lineRule="exact"/>
              <w:rPr>
                <w:sz w:val="20"/>
                <w:szCs w:val="20"/>
                <w:color w:val="auto"/>
              </w:rPr>
            </w:pPr>
            <w:r>
              <w:rPr>
                <w:rFonts w:ascii="Arial" w:cs="Arial" w:eastAsia="Arial" w:hAnsi="Arial"/>
                <w:sz w:val="13"/>
                <w:szCs w:val="13"/>
                <w:color w:val="auto"/>
              </w:rPr>
              <w:t>7,306</w:t>
            </w:r>
          </w:p>
        </w:tc>
        <w:tc>
          <w:tcPr>
            <w:tcW w:w="64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7,435</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7,437</w:t>
            </w:r>
          </w:p>
        </w:tc>
        <w:tc>
          <w:tcPr>
            <w:tcW w:w="14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300"/>
              <w:spacing w:after="0" w:line="139" w:lineRule="exact"/>
              <w:rPr>
                <w:sz w:val="20"/>
                <w:szCs w:val="20"/>
                <w:color w:val="auto"/>
              </w:rPr>
            </w:pPr>
            <w:r>
              <w:rPr>
                <w:rFonts w:ascii="Arial" w:cs="Arial" w:eastAsia="Arial" w:hAnsi="Arial"/>
                <w:sz w:val="13"/>
                <w:szCs w:val="13"/>
                <w:color w:val="auto"/>
              </w:rPr>
              <w:t>5,845</w:t>
            </w:r>
          </w:p>
        </w:tc>
        <w:tc>
          <w:tcPr>
            <w:tcW w:w="660" w:type="dxa"/>
            <w:vAlign w:val="bottom"/>
            <w:gridSpan w:val="3"/>
          </w:tcPr>
          <w:p>
            <w:pPr>
              <w:jc w:val="right"/>
              <w:ind w:right="160"/>
              <w:spacing w:after="0" w:line="139" w:lineRule="exact"/>
              <w:rPr>
                <w:sz w:val="20"/>
                <w:szCs w:val="20"/>
                <w:color w:val="auto"/>
              </w:rPr>
            </w:pPr>
            <w:r>
              <w:rPr>
                <w:rFonts w:ascii="Arial" w:cs="Arial" w:eastAsia="Arial" w:hAnsi="Arial"/>
                <w:sz w:val="13"/>
                <w:szCs w:val="13"/>
                <w:color w:val="auto"/>
              </w:rPr>
              <w:t>532</w:t>
            </w:r>
          </w:p>
        </w:tc>
        <w:tc>
          <w:tcPr>
            <w:tcW w:w="46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2,454</w:t>
            </w:r>
          </w:p>
        </w:tc>
        <w:tc>
          <w:tcPr>
            <w:tcW w:w="160" w:type="dxa"/>
            <w:vAlign w:val="bottom"/>
          </w:tcPr>
          <w:p>
            <w:pPr>
              <w:spacing w:after="0"/>
              <w:rPr>
                <w:sz w:val="12"/>
                <w:szCs w:val="12"/>
                <w:color w:val="auto"/>
              </w:rPr>
            </w:pPr>
          </w:p>
        </w:tc>
        <w:tc>
          <w:tcPr>
            <w:tcW w:w="50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2,342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Reported gross profit</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32,599</w:t>
            </w: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7"/>
              </w:rPr>
              <w:t>$29,952</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$ 27,499</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25,344</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22,660</w:t>
            </w:r>
          </w:p>
        </w:tc>
        <w:tc>
          <w:tcPr>
            <w:tcW w:w="66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3"/>
              </w:rPr>
              <w:t>$20,939</w:t>
            </w:r>
          </w:p>
        </w:tc>
        <w:tc>
          <w:tcPr>
            <w:tcW w:w="6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82"/>
              </w:rPr>
              <w:t>$ 18,906</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15,796</w:t>
            </w:r>
          </w:p>
        </w:tc>
        <w:tc>
          <w:tcPr>
            <w:tcW w:w="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10,967</w:t>
            </w:r>
          </w:p>
        </w:tc>
        <w:tc>
          <w:tcPr>
            <w:tcW w:w="660" w:type="dxa"/>
            <w:vAlign w:val="bottom"/>
            <w:gridSpan w:val="3"/>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$3,297</w:t>
            </w:r>
          </w:p>
        </w:tc>
        <w:tc>
          <w:tcPr>
            <w:tcW w:w="4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3"/>
              </w:rPr>
              <w:t>$20,177</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4"/>
              </w:rPr>
              <w:t>$ 16,656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20" w:type="dxa"/>
            <w:vAlign w:val="bottom"/>
            <w:gridSpan w:val="2"/>
          </w:tcPr>
          <w:p>
            <w:pPr>
              <w:spacing w:after="0" w:line="113" w:lineRule="exact"/>
              <w:rPr>
                <w:sz w:val="20"/>
                <w:szCs w:val="20"/>
                <w:color w:val="auto"/>
              </w:rPr>
            </w:pPr>
            <w:r>
              <w:rPr>
                <w:rFonts w:ascii="Arial" w:cs="Arial" w:eastAsia="Arial" w:hAnsi="Arial"/>
                <w:sz w:val="12"/>
                <w:szCs w:val="12"/>
                <w:color w:val="auto"/>
                <w:w w:val="96"/>
              </w:rPr>
              <w:t>Amortization of intangible assets,</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720" w:type="dxa"/>
            <w:vAlign w:val="bottom"/>
            <w:gridSpan w:val="2"/>
          </w:tcPr>
          <w:p>
            <w:pPr>
              <w:ind w:left="100"/>
              <w:spacing w:after="0" w:line="127" w:lineRule="exact"/>
              <w:rPr>
                <w:sz w:val="20"/>
                <w:szCs w:val="20"/>
                <w:color w:val="auto"/>
              </w:rPr>
            </w:pPr>
            <w:r>
              <w:rPr>
                <w:rFonts w:ascii="Arial" w:cs="Arial" w:eastAsia="Arial" w:hAnsi="Arial"/>
                <w:sz w:val="12"/>
                <w:szCs w:val="12"/>
                <w:color w:val="auto"/>
              </w:rPr>
              <w:t>resulting from purchase</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5,096</w:t>
            </w:r>
          </w:p>
        </w:tc>
        <w:tc>
          <w:tcPr>
            <w:tcW w:w="140" w:type="dxa"/>
            <w:vAlign w:val="bottom"/>
          </w:tcPr>
          <w:p>
            <w:pPr>
              <w:spacing w:after="0"/>
              <w:rPr>
                <w:sz w:val="11"/>
                <w:szCs w:val="11"/>
                <w:color w:val="auto"/>
              </w:rPr>
            </w:pPr>
          </w:p>
        </w:tc>
        <w:tc>
          <w:tcPr>
            <w:tcW w:w="68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rPr>
              <w:t>5,042</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4,987</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4,994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4,759</w:t>
            </w: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rPr>
              <w:t>4,708</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4,708</w:t>
            </w:r>
          </w:p>
        </w:tc>
        <w:tc>
          <w:tcPr>
            <w:tcW w:w="100" w:type="dxa"/>
            <w:vAlign w:val="bottom"/>
          </w:tcPr>
          <w:p>
            <w:pPr>
              <w:spacing w:after="0"/>
              <w:rPr>
                <w:sz w:val="11"/>
                <w:szCs w:val="11"/>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4,696</w:t>
            </w:r>
          </w:p>
        </w:tc>
        <w:tc>
          <w:tcPr>
            <w:tcW w:w="140" w:type="dxa"/>
            <w:vAlign w:val="bottom"/>
          </w:tcPr>
          <w:p>
            <w:pPr>
              <w:spacing w:after="0"/>
              <w:rPr>
                <w:sz w:val="11"/>
                <w:szCs w:val="11"/>
                <w:color w:val="auto"/>
              </w:rPr>
            </w:pPr>
          </w:p>
        </w:tc>
        <w:tc>
          <w:tcPr>
            <w:tcW w:w="78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3"/>
                <w:szCs w:val="13"/>
                <w:color w:val="auto"/>
              </w:rPr>
              <w:t>3,906</w:t>
            </w: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41</w:t>
            </w: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rPr>
              <w:t>249</w:t>
            </w:r>
          </w:p>
        </w:tc>
        <w:tc>
          <w:tcPr>
            <w:tcW w:w="160" w:type="dxa"/>
            <w:vAlign w:val="bottom"/>
          </w:tcPr>
          <w:p>
            <w:pPr>
              <w:spacing w:after="0"/>
              <w:rPr>
                <w:sz w:val="11"/>
                <w:szCs w:val="1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20" w:type="dxa"/>
            <w:vAlign w:val="bottom"/>
            <w:gridSpan w:val="2"/>
          </w:tcPr>
          <w:p>
            <w:pPr>
              <w:ind w:left="100"/>
              <w:spacing w:after="0"/>
              <w:rPr>
                <w:sz w:val="20"/>
                <w:szCs w:val="20"/>
                <w:color w:val="auto"/>
              </w:rPr>
            </w:pPr>
            <w:r>
              <w:rPr>
                <w:rFonts w:ascii="Arial" w:cs="Arial" w:eastAsia="Arial" w:hAnsi="Arial"/>
                <w:sz w:val="12"/>
                <w:szCs w:val="12"/>
                <w:color w:val="auto"/>
              </w:rPr>
              <w:t>accounting adjustments</w:t>
            </w:r>
            <w:r>
              <w:rPr>
                <w:rFonts w:ascii="Arial" w:cs="Arial" w:eastAsia="Arial" w:hAnsi="Arial"/>
                <w:sz w:val="8"/>
                <w:szCs w:val="8"/>
                <w:color w:val="auto"/>
              </w:rPr>
              <w:t>(1)</w:t>
            </w: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compensation costs</w:t>
            </w: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48</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16</w:t>
            </w:r>
          </w:p>
        </w:tc>
        <w:tc>
          <w:tcPr>
            <w:tcW w:w="4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15</w:t>
            </w:r>
          </w:p>
        </w:tc>
        <w:tc>
          <w:tcPr>
            <w:tcW w:w="1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16</w:t>
            </w:r>
          </w:p>
        </w:tc>
        <w:tc>
          <w:tcPr>
            <w:tcW w:w="1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16</w:t>
            </w:r>
          </w:p>
        </w:tc>
        <w:tc>
          <w:tcPr>
            <w:tcW w:w="660" w:type="dxa"/>
            <w:vAlign w:val="bottom"/>
            <w:tcBorders>
              <w:bottom w:val="single" w:sz="8" w:color="auto"/>
            </w:tcBorders>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15</w:t>
            </w:r>
          </w:p>
        </w:tc>
        <w:tc>
          <w:tcPr>
            <w:tcW w:w="640" w:type="dxa"/>
            <w:vAlign w:val="bottom"/>
            <w:tcBorders>
              <w:bottom w:val="single" w:sz="8" w:color="auto"/>
            </w:tcBorders>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15</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15</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107</w:t>
            </w:r>
          </w:p>
        </w:tc>
        <w:tc>
          <w:tcPr>
            <w:tcW w:w="460" w:type="dxa"/>
            <w:vAlign w:val="bottom"/>
            <w:tcBorders>
              <w:bottom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75</w:t>
            </w: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40" w:type="dxa"/>
            <w:vAlign w:val="bottom"/>
            <w:gridSpan w:val="3"/>
          </w:tcPr>
          <w:p>
            <w:pPr>
              <w:spacing w:after="0"/>
              <w:rPr>
                <w:sz w:val="20"/>
                <w:szCs w:val="20"/>
                <w:color w:val="auto"/>
              </w:rPr>
            </w:pPr>
            <w:r>
              <w:rPr>
                <w:rFonts w:ascii="Arial" w:cs="Arial" w:eastAsia="Arial" w:hAnsi="Arial"/>
                <w:sz w:val="12"/>
                <w:szCs w:val="12"/>
                <w:color w:val="auto"/>
              </w:rPr>
              <w:t>Adjusted Gross Profit</w:t>
            </w:r>
          </w:p>
        </w:tc>
        <w:tc>
          <w:tcPr>
            <w:tcW w:w="10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37,743</w:t>
            </w:r>
          </w:p>
        </w:tc>
        <w:tc>
          <w:tcPr>
            <w:tcW w:w="140" w:type="dxa"/>
            <w:vAlign w:val="bottom"/>
          </w:tcPr>
          <w:p>
            <w:pPr>
              <w:spacing w:after="0"/>
              <w:rPr>
                <w:sz w:val="12"/>
                <w:szCs w:val="12"/>
                <w:color w:val="auto"/>
              </w:rPr>
            </w:pPr>
          </w:p>
        </w:tc>
        <w:tc>
          <w:tcPr>
            <w:tcW w:w="68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w w:val="97"/>
              </w:rPr>
              <w:t>$35,010</w:t>
            </w:r>
          </w:p>
        </w:tc>
        <w:tc>
          <w:tcPr>
            <w:tcW w:w="440" w:type="dxa"/>
            <w:vAlign w:val="bottom"/>
          </w:tcPr>
          <w:p>
            <w:pPr>
              <w:jc w:val="right"/>
              <w:spacing w:after="0" w:line="145" w:lineRule="exact"/>
              <w:rPr>
                <w:sz w:val="20"/>
                <w:szCs w:val="20"/>
                <w:color w:val="auto"/>
              </w:rPr>
            </w:pPr>
            <w:r>
              <w:rPr>
                <w:rFonts w:ascii="Arial" w:cs="Arial" w:eastAsia="Arial" w:hAnsi="Arial"/>
                <w:sz w:val="13"/>
                <w:szCs w:val="13"/>
                <w:color w:val="auto"/>
                <w:w w:val="82"/>
              </w:rPr>
              <w:t>$ 32,501</w:t>
            </w:r>
          </w:p>
        </w:tc>
        <w:tc>
          <w:tcPr>
            <w:tcW w:w="160" w:type="dxa"/>
            <w:vAlign w:val="bottom"/>
          </w:tcPr>
          <w:p>
            <w:pPr>
              <w:spacing w:after="0"/>
              <w:rPr>
                <w:sz w:val="12"/>
                <w:szCs w:val="12"/>
                <w:color w:val="auto"/>
              </w:rPr>
            </w:pPr>
          </w:p>
        </w:tc>
        <w:tc>
          <w:tcPr>
            <w:tcW w:w="14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5" w:lineRule="exact"/>
              <w:rPr>
                <w:sz w:val="20"/>
                <w:szCs w:val="20"/>
                <w:color w:val="auto"/>
              </w:rPr>
            </w:pPr>
            <w:r>
              <w:rPr>
                <w:rFonts w:ascii="Arial" w:cs="Arial" w:eastAsia="Arial" w:hAnsi="Arial"/>
                <w:sz w:val="13"/>
                <w:szCs w:val="13"/>
                <w:color w:val="auto"/>
              </w:rPr>
              <w:t>30,354</w:t>
            </w:r>
          </w:p>
        </w:tc>
        <w:tc>
          <w:tcPr>
            <w:tcW w:w="160" w:type="dxa"/>
            <w:vAlign w:val="bottom"/>
          </w:tcPr>
          <w:p>
            <w:pPr>
              <w:spacing w:after="0"/>
              <w:rPr>
                <w:sz w:val="12"/>
                <w:szCs w:val="12"/>
                <w:color w:val="auto"/>
              </w:rPr>
            </w:pPr>
          </w:p>
        </w:tc>
        <w:tc>
          <w:tcPr>
            <w:tcW w:w="120" w:type="dxa"/>
            <w:vAlign w:val="bottom"/>
            <w:gridSpan w:val="2"/>
          </w:tcPr>
          <w:p>
            <w:pPr>
              <w:ind w:left="40"/>
              <w:spacing w:after="0" w:line="145"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60"/>
              <w:spacing w:after="0" w:line="145" w:lineRule="exact"/>
              <w:rPr>
                <w:sz w:val="20"/>
                <w:szCs w:val="20"/>
                <w:color w:val="auto"/>
              </w:rPr>
            </w:pPr>
            <w:r>
              <w:rPr>
                <w:rFonts w:ascii="Arial" w:cs="Arial" w:eastAsia="Arial" w:hAnsi="Arial"/>
                <w:sz w:val="13"/>
                <w:szCs w:val="13"/>
                <w:color w:val="auto"/>
              </w:rPr>
              <w:t>27,435</w:t>
            </w:r>
          </w:p>
        </w:tc>
        <w:tc>
          <w:tcPr>
            <w:tcW w:w="660" w:type="dxa"/>
            <w:vAlign w:val="bottom"/>
            <w:gridSpan w:val="3"/>
          </w:tcPr>
          <w:p>
            <w:pPr>
              <w:jc w:val="right"/>
              <w:ind w:right="200"/>
              <w:spacing w:after="0" w:line="145" w:lineRule="exact"/>
              <w:rPr>
                <w:sz w:val="20"/>
                <w:szCs w:val="20"/>
                <w:color w:val="auto"/>
              </w:rPr>
            </w:pPr>
            <w:r>
              <w:rPr>
                <w:rFonts w:ascii="Arial" w:cs="Arial" w:eastAsia="Arial" w:hAnsi="Arial"/>
                <w:sz w:val="13"/>
                <w:szCs w:val="13"/>
                <w:color w:val="auto"/>
                <w:w w:val="93"/>
              </w:rPr>
              <w:t>$25,662</w:t>
            </w:r>
          </w:p>
        </w:tc>
        <w:tc>
          <w:tcPr>
            <w:tcW w:w="64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w w:val="82"/>
              </w:rPr>
              <w:t>$ 23,629</w:t>
            </w:r>
          </w:p>
        </w:tc>
        <w:tc>
          <w:tcPr>
            <w:tcW w:w="10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20,507</w:t>
            </w:r>
          </w:p>
        </w:tc>
        <w:tc>
          <w:tcPr>
            <w:tcW w:w="14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tcPr>
          <w:p>
            <w:pPr>
              <w:jc w:val="right"/>
              <w:ind w:right="300"/>
              <w:spacing w:after="0" w:line="145" w:lineRule="exact"/>
              <w:rPr>
                <w:sz w:val="20"/>
                <w:szCs w:val="20"/>
                <w:color w:val="auto"/>
              </w:rPr>
            </w:pPr>
            <w:r>
              <w:rPr>
                <w:rFonts w:ascii="Arial" w:cs="Arial" w:eastAsia="Arial" w:hAnsi="Arial"/>
                <w:sz w:val="13"/>
                <w:szCs w:val="13"/>
                <w:color w:val="auto"/>
              </w:rPr>
              <w:t>14,886</w:t>
            </w:r>
          </w:p>
        </w:tc>
        <w:tc>
          <w:tcPr>
            <w:tcW w:w="66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$3,445</w:t>
            </w:r>
          </w:p>
        </w:tc>
        <w:tc>
          <w:tcPr>
            <w:tcW w:w="460" w:type="dxa"/>
            <w:vAlign w:val="bottom"/>
            <w:gridSpan w:val="2"/>
          </w:tcPr>
          <w:p>
            <w:pPr>
              <w:jc w:val="right"/>
              <w:spacing w:after="0" w:line="145" w:lineRule="exact"/>
              <w:rPr>
                <w:sz w:val="20"/>
                <w:szCs w:val="20"/>
                <w:color w:val="auto"/>
              </w:rPr>
            </w:pPr>
            <w:r>
              <w:rPr>
                <w:rFonts w:ascii="Arial" w:cs="Arial" w:eastAsia="Arial" w:hAnsi="Arial"/>
                <w:sz w:val="13"/>
                <w:szCs w:val="13"/>
                <w:color w:val="auto"/>
                <w:w w:val="93"/>
              </w:rPr>
              <w:t>$20,501</w:t>
            </w:r>
          </w:p>
        </w:tc>
        <w:tc>
          <w:tcPr>
            <w:tcW w:w="160" w:type="dxa"/>
            <w:vAlign w:val="bottom"/>
          </w:tcPr>
          <w:p>
            <w:pPr>
              <w:spacing w:after="0"/>
              <w:rPr>
                <w:sz w:val="12"/>
                <w:szCs w:val="12"/>
                <w:color w:val="auto"/>
              </w:rPr>
            </w:pPr>
          </w:p>
        </w:tc>
        <w:tc>
          <w:tcPr>
            <w:tcW w:w="500" w:type="dxa"/>
            <w:vAlign w:val="bottom"/>
            <w:gridSpan w:val="2"/>
          </w:tcPr>
          <w:p>
            <w:pPr>
              <w:jc w:val="right"/>
              <w:spacing w:after="0" w:line="145" w:lineRule="exact"/>
              <w:rPr>
                <w:sz w:val="20"/>
                <w:szCs w:val="20"/>
                <w:color w:val="auto"/>
              </w:rPr>
            </w:pPr>
            <w:r>
              <w:rPr>
                <w:rFonts w:ascii="Arial" w:cs="Arial" w:eastAsia="Arial" w:hAnsi="Arial"/>
                <w:sz w:val="13"/>
                <w:szCs w:val="13"/>
                <w:color w:val="auto"/>
                <w:w w:val="94"/>
              </w:rPr>
              <w:t>$ 16,938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43,084</w:t>
            </w: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7"/>
              </w:rPr>
              <w:t>$39,821</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$ 36,936</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33,658</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30,073</w:t>
            </w:r>
          </w:p>
        </w:tc>
        <w:tc>
          <w:tcPr>
            <w:tcW w:w="660" w:type="dxa"/>
            <w:vAlign w:val="bottom"/>
            <w:gridSpan w:val="3"/>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93"/>
              </w:rPr>
              <w:t>$28,245</w:t>
            </w:r>
          </w:p>
        </w:tc>
        <w:tc>
          <w:tcPr>
            <w:tcW w:w="6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w w:val="82"/>
              </w:rPr>
              <w:t>$ 26,341</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23,233</w:t>
            </w:r>
          </w:p>
        </w:tc>
        <w:tc>
          <w:tcPr>
            <w:tcW w:w="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16,812</w:t>
            </w:r>
          </w:p>
        </w:tc>
        <w:tc>
          <w:tcPr>
            <w:tcW w:w="660" w:type="dxa"/>
            <w:vAlign w:val="bottom"/>
            <w:gridSpan w:val="3"/>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$3,829</w:t>
            </w:r>
          </w:p>
        </w:tc>
        <w:tc>
          <w:tcPr>
            <w:tcW w:w="4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3"/>
              </w:rPr>
              <w:t>$22,631</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w w:val="94"/>
              </w:rPr>
              <w:t>$ 18,998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gridSpan w:val="2"/>
          </w:tcPr>
          <w:p>
            <w:pPr>
              <w:spacing w:after="0"/>
              <w:rPr>
                <w:sz w:val="20"/>
                <w:szCs w:val="20"/>
                <w:color w:val="auto"/>
              </w:rPr>
            </w:pPr>
            <w:r>
              <w:rPr>
                <w:rFonts w:ascii="Arial" w:cs="Arial" w:eastAsia="Arial" w:hAnsi="Arial"/>
                <w:sz w:val="12"/>
                <w:szCs w:val="12"/>
                <w:color w:val="auto"/>
              </w:rPr>
              <w:t>Adjusted Gross Margin</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88%</w:t>
            </w:r>
          </w:p>
        </w:tc>
        <w:tc>
          <w:tcPr>
            <w:tcW w:w="680" w:type="dxa"/>
            <w:vAlign w:val="bottom"/>
            <w:gridSpan w:val="3"/>
          </w:tcPr>
          <w:p>
            <w:pPr>
              <w:jc w:val="right"/>
              <w:ind w:right="100"/>
              <w:spacing w:after="0" w:line="139" w:lineRule="exact"/>
              <w:rPr>
                <w:sz w:val="20"/>
                <w:szCs w:val="20"/>
                <w:color w:val="auto"/>
              </w:rPr>
            </w:pPr>
            <w:r>
              <w:rPr>
                <w:rFonts w:ascii="Arial" w:cs="Arial" w:eastAsia="Arial" w:hAnsi="Arial"/>
                <w:sz w:val="13"/>
                <w:szCs w:val="13"/>
                <w:color w:val="auto"/>
              </w:rPr>
              <w:t>88%</w:t>
            </w:r>
          </w:p>
        </w:tc>
        <w:tc>
          <w:tcPr>
            <w:tcW w:w="60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88%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91%</w:t>
            </w:r>
          </w:p>
        </w:tc>
        <w:tc>
          <w:tcPr>
            <w:tcW w:w="660" w:type="dxa"/>
            <w:vAlign w:val="bottom"/>
            <w:gridSpan w:val="3"/>
          </w:tcPr>
          <w:p>
            <w:pPr>
              <w:jc w:val="right"/>
              <w:ind w:right="100"/>
              <w:spacing w:after="0" w:line="139" w:lineRule="exact"/>
              <w:rPr>
                <w:sz w:val="20"/>
                <w:szCs w:val="20"/>
                <w:color w:val="auto"/>
              </w:rPr>
            </w:pPr>
            <w:r>
              <w:rPr>
                <w:rFonts w:ascii="Arial" w:cs="Arial" w:eastAsia="Arial" w:hAnsi="Arial"/>
                <w:sz w:val="13"/>
                <w:szCs w:val="13"/>
                <w:color w:val="auto"/>
              </w:rPr>
              <w:t>91%</w:t>
            </w:r>
          </w:p>
        </w:tc>
        <w:tc>
          <w:tcPr>
            <w:tcW w:w="6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88%</w:t>
            </w:r>
          </w:p>
        </w:tc>
        <w:tc>
          <w:tcPr>
            <w:tcW w:w="14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80"/>
              <w:spacing w:after="0" w:line="139" w:lineRule="exact"/>
              <w:rPr>
                <w:sz w:val="20"/>
                <w:szCs w:val="20"/>
                <w:color w:val="auto"/>
              </w:rPr>
            </w:pPr>
            <w:r>
              <w:rPr>
                <w:rFonts w:ascii="Arial" w:cs="Arial" w:eastAsia="Arial" w:hAnsi="Arial"/>
                <w:sz w:val="13"/>
                <w:szCs w:val="13"/>
                <w:color w:val="auto"/>
              </w:rPr>
              <w:t>89%</w:t>
            </w:r>
          </w:p>
        </w:tc>
        <w:tc>
          <w:tcPr>
            <w:tcW w:w="66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90%</w:t>
            </w:r>
          </w:p>
        </w:tc>
        <w:tc>
          <w:tcPr>
            <w:tcW w:w="62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91%</w:t>
            </w:r>
          </w:p>
        </w:tc>
        <w:tc>
          <w:tcPr>
            <w:tcW w:w="64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-1068705</wp:posOffset>
            </wp:positionV>
            <wp:extent cx="825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-280670</wp:posOffset>
            </wp:positionV>
            <wp:extent cx="825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pacing w:after="0" w:line="10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800"/>
          </w:cols>
          <w:pgMar w:left="320" w:top="465" w:right="7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2"/>
              </w:rPr>
              <w:t>Successor</w:t>
            </w: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w w:val="89"/>
              </w:rPr>
              <w:t>Predecessor</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3"/>
          </w:tcPr>
          <w:p>
            <w:pPr>
              <w:jc w:val="center"/>
              <w:ind w:right="180"/>
              <w:spacing w:after="0" w:line="95"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9"/>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7"/>
              </w:rPr>
              <w:t>Three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7"/>
              </w:rPr>
              <w:t>Three</w:t>
            </w:r>
          </w:p>
        </w:tc>
        <w:tc>
          <w:tcPr>
            <w:tcW w:w="940" w:type="dxa"/>
            <w:vAlign w:val="bottom"/>
            <w:tcBorders>
              <w:right w:val="single" w:sz="8" w:color="auto"/>
            </w:tcBorders>
            <w:gridSpan w:val="3"/>
          </w:tcPr>
          <w:p>
            <w:pPr>
              <w:jc w:val="center"/>
              <w:ind w:right="300"/>
              <w:spacing w:after="0" w:line="114" w:lineRule="exact"/>
              <w:rPr>
                <w:sz w:val="20"/>
                <w:szCs w:val="20"/>
                <w:color w:val="auto"/>
              </w:rPr>
            </w:pPr>
            <w:r>
              <w:rPr>
                <w:rFonts w:ascii="Arial" w:cs="Arial" w:eastAsia="Arial" w:hAnsi="Arial"/>
                <w:sz w:val="10"/>
                <w:szCs w:val="10"/>
                <w:b w:val="1"/>
                <w:bCs w:val="1"/>
                <w:color w:val="auto"/>
                <w:w w:val="92"/>
              </w:rPr>
              <w:t>Period from</w:t>
            </w:r>
          </w:p>
        </w:tc>
        <w:tc>
          <w:tcPr>
            <w:tcW w:w="140" w:type="dxa"/>
            <w:vAlign w:val="bottom"/>
          </w:tcPr>
          <w:p>
            <w:pPr>
              <w:spacing w:after="0"/>
              <w:rPr>
                <w:sz w:val="9"/>
                <w:szCs w:val="9"/>
                <w:color w:val="auto"/>
              </w:rPr>
            </w:pPr>
          </w:p>
        </w:tc>
        <w:tc>
          <w:tcPr>
            <w:tcW w:w="5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66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9"/>
              </w:rPr>
              <w:t>Months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62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92"/>
              </w:rPr>
              <w:t>July 16,</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ind w:right="23"/>
              <w:spacing w:after="0" w:line="114" w:lineRule="exact"/>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6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92"/>
              </w:rPr>
              <w:t>2019 to</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to</w:t>
            </w:r>
          </w:p>
        </w:tc>
        <w:tc>
          <w:tcPr>
            <w:tcW w:w="80" w:type="dxa"/>
            <w:vAlign w:val="bottom"/>
          </w:tcPr>
          <w:p>
            <w:pPr>
              <w:spacing w:after="0"/>
              <w:rPr>
                <w:sz w:val="9"/>
                <w:szCs w:val="9"/>
                <w:color w:val="auto"/>
              </w:rPr>
            </w:pPr>
          </w:p>
        </w:tc>
        <w:tc>
          <w:tcPr>
            <w:tcW w:w="54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8"/>
              </w:rPr>
              <w:t>Ended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4"/>
        </w:trPr>
        <w:tc>
          <w:tcPr>
            <w:tcW w:w="15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8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6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9"/>
              </w:rPr>
              <w:t>June 30,</w:t>
            </w:r>
          </w:p>
        </w:tc>
        <w:tc>
          <w:tcPr>
            <w:tcW w:w="660" w:type="dxa"/>
            <w:vAlign w:val="bottom"/>
            <w:gridSpan w:val="3"/>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March 31,</w:t>
            </w:r>
          </w:p>
        </w:tc>
        <w:tc>
          <w:tcPr>
            <w:tcW w:w="7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2"/>
              </w:rPr>
              <w:t>December 31,</w:t>
            </w:r>
          </w:p>
        </w:tc>
        <w:tc>
          <w:tcPr>
            <w:tcW w:w="40" w:type="dxa"/>
            <w:vAlign w:val="bottom"/>
          </w:tcPr>
          <w:p>
            <w:pPr>
              <w:spacing w:after="0"/>
              <w:rPr>
                <w:sz w:val="9"/>
                <w:szCs w:val="9"/>
                <w:color w:val="auto"/>
              </w:rPr>
            </w:pPr>
          </w:p>
        </w:tc>
        <w:tc>
          <w:tcPr>
            <w:tcW w:w="86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2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March 31,</w:t>
            </w:r>
          </w:p>
        </w:tc>
        <w:tc>
          <w:tcPr>
            <w:tcW w:w="40" w:type="dxa"/>
            <w:vAlign w:val="bottom"/>
          </w:tcPr>
          <w:p>
            <w:pPr>
              <w:spacing w:after="0"/>
              <w:rPr>
                <w:sz w:val="9"/>
                <w:szCs w:val="9"/>
                <w:color w:val="auto"/>
              </w:rPr>
            </w:pPr>
          </w:p>
        </w:tc>
        <w:tc>
          <w:tcPr>
            <w:tcW w:w="820" w:type="dxa"/>
            <w:vAlign w:val="bottom"/>
            <w:gridSpan w:val="3"/>
          </w:tcPr>
          <w:p>
            <w:pPr>
              <w:jc w:val="center"/>
              <w:ind w:right="220"/>
              <w:spacing w:after="0" w:line="114" w:lineRule="exact"/>
              <w:rPr>
                <w:sz w:val="20"/>
                <w:szCs w:val="20"/>
                <w:color w:val="auto"/>
              </w:rPr>
            </w:pPr>
            <w:r>
              <w:rPr>
                <w:rFonts w:ascii="Arial" w:cs="Arial" w:eastAsia="Arial" w:hAnsi="Arial"/>
                <w:sz w:val="10"/>
                <w:szCs w:val="10"/>
                <w:b w:val="1"/>
                <w:bCs w:val="1"/>
                <w:color w:val="auto"/>
                <w:w w:val="92"/>
              </w:rPr>
              <w:t>December 31,</w:t>
            </w:r>
          </w:p>
        </w:tc>
        <w:tc>
          <w:tcPr>
            <w:tcW w:w="940" w:type="dxa"/>
            <w:vAlign w:val="bottom"/>
            <w:tcBorders>
              <w:right w:val="single" w:sz="8" w:color="auto"/>
            </w:tcBorders>
            <w:gridSpan w:val="3"/>
          </w:tcPr>
          <w:p>
            <w:pPr>
              <w:jc w:val="center"/>
              <w:ind w:right="32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140" w:type="dxa"/>
            <w:vAlign w:val="bottom"/>
          </w:tcPr>
          <w:p>
            <w:pPr>
              <w:spacing w:after="0"/>
              <w:rPr>
                <w:sz w:val="9"/>
                <w:szCs w:val="9"/>
                <w:color w:val="auto"/>
              </w:rPr>
            </w:pPr>
          </w:p>
        </w:tc>
        <w:tc>
          <w:tcPr>
            <w:tcW w:w="5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4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June 30,</w:t>
            </w:r>
          </w:p>
        </w:tc>
        <w:tc>
          <w:tcPr>
            <w:tcW w:w="40" w:type="dxa"/>
            <w:vAlign w:val="bottom"/>
          </w:tcPr>
          <w:p>
            <w:pPr>
              <w:spacing w:after="0"/>
              <w:rPr>
                <w:sz w:val="9"/>
                <w:szCs w:val="9"/>
                <w:color w:val="auto"/>
              </w:rPr>
            </w:pPr>
          </w:p>
        </w:tc>
        <w:tc>
          <w:tcPr>
            <w:tcW w:w="6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00"/>
        </w:trPr>
        <w:tc>
          <w:tcPr>
            <w:tcW w:w="1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ind w:right="23"/>
              <w:spacing w:after="0" w:line="81" w:lineRule="exact"/>
              <w:rPr>
                <w:sz w:val="20"/>
                <w:szCs w:val="20"/>
                <w:color w:val="auto"/>
              </w:rPr>
            </w:pPr>
            <w:r>
              <w:rPr>
                <w:rFonts w:ascii="Arial" w:cs="Arial" w:eastAsia="Arial" w:hAnsi="Arial"/>
                <w:sz w:val="9"/>
                <w:szCs w:val="9"/>
                <w:b w:val="1"/>
                <w:bCs w:val="1"/>
                <w:color w:val="auto"/>
                <w:w w:val="99"/>
              </w:rPr>
              <w:t>2021</w:t>
            </w:r>
          </w:p>
        </w:tc>
        <w:tc>
          <w:tcPr>
            <w:tcW w:w="180" w:type="dxa"/>
            <w:vAlign w:val="bottom"/>
          </w:tcPr>
          <w:p>
            <w:pPr>
              <w:spacing w:after="0"/>
              <w:rPr>
                <w:sz w:val="8"/>
                <w:szCs w:val="8"/>
                <w:color w:val="auto"/>
              </w:rPr>
            </w:pPr>
          </w:p>
        </w:tc>
        <w:tc>
          <w:tcPr>
            <w:tcW w:w="4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w w:val="99"/>
              </w:rPr>
              <w:t>2021</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center"/>
              <w:ind w:right="3"/>
              <w:spacing w:after="0" w:line="81" w:lineRule="exact"/>
              <w:rPr>
                <w:sz w:val="20"/>
                <w:szCs w:val="20"/>
                <w:color w:val="auto"/>
              </w:rPr>
            </w:pPr>
            <w:r>
              <w:rPr>
                <w:rFonts w:ascii="Arial" w:cs="Arial" w:eastAsia="Arial" w:hAnsi="Arial"/>
                <w:sz w:val="9"/>
                <w:szCs w:val="9"/>
                <w:b w:val="1"/>
                <w:bCs w:val="1"/>
                <w:color w:val="auto"/>
                <w:w w:val="99"/>
              </w:rPr>
              <w:t>2021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center"/>
              <w:ind w:right="43"/>
              <w:spacing w:after="0" w:line="81" w:lineRule="exact"/>
              <w:rPr>
                <w:sz w:val="20"/>
                <w:szCs w:val="20"/>
                <w:color w:val="auto"/>
              </w:rPr>
            </w:pPr>
            <w:r>
              <w:rPr>
                <w:rFonts w:ascii="Arial" w:cs="Arial" w:eastAsia="Arial" w:hAnsi="Arial"/>
                <w:sz w:val="9"/>
                <w:szCs w:val="9"/>
                <w:b w:val="1"/>
                <w:bCs w:val="1"/>
                <w:color w:val="auto"/>
                <w:w w:val="99"/>
              </w:rPr>
              <w:t>2020</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3"/>
              <w:spacing w:after="0" w:line="81" w:lineRule="exact"/>
              <w:rPr>
                <w:sz w:val="20"/>
                <w:szCs w:val="20"/>
                <w:color w:val="auto"/>
              </w:rPr>
            </w:pPr>
            <w:r>
              <w:rPr>
                <w:rFonts w:ascii="Arial" w:cs="Arial" w:eastAsia="Arial" w:hAnsi="Arial"/>
                <w:sz w:val="9"/>
                <w:szCs w:val="9"/>
                <w:b w:val="1"/>
                <w:bCs w:val="1"/>
                <w:color w:val="auto"/>
                <w:w w:val="99"/>
              </w:rPr>
              <w:t>2020</w:t>
            </w:r>
          </w:p>
        </w:tc>
        <w:tc>
          <w:tcPr>
            <w:tcW w:w="240" w:type="dxa"/>
            <w:vAlign w:val="bottom"/>
          </w:tcPr>
          <w:p>
            <w:pPr>
              <w:spacing w:after="0"/>
              <w:rPr>
                <w:sz w:val="8"/>
                <w:szCs w:val="8"/>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2020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center"/>
              <w:ind w:right="3"/>
              <w:spacing w:after="0" w:line="81" w:lineRule="exact"/>
              <w:rPr>
                <w:sz w:val="20"/>
                <w:szCs w:val="20"/>
                <w:color w:val="auto"/>
              </w:rPr>
            </w:pPr>
            <w:r>
              <w:rPr>
                <w:rFonts w:ascii="Arial" w:cs="Arial" w:eastAsia="Arial" w:hAnsi="Arial"/>
                <w:sz w:val="9"/>
                <w:szCs w:val="9"/>
                <w:b w:val="1"/>
                <w:bCs w:val="1"/>
                <w:color w:val="auto"/>
                <w:w w:val="99"/>
              </w:rPr>
              <w:t>2020</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center"/>
              <w:ind w:right="43"/>
              <w:spacing w:after="0" w:line="81" w:lineRule="exact"/>
              <w:rPr>
                <w:sz w:val="20"/>
                <w:szCs w:val="20"/>
                <w:color w:val="auto"/>
              </w:rPr>
            </w:pPr>
            <w:r>
              <w:rPr>
                <w:rFonts w:ascii="Arial" w:cs="Arial" w:eastAsia="Arial" w:hAnsi="Arial"/>
                <w:sz w:val="9"/>
                <w:szCs w:val="9"/>
                <w:b w:val="1"/>
                <w:bCs w:val="1"/>
                <w:color w:val="auto"/>
                <w:w w:val="99"/>
              </w:rPr>
              <w:t>2019</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ind w:right="23"/>
              <w:spacing w:after="0" w:line="81" w:lineRule="exact"/>
              <w:rPr>
                <w:sz w:val="20"/>
                <w:szCs w:val="20"/>
                <w:color w:val="auto"/>
              </w:rPr>
            </w:pPr>
            <w:r>
              <w:rPr>
                <w:rFonts w:ascii="Arial" w:cs="Arial" w:eastAsia="Arial" w:hAnsi="Arial"/>
                <w:sz w:val="9"/>
                <w:szCs w:val="9"/>
                <w:b w:val="1"/>
                <w:bCs w:val="1"/>
                <w:color w:val="auto"/>
                <w:w w:val="99"/>
              </w:rPr>
              <w:t>2019</w:t>
            </w:r>
          </w:p>
        </w:tc>
        <w:tc>
          <w:tcPr>
            <w:tcW w:w="3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center"/>
              <w:ind w:right="23"/>
              <w:spacing w:after="0" w:line="81" w:lineRule="exact"/>
              <w:rPr>
                <w:sz w:val="20"/>
                <w:szCs w:val="20"/>
                <w:color w:val="auto"/>
              </w:rPr>
            </w:pPr>
            <w:r>
              <w:rPr>
                <w:rFonts w:ascii="Arial" w:cs="Arial" w:eastAsia="Arial" w:hAnsi="Arial"/>
                <w:sz w:val="9"/>
                <w:szCs w:val="9"/>
                <w:b w:val="1"/>
                <w:bCs w:val="1"/>
                <w:color w:val="auto"/>
                <w:w w:val="99"/>
              </w:rPr>
              <w:t>2019</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center"/>
              <w:ind w:right="2"/>
              <w:spacing w:after="0" w:line="81" w:lineRule="exact"/>
              <w:rPr>
                <w:sz w:val="20"/>
                <w:szCs w:val="20"/>
                <w:color w:val="auto"/>
              </w:rPr>
            </w:pPr>
            <w:r>
              <w:rPr>
                <w:rFonts w:ascii="Arial" w:cs="Arial" w:eastAsia="Arial" w:hAnsi="Arial"/>
                <w:sz w:val="9"/>
                <w:szCs w:val="9"/>
                <w:b w:val="1"/>
                <w:bCs w:val="1"/>
                <w:color w:val="auto"/>
              </w:rPr>
              <w:t>2019</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center"/>
              <w:ind w:right="23"/>
              <w:spacing w:after="0" w:line="81" w:lineRule="exact"/>
              <w:rPr>
                <w:sz w:val="20"/>
                <w:szCs w:val="20"/>
                <w:color w:val="auto"/>
              </w:rPr>
            </w:pPr>
            <w:r>
              <w:rPr>
                <w:rFonts w:ascii="Arial" w:cs="Arial" w:eastAsia="Arial" w:hAnsi="Arial"/>
                <w:sz w:val="9"/>
                <w:szCs w:val="9"/>
                <w:b w:val="1"/>
                <w:bCs w:val="1"/>
                <w:color w:val="auto"/>
              </w:rPr>
              <w:t>2019</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50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(20,966)</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77"/>
              </w:rPr>
              <w:t>$(15,039)</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80"/>
              </w:rPr>
              <w:t>(10,488)</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(15,862)</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(9,962)</w:t>
            </w: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77"/>
              </w:rPr>
              <w:t>$(11,498)</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80"/>
              </w:rPr>
              <w:t>(13,835)</w:t>
            </w: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(18,480)</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(30,786)</w:t>
            </w:r>
          </w:p>
        </w:tc>
        <w:tc>
          <w:tcPr>
            <w:tcW w:w="32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92"/>
              </w:rPr>
              <w:t>(639)</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99"/>
              </w:rPr>
              <w:t>7,964</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5,543</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00" w:type="dxa"/>
            <w:vAlign w:val="bottom"/>
            <w:gridSpan w:val="2"/>
          </w:tcPr>
          <w:p>
            <w:pPr>
              <w:spacing w:after="0" w:line="127" w:lineRule="exact"/>
              <w:rPr>
                <w:sz w:val="20"/>
                <w:szCs w:val="20"/>
                <w:color w:val="auto"/>
              </w:rPr>
            </w:pPr>
            <w:r>
              <w:rPr>
                <w:rFonts w:ascii="Arial" w:cs="Arial" w:eastAsia="Arial" w:hAnsi="Arial"/>
                <w:sz w:val="12"/>
                <w:szCs w:val="12"/>
                <w:color w:val="auto"/>
              </w:rPr>
              <w:t>Interest expense, net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7,186</w:t>
            </w:r>
          </w:p>
        </w:tc>
        <w:tc>
          <w:tcPr>
            <w:tcW w:w="48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8,316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8,454</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8,688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9,022</w:t>
            </w:r>
          </w:p>
        </w:tc>
        <w:tc>
          <w:tcPr>
            <w:tcW w:w="240" w:type="dxa"/>
            <w:vAlign w:val="bottom"/>
          </w:tcPr>
          <w:p>
            <w:pPr>
              <w:spacing w:after="0"/>
              <w:rPr>
                <w:sz w:val="11"/>
                <w:szCs w:val="11"/>
                <w:color w:val="auto"/>
              </w:rPr>
            </w:pPr>
          </w:p>
        </w:tc>
        <w:tc>
          <w:tcPr>
            <w:tcW w:w="6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9,328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9,452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9,894</w:t>
            </w:r>
          </w:p>
        </w:tc>
        <w:tc>
          <w:tcPr>
            <w:tcW w:w="10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320"/>
              <w:spacing w:after="0" w:line="127" w:lineRule="exact"/>
              <w:rPr>
                <w:sz w:val="20"/>
                <w:szCs w:val="20"/>
                <w:color w:val="auto"/>
              </w:rPr>
            </w:pPr>
            <w:r>
              <w:rPr>
                <w:rFonts w:ascii="Arial" w:cs="Arial" w:eastAsia="Arial" w:hAnsi="Arial"/>
                <w:sz w:val="12"/>
                <w:szCs w:val="12"/>
                <w:color w:val="auto"/>
              </w:rPr>
              <w:t>8,310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27" w:lineRule="exact"/>
              <w:rPr>
                <w:sz w:val="20"/>
                <w:szCs w:val="20"/>
                <w:color w:val="auto"/>
              </w:rPr>
            </w:pPr>
            <w:r>
              <w:rPr>
                <w:rFonts w:ascii="Arial" w:cs="Arial" w:eastAsia="Arial" w:hAnsi="Arial"/>
                <w:sz w:val="12"/>
                <w:szCs w:val="12"/>
                <w:color w:val="auto"/>
              </w:rPr>
              <w:t>58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Loss from extinguishment</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2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5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of debt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9,873</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500" w:type="dxa"/>
            <w:vAlign w:val="bottom"/>
            <w:gridSpan w:val="2"/>
          </w:tcPr>
          <w:p>
            <w:pPr>
              <w:spacing w:after="0" w:line="127" w:lineRule="exact"/>
              <w:rPr>
                <w:sz w:val="20"/>
                <w:szCs w:val="20"/>
                <w:color w:val="auto"/>
              </w:rPr>
            </w:pPr>
            <w:r>
              <w:rPr>
                <w:rFonts w:ascii="Arial" w:cs="Arial" w:eastAsia="Arial" w:hAnsi="Arial"/>
                <w:sz w:val="12"/>
                <w:szCs w:val="12"/>
                <w:color w:val="auto"/>
              </w:rPr>
              <w:t>Depreciation</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452</w:t>
            </w:r>
          </w:p>
        </w:tc>
        <w:tc>
          <w:tcPr>
            <w:tcW w:w="72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rPr>
              <w:t>400</w:t>
            </w:r>
          </w:p>
        </w:tc>
        <w:tc>
          <w:tcPr>
            <w:tcW w:w="60" w:type="dxa"/>
            <w:vAlign w:val="bottom"/>
          </w:tcPr>
          <w:p>
            <w:pPr>
              <w:spacing w:after="0"/>
              <w:rPr>
                <w:sz w:val="11"/>
                <w:szCs w:val="11"/>
                <w:color w:val="auto"/>
              </w:rPr>
            </w:pPr>
          </w:p>
        </w:tc>
        <w:tc>
          <w:tcPr>
            <w:tcW w:w="60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341</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335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301</w:t>
            </w:r>
          </w:p>
        </w:tc>
        <w:tc>
          <w:tcPr>
            <w:tcW w:w="6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257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259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261</w:t>
            </w:r>
          </w:p>
        </w:tc>
        <w:tc>
          <w:tcPr>
            <w:tcW w:w="10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320"/>
              <w:spacing w:after="0" w:line="127" w:lineRule="exact"/>
              <w:rPr>
                <w:sz w:val="20"/>
                <w:szCs w:val="20"/>
                <w:color w:val="auto"/>
              </w:rPr>
            </w:pPr>
            <w:r>
              <w:rPr>
                <w:rFonts w:ascii="Arial" w:cs="Arial" w:eastAsia="Arial" w:hAnsi="Arial"/>
                <w:sz w:val="12"/>
                <w:szCs w:val="12"/>
                <w:color w:val="auto"/>
              </w:rPr>
              <w:t>195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jc w:val="right"/>
              <w:spacing w:after="0" w:line="127" w:lineRule="exact"/>
              <w:rPr>
                <w:sz w:val="20"/>
                <w:szCs w:val="20"/>
                <w:color w:val="auto"/>
              </w:rPr>
            </w:pPr>
            <w:r>
              <w:rPr>
                <w:rFonts w:ascii="Arial" w:cs="Arial" w:eastAsia="Arial" w:hAnsi="Arial"/>
                <w:sz w:val="12"/>
                <w:szCs w:val="12"/>
                <w:color w:val="auto"/>
              </w:rPr>
              <w:t>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222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113"/>
        </w:trPr>
        <w:tc>
          <w:tcPr>
            <w:tcW w:w="150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Amortization of intangible</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2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5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assets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14,664</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14,507</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7"/>
              </w:rPr>
              <w:t>14,346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14,930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14,605</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14,447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7"/>
              </w:rPr>
              <w:t>14,446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16,755</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13,862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972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908</w:t>
            </w:r>
          </w:p>
        </w:tc>
        <w:tc>
          <w:tcPr>
            <w:tcW w:w="0" w:type="dxa"/>
            <w:vAlign w:val="bottom"/>
          </w:tcPr>
          <w:p>
            <w:pPr>
              <w:spacing w:after="0"/>
              <w:rPr>
                <w:sz w:val="1"/>
                <w:szCs w:val="1"/>
                <w:color w:val="auto"/>
              </w:rPr>
            </w:pPr>
          </w:p>
        </w:tc>
      </w:tr>
      <w:tr>
        <w:trPr>
          <w:trHeight w:val="132"/>
        </w:trPr>
        <w:tc>
          <w:tcPr>
            <w:tcW w:w="1500" w:type="dxa"/>
            <w:vAlign w:val="bottom"/>
            <w:gridSpan w:val="2"/>
          </w:tcPr>
          <w:p>
            <w:pPr>
              <w:spacing w:after="0" w:line="132" w:lineRule="exact"/>
              <w:rPr>
                <w:sz w:val="20"/>
                <w:szCs w:val="20"/>
                <w:color w:val="auto"/>
              </w:rPr>
            </w:pPr>
            <w:r>
              <w:rPr>
                <w:rFonts w:ascii="Arial" w:cs="Arial" w:eastAsia="Arial" w:hAnsi="Arial"/>
                <w:sz w:val="12"/>
                <w:szCs w:val="12"/>
                <w:color w:val="auto"/>
              </w:rPr>
              <w:t>EBITDA</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180"/>
              <w:spacing w:after="0" w:line="132" w:lineRule="exact"/>
              <w:rPr>
                <w:sz w:val="20"/>
                <w:szCs w:val="20"/>
                <w:color w:val="auto"/>
              </w:rPr>
            </w:pPr>
            <w:r>
              <w:rPr>
                <w:rFonts w:ascii="Arial" w:cs="Arial" w:eastAsia="Arial" w:hAnsi="Arial"/>
                <w:sz w:val="12"/>
                <w:szCs w:val="12"/>
                <w:color w:val="auto"/>
              </w:rPr>
              <w:t>11,209</w:t>
            </w:r>
          </w:p>
        </w:tc>
        <w:tc>
          <w:tcPr>
            <w:tcW w:w="480" w:type="dxa"/>
            <w:vAlign w:val="bottom"/>
            <w:tcBorders>
              <w:top w:val="single" w:sz="8" w:color="auto"/>
            </w:tcBorders>
            <w:gridSpan w:val="2"/>
          </w:tcPr>
          <w:p>
            <w:pPr>
              <w:jc w:val="right"/>
              <w:spacing w:after="0" w:line="132" w:lineRule="exact"/>
              <w:rPr>
                <w:sz w:val="20"/>
                <w:szCs w:val="20"/>
                <w:color w:val="auto"/>
              </w:rPr>
            </w:pPr>
            <w:r>
              <w:rPr>
                <w:rFonts w:ascii="Arial" w:cs="Arial" w:eastAsia="Arial" w:hAnsi="Arial"/>
                <w:sz w:val="12"/>
                <w:szCs w:val="12"/>
                <w:color w:val="auto"/>
              </w:rPr>
              <w:t>8,184</w:t>
            </w: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220"/>
              <w:spacing w:after="0" w:line="132" w:lineRule="exact"/>
              <w:rPr>
                <w:sz w:val="20"/>
                <w:szCs w:val="20"/>
                <w:color w:val="auto"/>
              </w:rPr>
            </w:pPr>
            <w:r>
              <w:rPr>
                <w:rFonts w:ascii="Arial" w:cs="Arial" w:eastAsia="Arial" w:hAnsi="Arial"/>
                <w:sz w:val="12"/>
                <w:szCs w:val="12"/>
                <w:color w:val="auto"/>
                <w:w w:val="97"/>
              </w:rPr>
              <w:t>12,653</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180"/>
              <w:spacing w:after="0" w:line="132" w:lineRule="exact"/>
              <w:rPr>
                <w:sz w:val="20"/>
                <w:szCs w:val="20"/>
                <w:color w:val="auto"/>
              </w:rPr>
            </w:pPr>
            <w:r>
              <w:rPr>
                <w:rFonts w:ascii="Arial" w:cs="Arial" w:eastAsia="Arial" w:hAnsi="Arial"/>
                <w:sz w:val="12"/>
                <w:szCs w:val="12"/>
                <w:color w:val="auto"/>
              </w:rPr>
              <w:t>8,091</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240"/>
              <w:spacing w:after="0" w:line="132" w:lineRule="exact"/>
              <w:rPr>
                <w:sz w:val="20"/>
                <w:szCs w:val="20"/>
                <w:color w:val="auto"/>
              </w:rPr>
            </w:pPr>
            <w:r>
              <w:rPr>
                <w:rFonts w:ascii="Arial" w:cs="Arial" w:eastAsia="Arial" w:hAnsi="Arial"/>
                <w:sz w:val="12"/>
                <w:szCs w:val="12"/>
                <w:color w:val="auto"/>
              </w:rPr>
              <w:t>13,966</w:t>
            </w:r>
          </w:p>
        </w:tc>
        <w:tc>
          <w:tcPr>
            <w:tcW w:w="600" w:type="dxa"/>
            <w:vAlign w:val="bottom"/>
            <w:tcBorders>
              <w:top w:val="single" w:sz="8" w:color="auto"/>
            </w:tcBorders>
            <w:gridSpan w:val="2"/>
          </w:tcPr>
          <w:p>
            <w:pPr>
              <w:jc w:val="right"/>
              <w:ind w:right="180"/>
              <w:spacing w:after="0" w:line="132" w:lineRule="exact"/>
              <w:rPr>
                <w:sz w:val="20"/>
                <w:szCs w:val="20"/>
                <w:color w:val="auto"/>
              </w:rPr>
            </w:pPr>
            <w:r>
              <w:rPr>
                <w:rFonts w:ascii="Arial" w:cs="Arial" w:eastAsia="Arial" w:hAnsi="Arial"/>
                <w:sz w:val="12"/>
                <w:szCs w:val="12"/>
                <w:color w:val="auto"/>
              </w:rPr>
              <w:t>12,534</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180"/>
              <w:spacing w:after="0" w:line="132" w:lineRule="exact"/>
              <w:rPr>
                <w:sz w:val="20"/>
                <w:szCs w:val="20"/>
                <w:color w:val="auto"/>
              </w:rPr>
            </w:pPr>
            <w:r>
              <w:rPr>
                <w:rFonts w:ascii="Arial" w:cs="Arial" w:eastAsia="Arial" w:hAnsi="Arial"/>
                <w:sz w:val="12"/>
                <w:szCs w:val="12"/>
                <w:color w:val="auto"/>
                <w:w w:val="97"/>
              </w:rPr>
              <w:t>10,322</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220"/>
              <w:spacing w:after="0" w:line="132" w:lineRule="exact"/>
              <w:rPr>
                <w:sz w:val="20"/>
                <w:szCs w:val="20"/>
                <w:color w:val="auto"/>
              </w:rPr>
            </w:pPr>
            <w:r>
              <w:rPr>
                <w:rFonts w:ascii="Arial" w:cs="Arial" w:eastAsia="Arial" w:hAnsi="Arial"/>
                <w:sz w:val="12"/>
                <w:szCs w:val="12"/>
                <w:color w:val="auto"/>
              </w:rPr>
              <w:t>8,430</w:t>
            </w: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right w:val="single" w:sz="8" w:color="auto"/>
            </w:tcBorders>
            <w:gridSpan w:val="2"/>
          </w:tcPr>
          <w:p>
            <w:pPr>
              <w:jc w:val="right"/>
              <w:ind w:right="280"/>
              <w:spacing w:after="0" w:line="132" w:lineRule="exact"/>
              <w:rPr>
                <w:sz w:val="20"/>
                <w:szCs w:val="20"/>
                <w:color w:val="auto"/>
              </w:rPr>
            </w:pPr>
            <w:r>
              <w:rPr>
                <w:rFonts w:ascii="Arial" w:cs="Arial" w:eastAsia="Arial" w:hAnsi="Arial"/>
                <w:sz w:val="12"/>
                <w:szCs w:val="12"/>
                <w:color w:val="auto"/>
              </w:rPr>
              <w:t>(8,419)</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ind w:right="120"/>
              <w:spacing w:after="0" w:line="132" w:lineRule="exact"/>
              <w:rPr>
                <w:sz w:val="20"/>
                <w:szCs w:val="20"/>
                <w:color w:val="auto"/>
              </w:rPr>
            </w:pPr>
            <w:r>
              <w:rPr>
                <w:rFonts w:ascii="Arial" w:cs="Arial" w:eastAsia="Arial" w:hAnsi="Arial"/>
                <w:sz w:val="12"/>
                <w:szCs w:val="12"/>
                <w:color w:val="auto"/>
              </w:rPr>
              <w:t>(446)</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ind w:right="160"/>
              <w:spacing w:after="0" w:line="132" w:lineRule="exact"/>
              <w:rPr>
                <w:sz w:val="20"/>
                <w:szCs w:val="20"/>
                <w:color w:val="auto"/>
              </w:rPr>
            </w:pPr>
            <w:r>
              <w:rPr>
                <w:rFonts w:ascii="Arial" w:cs="Arial" w:eastAsia="Arial" w:hAnsi="Arial"/>
                <w:sz w:val="12"/>
                <w:szCs w:val="12"/>
                <w:color w:val="auto"/>
                <w:w w:val="99"/>
              </w:rPr>
              <w:t>9,216</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6,728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w w:val="91"/>
              </w:rPr>
              <w:t>Other (income) expense, net</w:t>
            </w:r>
            <w:r>
              <w:rPr>
                <w:rFonts w:ascii="Arial" w:cs="Arial" w:eastAsia="Arial" w:hAnsi="Arial"/>
                <w:sz w:val="8"/>
                <w:szCs w:val="8"/>
                <w:color w:val="auto"/>
                <w:w w:val="91"/>
              </w:rPr>
              <w:t>(1)</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(119)</w:t>
            </w:r>
          </w:p>
        </w:tc>
        <w:tc>
          <w:tcPr>
            <w:tcW w:w="72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222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shd w:val="clear" w:color="auto" w:fill="CCEEFF"/>
          </w:tcPr>
          <w:p>
            <w:pPr>
              <w:jc w:val="right"/>
              <w:ind w:right="380"/>
              <w:spacing w:after="0" w:line="12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500" w:type="dxa"/>
            <w:vAlign w:val="bottom"/>
            <w:gridSpan w:val="2"/>
          </w:tcPr>
          <w:p>
            <w:pPr>
              <w:spacing w:after="0" w:line="127" w:lineRule="exact"/>
              <w:rPr>
                <w:sz w:val="20"/>
                <w:szCs w:val="20"/>
                <w:color w:val="auto"/>
              </w:rPr>
            </w:pPr>
            <w:r>
              <w:rPr>
                <w:rFonts w:ascii="Arial" w:cs="Arial" w:eastAsia="Arial" w:hAnsi="Arial"/>
                <w:sz w:val="12"/>
                <w:szCs w:val="12"/>
                <w:color w:val="auto"/>
                <w:w w:val="97"/>
              </w:rPr>
              <w:t>Equity compensation costs</w:t>
            </w:r>
            <w:r>
              <w:rPr>
                <w:rFonts w:ascii="Arial" w:cs="Arial" w:eastAsia="Arial" w:hAnsi="Arial"/>
                <w:sz w:val="8"/>
                <w:szCs w:val="8"/>
                <w:color w:val="auto"/>
                <w:w w:val="97"/>
              </w:rPr>
              <w:t>(2)</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2,317</w:t>
            </w:r>
          </w:p>
        </w:tc>
        <w:tc>
          <w:tcPr>
            <w:tcW w:w="48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1,615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406</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417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458</w:t>
            </w:r>
          </w:p>
        </w:tc>
        <w:tc>
          <w:tcPr>
            <w:tcW w:w="6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442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430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412</w:t>
            </w:r>
          </w:p>
        </w:tc>
        <w:tc>
          <w:tcPr>
            <w:tcW w:w="10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320"/>
              <w:spacing w:after="0" w:line="127" w:lineRule="exact"/>
              <w:rPr>
                <w:sz w:val="20"/>
                <w:szCs w:val="20"/>
                <w:color w:val="auto"/>
              </w:rPr>
            </w:pPr>
            <w:r>
              <w:rPr>
                <w:rFonts w:ascii="Arial" w:cs="Arial" w:eastAsia="Arial" w:hAnsi="Arial"/>
                <w:sz w:val="12"/>
                <w:szCs w:val="12"/>
                <w:color w:val="auto"/>
              </w:rPr>
              <w:t>332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86"/>
              </w:rPr>
              <w:t>2,402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99"/>
              </w:rPr>
              <w:t>1,712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1,693</w:t>
            </w:r>
          </w:p>
        </w:tc>
        <w:tc>
          <w:tcPr>
            <w:tcW w:w="0" w:type="dxa"/>
            <w:vAlign w:val="bottom"/>
          </w:tcPr>
          <w:p>
            <w:pPr>
              <w:spacing w:after="0"/>
              <w:rPr>
                <w:sz w:val="1"/>
                <w:szCs w:val="1"/>
                <w:color w:val="auto"/>
              </w:rPr>
            </w:pPr>
          </w:p>
        </w:tc>
      </w:tr>
      <w:tr>
        <w:trPr>
          <w:trHeight w:val="127"/>
        </w:trPr>
        <w:tc>
          <w:tcPr>
            <w:tcW w:w="15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w w:val="91"/>
              </w:rPr>
              <w:t>Acquisition related expenses</w:t>
            </w:r>
            <w:r>
              <w:rPr>
                <w:rFonts w:ascii="Arial" w:cs="Arial" w:eastAsia="Arial" w:hAnsi="Arial"/>
                <w:sz w:val="8"/>
                <w:szCs w:val="8"/>
                <w:color w:val="auto"/>
                <w:w w:val="91"/>
              </w:rPr>
              <w:t>(3)</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(137)</w:t>
            </w:r>
          </w:p>
        </w:tc>
        <w:tc>
          <w:tcPr>
            <w:tcW w:w="4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3,431</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3,028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40</w:t>
            </w:r>
          </w:p>
        </w:tc>
        <w:tc>
          <w:tcPr>
            <w:tcW w:w="2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268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440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(678)</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shd w:val="clear" w:color="auto" w:fill="CCEEFF"/>
          </w:tcPr>
          <w:p>
            <w:pPr>
              <w:jc w:val="right"/>
              <w:ind w:right="320"/>
              <w:spacing w:after="0" w:line="127" w:lineRule="exact"/>
              <w:rPr>
                <w:sz w:val="20"/>
                <w:szCs w:val="20"/>
                <w:color w:val="auto"/>
              </w:rPr>
            </w:pPr>
            <w:r>
              <w:rPr>
                <w:rFonts w:ascii="Arial" w:cs="Arial" w:eastAsia="Arial" w:hAnsi="Arial"/>
                <w:sz w:val="12"/>
                <w:szCs w:val="12"/>
                <w:color w:val="auto"/>
              </w:rPr>
              <w:t>15,381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99"/>
              </w:rPr>
              <w:t>1,019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13"/>
        </w:trPr>
        <w:tc>
          <w:tcPr>
            <w:tcW w:w="1500" w:type="dxa"/>
            <w:vAlign w:val="bottom"/>
            <w:gridSpan w:val="2"/>
          </w:tcPr>
          <w:p>
            <w:pPr>
              <w:spacing w:after="0" w:line="113" w:lineRule="exact"/>
              <w:rPr>
                <w:sz w:val="20"/>
                <w:szCs w:val="20"/>
                <w:color w:val="auto"/>
              </w:rPr>
            </w:pPr>
            <w:r>
              <w:rPr>
                <w:rFonts w:ascii="Arial" w:cs="Arial" w:eastAsia="Arial" w:hAnsi="Arial"/>
                <w:sz w:val="12"/>
                <w:szCs w:val="12"/>
                <w:color w:val="auto"/>
              </w:rPr>
              <w:t>Non-recurring and one-</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500" w:type="dxa"/>
            <w:vAlign w:val="bottom"/>
            <w:gridSpan w:val="2"/>
          </w:tcPr>
          <w:p>
            <w:pPr>
              <w:ind w:left="120"/>
              <w:spacing w:after="0"/>
              <w:rPr>
                <w:sz w:val="20"/>
                <w:szCs w:val="20"/>
                <w:color w:val="auto"/>
              </w:rPr>
            </w:pPr>
            <w:r>
              <w:rPr>
                <w:rFonts w:ascii="Arial" w:cs="Arial" w:eastAsia="Arial" w:hAnsi="Arial"/>
                <w:sz w:val="12"/>
                <w:szCs w:val="12"/>
                <w:color w:val="auto"/>
              </w:rPr>
              <w:t>time items</w:t>
            </w:r>
            <w:r>
              <w:rPr>
                <w:rFonts w:ascii="Arial" w:cs="Arial" w:eastAsia="Arial" w:hAnsi="Arial"/>
                <w:sz w:val="8"/>
                <w:szCs w:val="8"/>
                <w:color w:val="auto"/>
              </w:rPr>
              <w:t>(4)</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1,149</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1,069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1,095</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1,043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37</w:t>
            </w:r>
          </w:p>
        </w:tc>
        <w:tc>
          <w:tcPr>
            <w:tcW w:w="2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890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877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2,622</w:t>
            </w:r>
          </w:p>
        </w:tc>
        <w:tc>
          <w:tcPr>
            <w:tcW w:w="10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2"/>
                <w:szCs w:val="12"/>
                <w:color w:val="auto"/>
              </w:rPr>
              <w:t>571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128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546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127"/>
        </w:trPr>
        <w:tc>
          <w:tcPr>
            <w:tcW w:w="15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Adjusted EBITDA</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14,419</w:t>
            </w:r>
          </w:p>
        </w:tc>
        <w:tc>
          <w:tcPr>
            <w:tcW w:w="720" w:type="dxa"/>
            <w:vAlign w:val="bottom"/>
            <w:gridSpan w:val="3"/>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14,399</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w w:val="97"/>
              </w:rPr>
              <w:t>14,068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12,801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14,501</w:t>
            </w:r>
          </w:p>
        </w:tc>
        <w:tc>
          <w:tcPr>
            <w:tcW w:w="60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14,134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w w:val="97"/>
              </w:rPr>
              <w:t>12,069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rPr>
              <w:t>10,786</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shd w:val="clear" w:color="auto" w:fill="CCEEFF"/>
          </w:tcPr>
          <w:p>
            <w:pPr>
              <w:jc w:val="right"/>
              <w:ind w:right="320"/>
              <w:spacing w:after="0" w:line="127" w:lineRule="exact"/>
              <w:rPr>
                <w:sz w:val="20"/>
                <w:szCs w:val="20"/>
                <w:color w:val="auto"/>
              </w:rPr>
            </w:pPr>
            <w:r>
              <w:rPr>
                <w:rFonts w:ascii="Arial" w:cs="Arial" w:eastAsia="Arial" w:hAnsi="Arial"/>
                <w:sz w:val="12"/>
                <w:szCs w:val="12"/>
                <w:color w:val="auto"/>
              </w:rPr>
              <w:t>7,865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6"/>
              </w:rPr>
              <w:t>2,084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w w:val="81"/>
              </w:rPr>
              <w:t>12,493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9,079</w:t>
            </w:r>
          </w:p>
        </w:tc>
        <w:tc>
          <w:tcPr>
            <w:tcW w:w="0" w:type="dxa"/>
            <w:vAlign w:val="bottom"/>
          </w:tcPr>
          <w:p>
            <w:pPr>
              <w:spacing w:after="0"/>
              <w:rPr>
                <w:sz w:val="1"/>
                <w:szCs w:val="1"/>
                <w:color w:val="auto"/>
              </w:rPr>
            </w:pPr>
          </w:p>
        </w:tc>
      </w:tr>
      <w:tr>
        <w:trPr>
          <w:trHeight w:val="127"/>
        </w:trPr>
        <w:tc>
          <w:tcPr>
            <w:tcW w:w="1500" w:type="dxa"/>
            <w:vAlign w:val="bottom"/>
            <w:gridSpan w:val="2"/>
          </w:tcPr>
          <w:p>
            <w:pPr>
              <w:spacing w:after="0" w:line="127" w:lineRule="exact"/>
              <w:rPr>
                <w:sz w:val="20"/>
                <w:szCs w:val="20"/>
                <w:color w:val="auto"/>
              </w:rPr>
            </w:pPr>
            <w:r>
              <w:rPr>
                <w:rFonts w:ascii="Arial" w:cs="Arial" w:eastAsia="Arial" w:hAnsi="Arial"/>
                <w:sz w:val="12"/>
                <w:szCs w:val="12"/>
                <w:color w:val="auto"/>
              </w:rPr>
              <w:t>Revenue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43,084</w:t>
            </w:r>
          </w:p>
        </w:tc>
        <w:tc>
          <w:tcPr>
            <w:tcW w:w="720" w:type="dxa"/>
            <w:vAlign w:val="bottom"/>
            <w:gridSpan w:val="3"/>
          </w:tcPr>
          <w:p>
            <w:pPr>
              <w:jc w:val="right"/>
              <w:ind w:right="240"/>
              <w:spacing w:after="0" w:line="127" w:lineRule="exact"/>
              <w:rPr>
                <w:sz w:val="20"/>
                <w:szCs w:val="20"/>
                <w:color w:val="auto"/>
              </w:rPr>
            </w:pPr>
            <w:r>
              <w:rPr>
                <w:rFonts w:ascii="Arial" w:cs="Arial" w:eastAsia="Arial" w:hAnsi="Arial"/>
                <w:sz w:val="12"/>
                <w:szCs w:val="12"/>
                <w:color w:val="auto"/>
                <w:w w:val="98"/>
              </w:rPr>
              <w:t>$ 39,821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w w:val="97"/>
              </w:rPr>
              <w:t>36,936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33,658</w:t>
            </w:r>
          </w:p>
        </w:tc>
        <w:tc>
          <w:tcPr>
            <w:tcW w:w="12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line="127" w:lineRule="exact"/>
              <w:rPr>
                <w:sz w:val="20"/>
                <w:szCs w:val="20"/>
                <w:color w:val="auto"/>
              </w:rPr>
            </w:pPr>
            <w:r>
              <w:rPr>
                <w:rFonts w:ascii="Arial" w:cs="Arial" w:eastAsia="Arial" w:hAnsi="Arial"/>
                <w:sz w:val="12"/>
                <w:szCs w:val="12"/>
                <w:color w:val="auto"/>
              </w:rPr>
              <w:t>30,073</w:t>
            </w:r>
          </w:p>
        </w:tc>
        <w:tc>
          <w:tcPr>
            <w:tcW w:w="6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w w:val="85"/>
              </w:rPr>
              <w:t>$ 28,245</w:t>
            </w:r>
          </w:p>
        </w:tc>
        <w:tc>
          <w:tcPr>
            <w:tcW w:w="12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w w:val="97"/>
              </w:rPr>
              <w:t>26,341</w:t>
            </w:r>
          </w:p>
        </w:tc>
        <w:tc>
          <w:tcPr>
            <w:tcW w:w="1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27" w:lineRule="exact"/>
              <w:rPr>
                <w:sz w:val="20"/>
                <w:szCs w:val="20"/>
                <w:color w:val="auto"/>
              </w:rPr>
            </w:pPr>
            <w:r>
              <w:rPr>
                <w:rFonts w:ascii="Arial" w:cs="Arial" w:eastAsia="Arial" w:hAnsi="Arial"/>
                <w:sz w:val="12"/>
                <w:szCs w:val="12"/>
                <w:color w:val="auto"/>
              </w:rPr>
              <w:t>23,233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right w:val="single" w:sz="8" w:color="auto"/>
            </w:tcBorders>
            <w:gridSpan w:val="2"/>
          </w:tcPr>
          <w:p>
            <w:pPr>
              <w:jc w:val="right"/>
              <w:ind w:right="320"/>
              <w:spacing w:after="0" w:line="127" w:lineRule="exact"/>
              <w:rPr>
                <w:sz w:val="20"/>
                <w:szCs w:val="20"/>
                <w:color w:val="auto"/>
              </w:rPr>
            </w:pPr>
            <w:r>
              <w:rPr>
                <w:rFonts w:ascii="Arial" w:cs="Arial" w:eastAsia="Arial" w:hAnsi="Arial"/>
                <w:sz w:val="12"/>
                <w:szCs w:val="12"/>
                <w:color w:val="auto"/>
              </w:rPr>
              <w:t>16,812</w:t>
            </w:r>
          </w:p>
        </w:tc>
        <w:tc>
          <w:tcPr>
            <w:tcW w:w="20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86"/>
              </w:rPr>
              <w:t>3,829</w:t>
            </w:r>
          </w:p>
        </w:tc>
        <w:tc>
          <w:tcPr>
            <w:tcW w:w="1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81"/>
              </w:rPr>
              <w:t>22,631</w:t>
            </w:r>
          </w:p>
        </w:tc>
        <w:tc>
          <w:tcPr>
            <w:tcW w:w="12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w w:val="97"/>
              </w:rPr>
              <w:t>18,998</w:t>
            </w:r>
          </w:p>
        </w:tc>
        <w:tc>
          <w:tcPr>
            <w:tcW w:w="0" w:type="dxa"/>
            <w:vAlign w:val="bottom"/>
          </w:tcPr>
          <w:p>
            <w:pPr>
              <w:spacing w:after="0"/>
              <w:rPr>
                <w:sz w:val="1"/>
                <w:szCs w:val="1"/>
                <w:color w:val="auto"/>
              </w:rPr>
            </w:pPr>
          </w:p>
        </w:tc>
      </w:tr>
      <w:tr>
        <w:trPr>
          <w:trHeight w:val="127"/>
        </w:trPr>
        <w:tc>
          <w:tcPr>
            <w:tcW w:w="150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Net (loss) income margin</w:t>
            </w:r>
            <w:r>
              <w:rPr>
                <w:rFonts w:ascii="Arial" w:cs="Arial" w:eastAsia="Arial" w:hAnsi="Arial"/>
                <w:sz w:val="8"/>
                <w:szCs w:val="8"/>
                <w:color w:val="auto"/>
              </w:rPr>
              <w:t>(5)</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(49)%</w:t>
            </w:r>
          </w:p>
        </w:tc>
        <w:tc>
          <w:tcPr>
            <w:tcW w:w="720" w:type="dxa"/>
            <w:vAlign w:val="bottom"/>
            <w:gridSpan w:val="3"/>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(38)%</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(33)%</w:t>
            </w:r>
          </w:p>
        </w:tc>
        <w:tc>
          <w:tcPr>
            <w:tcW w:w="6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(41)%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(53)%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(80)%</w:t>
            </w:r>
          </w:p>
        </w:tc>
        <w:tc>
          <w:tcPr>
            <w:tcW w:w="1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shd w:val="clear" w:color="auto" w:fill="CCEEFF"/>
          </w:tcPr>
          <w:p>
            <w:pPr>
              <w:jc w:val="right"/>
              <w:ind w:right="180"/>
              <w:spacing w:after="0" w:line="127" w:lineRule="exact"/>
              <w:rPr>
                <w:sz w:val="20"/>
                <w:szCs w:val="20"/>
                <w:color w:val="auto"/>
              </w:rPr>
            </w:pPr>
            <w:r>
              <w:rPr>
                <w:rFonts w:ascii="Arial" w:cs="Arial" w:eastAsia="Arial" w:hAnsi="Arial"/>
                <w:sz w:val="12"/>
                <w:szCs w:val="12"/>
                <w:color w:val="auto"/>
              </w:rPr>
              <w:t>(183)%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35%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27"/>
        </w:trPr>
        <w:tc>
          <w:tcPr>
            <w:tcW w:w="1500" w:type="dxa"/>
            <w:vAlign w:val="bottom"/>
            <w:gridSpan w:val="2"/>
          </w:tcPr>
          <w:p>
            <w:pPr>
              <w:spacing w:after="0" w:line="127" w:lineRule="exact"/>
              <w:rPr>
                <w:sz w:val="20"/>
                <w:szCs w:val="20"/>
                <w:color w:val="auto"/>
              </w:rPr>
            </w:pPr>
            <w:r>
              <w:rPr>
                <w:rFonts w:ascii="Arial" w:cs="Arial" w:eastAsia="Arial" w:hAnsi="Arial"/>
                <w:sz w:val="12"/>
                <w:szCs w:val="12"/>
                <w:color w:val="auto"/>
              </w:rPr>
              <w:t>Adjusted EBITDA Margin</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33%</w:t>
            </w:r>
          </w:p>
        </w:tc>
        <w:tc>
          <w:tcPr>
            <w:tcW w:w="720" w:type="dxa"/>
            <w:vAlign w:val="bottom"/>
            <w:gridSpan w:val="3"/>
          </w:tcPr>
          <w:p>
            <w:pPr>
              <w:jc w:val="right"/>
              <w:ind w:right="140"/>
              <w:spacing w:after="0" w:line="127" w:lineRule="exact"/>
              <w:rPr>
                <w:sz w:val="20"/>
                <w:szCs w:val="20"/>
                <w:color w:val="auto"/>
              </w:rPr>
            </w:pPr>
            <w:r>
              <w:rPr>
                <w:rFonts w:ascii="Arial" w:cs="Arial" w:eastAsia="Arial" w:hAnsi="Arial"/>
                <w:sz w:val="12"/>
                <w:szCs w:val="12"/>
                <w:color w:val="auto"/>
              </w:rPr>
              <w:t>36%</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38%</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38%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48%</w:t>
            </w:r>
          </w:p>
        </w:tc>
        <w:tc>
          <w:tcPr>
            <w:tcW w:w="60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46%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46%</w:t>
            </w:r>
          </w:p>
        </w:tc>
        <w:tc>
          <w:tcPr>
            <w:tcW w:w="10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220"/>
              <w:spacing w:after="0" w:line="127" w:lineRule="exact"/>
              <w:rPr>
                <w:sz w:val="20"/>
                <w:szCs w:val="20"/>
                <w:color w:val="auto"/>
              </w:rPr>
            </w:pPr>
            <w:r>
              <w:rPr>
                <w:rFonts w:ascii="Arial" w:cs="Arial" w:eastAsia="Arial" w:hAnsi="Arial"/>
                <w:sz w:val="12"/>
                <w:szCs w:val="12"/>
                <w:color w:val="auto"/>
              </w:rPr>
              <w:t>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55%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-819785</wp:posOffset>
            </wp:positionV>
            <wp:extent cx="825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hanging="403"/>
        <w:spacing w:after="0"/>
        <w:tabs>
          <w:tab w:leader="none" w:pos="8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8" w:lineRule="exact"/>
        <w:rPr>
          <w:rFonts w:ascii="Arial" w:cs="Arial" w:eastAsia="Arial" w:hAnsi="Arial"/>
          <w:sz w:val="17"/>
          <w:szCs w:val="17"/>
          <w:color w:val="auto"/>
        </w:rPr>
      </w:pPr>
    </w:p>
    <w:p>
      <w:pPr>
        <w:ind w:left="860" w:right="480" w:hanging="403"/>
        <w:spacing w:after="0" w:line="248" w:lineRule="auto"/>
        <w:tabs>
          <w:tab w:leader="none" w:pos="8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860" w:right="80" w:hanging="403"/>
        <w:spacing w:after="0" w:line="281" w:lineRule="auto"/>
        <w:tabs>
          <w:tab w:leader="none" w:pos="8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spacing w:after="0" w:line="2" w:lineRule="exact"/>
        <w:rPr>
          <w:rFonts w:ascii="Arial" w:cs="Arial" w:eastAsia="Arial" w:hAnsi="Arial"/>
          <w:sz w:val="15"/>
          <w:szCs w:val="15"/>
          <w:color w:val="auto"/>
        </w:rPr>
      </w:pPr>
    </w:p>
    <w:p>
      <w:pPr>
        <w:ind w:left="860" w:right="20" w:hanging="403"/>
        <w:spacing w:after="0" w:line="248" w:lineRule="auto"/>
        <w:tabs>
          <w:tab w:leader="none" w:pos="8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a pricing study initiated by our sponsors and professional fees for the preparation for our IPO in the quarters ended September 30, 2021,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 w:lineRule="exact"/>
        <w:rPr>
          <w:rFonts w:ascii="Arial" w:cs="Arial" w:eastAsia="Arial" w:hAnsi="Arial"/>
          <w:sz w:val="17"/>
          <w:szCs w:val="17"/>
          <w:color w:val="auto"/>
        </w:rPr>
      </w:pPr>
    </w:p>
    <w:p>
      <w:pPr>
        <w:ind w:left="860" w:hanging="403"/>
        <w:spacing w:after="0"/>
        <w:tabs>
          <w:tab w:leader="none" w:pos="8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Net (loss) income margin is defined as net (loss) income as a percentage of revenue for the applicable period.</w:t>
      </w:r>
    </w:p>
    <w:p>
      <w:pPr>
        <w:spacing w:after="0" w:line="13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800"/>
          </w:cols>
          <w:pgMar w:left="320" w:top="465" w:right="77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Operating Income (Loss)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27"/>
        </w:trPr>
        <w:tc>
          <w:tcPr>
            <w:tcW w:w="2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2"/>
              </w:rPr>
              <w:t>Successor</w:t>
            </w: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w w:val="89"/>
              </w:rPr>
              <w:t>Predecessor</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ind w:right="65"/>
              <w:spacing w:after="0" w:line="95" w:lineRule="exact"/>
              <w:rPr>
                <w:sz w:val="20"/>
                <w:szCs w:val="20"/>
                <w:color w:val="auto"/>
              </w:rPr>
            </w:pPr>
            <w:r>
              <w:rPr>
                <w:rFonts w:ascii="Arial" w:cs="Arial" w:eastAsia="Arial" w:hAnsi="Arial"/>
                <w:sz w:val="10"/>
                <w:szCs w:val="10"/>
                <w:b w:val="1"/>
                <w:bCs w:val="1"/>
                <w:color w:val="auto"/>
                <w:w w:val="89"/>
              </w:rPr>
              <w:t>Period</w:t>
            </w:r>
          </w:p>
        </w:tc>
        <w:tc>
          <w:tcPr>
            <w:tcW w:w="260" w:type="dxa"/>
            <w:vAlign w:val="bottom"/>
          </w:tcPr>
          <w:p>
            <w:pPr>
              <w:spacing w:after="0"/>
              <w:rPr>
                <w:sz w:val="8"/>
                <w:szCs w:val="8"/>
                <w:color w:val="auto"/>
              </w:rPr>
            </w:pPr>
          </w:p>
        </w:tc>
        <w:tc>
          <w:tcPr>
            <w:tcW w:w="200" w:type="dxa"/>
            <w:vAlign w:val="bottom"/>
            <w:tcBorders>
              <w:left w:val="single" w:sz="8" w:color="auto"/>
            </w:tcBorders>
          </w:tcPr>
          <w:p>
            <w:pPr>
              <w:spacing w:after="0"/>
              <w:rPr>
                <w:sz w:val="8"/>
                <w:szCs w:val="8"/>
                <w:color w:val="auto"/>
              </w:rPr>
            </w:pPr>
          </w:p>
        </w:tc>
        <w:tc>
          <w:tcPr>
            <w:tcW w:w="440" w:type="dxa"/>
            <w:vAlign w:val="bottom"/>
            <w:gridSpan w:val="3"/>
          </w:tcPr>
          <w:p>
            <w:pPr>
              <w:jc w:val="center"/>
              <w:ind w:right="120"/>
              <w:spacing w:after="0" w:line="95"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8"/>
              </w:rPr>
              <w:t>from</w:t>
            </w:r>
          </w:p>
        </w:tc>
        <w:tc>
          <w:tcPr>
            <w:tcW w:w="200" w:type="dxa"/>
            <w:vAlign w:val="bottom"/>
            <w:tcBorders>
              <w:left w:val="single" w:sz="8" w:color="auto"/>
            </w:tcBorders>
          </w:tcPr>
          <w:p>
            <w:pPr>
              <w:spacing w:after="0"/>
              <w:rPr>
                <w:sz w:val="9"/>
                <w:szCs w:val="9"/>
                <w:color w:val="auto"/>
              </w:rPr>
            </w:pPr>
          </w:p>
        </w:tc>
        <w:tc>
          <w:tcPr>
            <w:tcW w:w="44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4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5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8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2"/>
              </w:rPr>
              <w:t>July 16,</w:t>
            </w:r>
          </w:p>
        </w:tc>
        <w:tc>
          <w:tcPr>
            <w:tcW w:w="200" w:type="dxa"/>
            <w:vAlign w:val="bottom"/>
            <w:tcBorders>
              <w:left w:val="single" w:sz="8" w:color="auto"/>
            </w:tcBorders>
          </w:tcPr>
          <w:p>
            <w:pPr>
              <w:spacing w:after="0"/>
              <w:rPr>
                <w:sz w:val="9"/>
                <w:szCs w:val="9"/>
                <w:color w:val="auto"/>
              </w:rPr>
            </w:pPr>
          </w:p>
        </w:tc>
        <w:tc>
          <w:tcPr>
            <w:tcW w:w="44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7"/>
              </w:rPr>
              <w:t>Three</w:t>
            </w: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4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2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5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520" w:type="dxa"/>
            <w:vAlign w:val="bottom"/>
          </w:tcPr>
          <w:p>
            <w:pPr>
              <w:jc w:val="center"/>
              <w:ind w:right="65"/>
              <w:spacing w:after="0" w:line="114" w:lineRule="exact"/>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ind w:right="24"/>
              <w:spacing w:after="0" w:line="114" w:lineRule="exact"/>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95"/>
              </w:rPr>
              <w:t>Months</w:t>
            </w:r>
          </w:p>
        </w:tc>
        <w:tc>
          <w:tcPr>
            <w:tcW w:w="50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Months</w:t>
            </w: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4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56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4"/>
              </w:rPr>
              <w:t>to</w:t>
            </w:r>
          </w:p>
        </w:tc>
        <w:tc>
          <w:tcPr>
            <w:tcW w:w="20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to</w:t>
            </w:r>
          </w:p>
        </w:tc>
        <w:tc>
          <w:tcPr>
            <w:tcW w:w="80" w:type="dxa"/>
            <w:vAlign w:val="bottom"/>
          </w:tcPr>
          <w:p>
            <w:pPr>
              <w:spacing w:after="0"/>
              <w:rPr>
                <w:sz w:val="9"/>
                <w:szCs w:val="9"/>
                <w:color w:val="auto"/>
              </w:rPr>
            </w:pPr>
          </w:p>
        </w:tc>
        <w:tc>
          <w:tcPr>
            <w:tcW w:w="5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14"/>
        </w:trPr>
        <w:tc>
          <w:tcPr>
            <w:tcW w:w="232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72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4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2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9"/>
              </w:rPr>
              <w:t>March 31,</w:t>
            </w:r>
          </w:p>
        </w:tc>
        <w:tc>
          <w:tcPr>
            <w:tcW w:w="76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78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56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June 30,</w:t>
            </w:r>
          </w:p>
        </w:tc>
        <w:tc>
          <w:tcPr>
            <w:tcW w:w="6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880" w:type="dxa"/>
            <w:vAlign w:val="bottom"/>
            <w:gridSpan w:val="3"/>
          </w:tcPr>
          <w:p>
            <w:pPr>
              <w:jc w:val="center"/>
              <w:ind w:right="26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200" w:type="dxa"/>
            <w:vAlign w:val="bottom"/>
            <w:tcBorders>
              <w:left w:val="single" w:sz="8" w:color="auto"/>
            </w:tcBorders>
          </w:tcPr>
          <w:p>
            <w:pPr>
              <w:spacing w:after="0"/>
              <w:rPr>
                <w:sz w:val="9"/>
                <w:szCs w:val="9"/>
                <w:color w:val="auto"/>
              </w:rPr>
            </w:pPr>
          </w:p>
        </w:tc>
        <w:tc>
          <w:tcPr>
            <w:tcW w:w="44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June 30,</w:t>
            </w:r>
          </w:p>
        </w:tc>
        <w:tc>
          <w:tcPr>
            <w:tcW w:w="5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6"/>
        </w:trPr>
        <w:tc>
          <w:tcPr>
            <w:tcW w:w="2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460" w:type="dxa"/>
            <w:vAlign w:val="bottom"/>
            <w:gridSpan w:val="2"/>
          </w:tcPr>
          <w:p>
            <w:pPr>
              <w:jc w:val="center"/>
              <w:ind w:left="22"/>
              <w:spacing w:after="0"/>
              <w:rPr>
                <w:sz w:val="20"/>
                <w:szCs w:val="20"/>
                <w:color w:val="auto"/>
              </w:rPr>
            </w:pPr>
            <w:r>
              <w:rPr>
                <w:rFonts w:ascii="Arial" w:cs="Arial" w:eastAsia="Arial" w:hAnsi="Arial"/>
                <w:sz w:val="10"/>
                <w:szCs w:val="10"/>
                <w:b w:val="1"/>
                <w:bCs w:val="1"/>
                <w:color w:val="auto"/>
                <w:w w:val="98"/>
              </w:rPr>
              <w:t>2021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4"/>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45"/>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4"/>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4"/>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5"/>
              <w:spacing w:after="0"/>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center"/>
              <w:ind w:right="22"/>
              <w:spacing w:after="0"/>
              <w:rPr>
                <w:sz w:val="20"/>
                <w:szCs w:val="20"/>
                <w:color w:val="auto"/>
              </w:rPr>
            </w:pPr>
            <w:r>
              <w:rPr>
                <w:rFonts w:ascii="Arial" w:cs="Arial" w:eastAsia="Arial" w:hAnsi="Arial"/>
                <w:sz w:val="10"/>
                <w:szCs w:val="10"/>
                <w:b w:val="1"/>
                <w:bCs w:val="1"/>
                <w:color w:val="auto"/>
                <w:w w:val="89"/>
              </w:rPr>
              <w:t>2019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24"/>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32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(Loss) Income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(4,026)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74"/>
              </w:rPr>
              <w:t>$ (6,623)</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(2,158)</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(6,952)</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(940)</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79"/>
              </w:rPr>
              <w:t>$ (2,170)</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4"/>
              </w:rPr>
              <w:t>(4,383)</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(8,586)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(22,476)</w:t>
            </w:r>
          </w:p>
        </w:tc>
        <w:tc>
          <w:tcPr>
            <w:tcW w:w="260" w:type="dxa"/>
            <w:vAlign w:val="bottom"/>
            <w:tcBorders>
              <w:top w:val="single" w:sz="8" w:color="CCEEFF"/>
              <w:right w:val="single" w:sz="8" w:color="CCEEFF"/>
            </w:tcBorders>
            <w:shd w:val="clear" w:color="auto" w:fill="CCEEFF"/>
          </w:tcPr>
          <w:p>
            <w:pPr>
              <w:spacing w:after="0"/>
              <w:rPr>
                <w:sz w:val="10"/>
                <w:szCs w:val="10"/>
                <w:color w:val="auto"/>
              </w:rPr>
            </w:pPr>
          </w:p>
        </w:tc>
        <w:tc>
          <w:tcPr>
            <w:tcW w:w="200" w:type="dxa"/>
            <w:vAlign w:val="bottom"/>
            <w:tcBorders>
              <w:top w:val="single" w:sz="8" w:color="CCEEFF"/>
              <w:left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2"/>
              </w:rPr>
              <w:t>(647)</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9"/>
              </w:rPr>
              <w:t>8,022</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5,658</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320" w:type="dxa"/>
            <w:vAlign w:val="bottom"/>
          </w:tcPr>
          <w:p>
            <w:pPr>
              <w:spacing w:after="0" w:line="127"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8"/>
                <w:szCs w:val="8"/>
                <w:color w:val="auto"/>
              </w:rPr>
              <w:t>(1)</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14,404</w:t>
            </w:r>
          </w:p>
        </w:tc>
        <w:tc>
          <w:tcPr>
            <w:tcW w:w="560" w:type="dxa"/>
            <w:vAlign w:val="bottom"/>
            <w:gridSpan w:val="3"/>
          </w:tcPr>
          <w:p>
            <w:pPr>
              <w:jc w:val="right"/>
              <w:ind w:right="100"/>
              <w:spacing w:after="0" w:line="127" w:lineRule="exact"/>
              <w:rPr>
                <w:sz w:val="20"/>
                <w:szCs w:val="20"/>
                <w:color w:val="auto"/>
              </w:rPr>
            </w:pPr>
            <w:r>
              <w:rPr>
                <w:rFonts w:ascii="Arial" w:cs="Arial" w:eastAsia="Arial" w:hAnsi="Arial"/>
                <w:sz w:val="12"/>
                <w:szCs w:val="12"/>
                <w:color w:val="auto"/>
              </w:rPr>
              <w:t>14,250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97"/>
              </w:rPr>
              <w:t>14,092</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14,819</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14,570</w:t>
            </w: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14,413</w:t>
            </w:r>
          </w:p>
        </w:tc>
        <w:tc>
          <w:tcPr>
            <w:tcW w:w="60" w:type="dxa"/>
            <w:vAlign w:val="bottom"/>
          </w:tcPr>
          <w:p>
            <w:pPr>
              <w:spacing w:after="0"/>
              <w:rPr>
                <w:sz w:val="11"/>
                <w:szCs w:val="11"/>
                <w:color w:val="auto"/>
              </w:rPr>
            </w:pPr>
          </w:p>
        </w:tc>
        <w:tc>
          <w:tcPr>
            <w:tcW w:w="5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w w:val="97"/>
              </w:rPr>
              <w:t>14,412</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16,743</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line="127" w:lineRule="exact"/>
              <w:rPr>
                <w:sz w:val="20"/>
                <w:szCs w:val="20"/>
                <w:color w:val="auto"/>
              </w:rPr>
            </w:pPr>
            <w:r>
              <w:rPr>
                <w:rFonts w:ascii="Arial" w:cs="Arial" w:eastAsia="Arial" w:hAnsi="Arial"/>
                <w:sz w:val="12"/>
                <w:szCs w:val="12"/>
                <w:color w:val="auto"/>
              </w:rPr>
              <w:t>13,862</w:t>
            </w:r>
          </w:p>
        </w:tc>
        <w:tc>
          <w:tcPr>
            <w:tcW w:w="20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162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972</w:t>
            </w:r>
          </w:p>
        </w:tc>
        <w:tc>
          <w:tcPr>
            <w:tcW w:w="80" w:type="dxa"/>
            <w:vAlign w:val="bottom"/>
          </w:tcPr>
          <w:p>
            <w:pPr>
              <w:spacing w:after="0"/>
              <w:rPr>
                <w:sz w:val="11"/>
                <w:szCs w:val="11"/>
                <w:color w:val="auto"/>
              </w:rPr>
            </w:pPr>
          </w:p>
        </w:tc>
        <w:tc>
          <w:tcPr>
            <w:tcW w:w="42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908</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Equity compensation costs</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2,317</w:t>
            </w:r>
          </w:p>
        </w:tc>
        <w:tc>
          <w:tcPr>
            <w:tcW w:w="560" w:type="dxa"/>
            <w:vAlign w:val="bottom"/>
            <w:gridSpan w:val="3"/>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1,615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406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417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458</w:t>
            </w: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442</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430</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412</w:t>
            </w: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gridSpan w:val="2"/>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332</w:t>
            </w:r>
          </w:p>
        </w:tc>
        <w:tc>
          <w:tcPr>
            <w:tcW w:w="20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w w:val="86"/>
              </w:rPr>
              <w:t>2,402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w w:val="99"/>
              </w:rPr>
              <w:t>1,712</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1,693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320" w:type="dxa"/>
            <w:vAlign w:val="bottom"/>
          </w:tcPr>
          <w:p>
            <w:pPr>
              <w:spacing w:after="0" w:line="127" w:lineRule="exact"/>
              <w:rPr>
                <w:sz w:val="20"/>
                <w:szCs w:val="20"/>
                <w:color w:val="auto"/>
              </w:rPr>
            </w:pPr>
            <w:r>
              <w:rPr>
                <w:rFonts w:ascii="Arial" w:cs="Arial" w:eastAsia="Arial" w:hAnsi="Arial"/>
                <w:sz w:val="12"/>
                <w:szCs w:val="12"/>
                <w:color w:val="auto"/>
              </w:rPr>
              <w:t>Acquisition-related expenses</w:t>
            </w:r>
            <w:r>
              <w:rPr>
                <w:rFonts w:ascii="Arial" w:cs="Arial" w:eastAsia="Arial" w:hAnsi="Arial"/>
                <w:sz w:val="8"/>
                <w:szCs w:val="8"/>
                <w:color w:val="auto"/>
              </w:rPr>
              <w:t>(2)</w:t>
            </w: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(137)</w:t>
            </w:r>
          </w:p>
        </w:tc>
        <w:tc>
          <w:tcPr>
            <w:tcW w:w="560" w:type="dxa"/>
            <w:vAlign w:val="bottom"/>
            <w:gridSpan w:val="3"/>
          </w:tcPr>
          <w:p>
            <w:pPr>
              <w:jc w:val="right"/>
              <w:ind w:right="100"/>
              <w:spacing w:after="0" w:line="127" w:lineRule="exact"/>
              <w:rPr>
                <w:sz w:val="20"/>
                <w:szCs w:val="20"/>
                <w:color w:val="auto"/>
              </w:rPr>
            </w:pPr>
            <w:r>
              <w:rPr>
                <w:rFonts w:ascii="Arial" w:cs="Arial" w:eastAsia="Arial" w:hAnsi="Arial"/>
                <w:sz w:val="12"/>
                <w:szCs w:val="12"/>
                <w:color w:val="auto"/>
              </w:rPr>
              <w:t>3,431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38</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3,028</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40</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268</w:t>
            </w:r>
          </w:p>
        </w:tc>
        <w:tc>
          <w:tcPr>
            <w:tcW w:w="60" w:type="dxa"/>
            <w:vAlign w:val="bottom"/>
          </w:tcPr>
          <w:p>
            <w:pPr>
              <w:spacing w:after="0"/>
              <w:rPr>
                <w:sz w:val="11"/>
                <w:szCs w:val="11"/>
                <w:color w:val="auto"/>
              </w:rPr>
            </w:pPr>
          </w:p>
        </w:tc>
        <w:tc>
          <w:tcPr>
            <w:tcW w:w="54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440</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(678)</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line="127" w:lineRule="exact"/>
              <w:rPr>
                <w:sz w:val="20"/>
                <w:szCs w:val="20"/>
                <w:color w:val="auto"/>
              </w:rPr>
            </w:pPr>
            <w:r>
              <w:rPr>
                <w:rFonts w:ascii="Arial" w:cs="Arial" w:eastAsia="Arial" w:hAnsi="Arial"/>
                <w:sz w:val="12"/>
                <w:szCs w:val="12"/>
                <w:color w:val="auto"/>
              </w:rPr>
              <w:t>15,381</w:t>
            </w:r>
          </w:p>
        </w:tc>
        <w:tc>
          <w:tcPr>
            <w:tcW w:w="20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w w:val="99"/>
              </w:rPr>
              <w:t>1,019</w:t>
            </w:r>
          </w:p>
        </w:tc>
        <w:tc>
          <w:tcPr>
            <w:tcW w:w="80" w:type="dxa"/>
            <w:vAlign w:val="bottom"/>
          </w:tcPr>
          <w:p>
            <w:pPr>
              <w:spacing w:after="0"/>
              <w:rPr>
                <w:sz w:val="11"/>
                <w:szCs w:val="11"/>
                <w:color w:val="auto"/>
              </w:rPr>
            </w:pPr>
          </w:p>
        </w:tc>
        <w:tc>
          <w:tcPr>
            <w:tcW w:w="42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Other non-recurring adjustments</w:t>
            </w:r>
            <w:r>
              <w:rPr>
                <w:rFonts w:ascii="Arial" w:cs="Arial" w:eastAsia="Arial" w:hAnsi="Arial"/>
                <w:sz w:val="8"/>
                <w:szCs w:val="8"/>
                <w:color w:val="auto"/>
              </w:rPr>
              <w:t>(3)</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1,149</w:t>
            </w:r>
          </w:p>
        </w:tc>
        <w:tc>
          <w:tcPr>
            <w:tcW w:w="560" w:type="dxa"/>
            <w:vAlign w:val="bottom"/>
            <w:gridSpan w:val="3"/>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1,069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1,095</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1,043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37</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890</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877</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2,622</w:t>
            </w: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gridSpan w:val="2"/>
            <w:shd w:val="clear" w:color="auto" w:fill="CCEEFF"/>
          </w:tcPr>
          <w:p>
            <w:pPr>
              <w:jc w:val="right"/>
              <w:ind w:right="260"/>
              <w:spacing w:after="0" w:line="127" w:lineRule="exact"/>
              <w:rPr>
                <w:sz w:val="20"/>
                <w:szCs w:val="20"/>
                <w:color w:val="auto"/>
              </w:rPr>
            </w:pPr>
            <w:r>
              <w:rPr>
                <w:rFonts w:ascii="Arial" w:cs="Arial" w:eastAsia="Arial" w:hAnsi="Arial"/>
                <w:sz w:val="12"/>
                <w:szCs w:val="12"/>
                <w:color w:val="auto"/>
              </w:rPr>
              <w:t>571</w:t>
            </w:r>
          </w:p>
        </w:tc>
        <w:tc>
          <w:tcPr>
            <w:tcW w:w="20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546</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line="132" w:lineRule="exact"/>
              <w:rPr>
                <w:sz w:val="20"/>
                <w:szCs w:val="20"/>
                <w:color w:val="auto"/>
              </w:rPr>
            </w:pPr>
            <w:r>
              <w:rPr>
                <w:rFonts w:ascii="Arial" w:cs="Arial" w:eastAsia="Arial" w:hAnsi="Arial"/>
                <w:sz w:val="12"/>
                <w:szCs w:val="12"/>
                <w:color w:val="auto"/>
              </w:rPr>
              <w:t>Adjusted Operating Income (Loss)</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gridSpan w:val="2"/>
            <w:vMerge w:val="restart"/>
          </w:tcPr>
          <w:p>
            <w:pPr>
              <w:jc w:val="right"/>
              <w:ind w:right="100"/>
              <w:spacing w:after="0" w:line="132" w:lineRule="exact"/>
              <w:rPr>
                <w:sz w:val="20"/>
                <w:szCs w:val="20"/>
                <w:color w:val="auto"/>
              </w:rPr>
            </w:pPr>
            <w:r>
              <w:rPr>
                <w:rFonts w:ascii="Arial" w:cs="Arial" w:eastAsia="Arial" w:hAnsi="Arial"/>
                <w:sz w:val="12"/>
                <w:szCs w:val="12"/>
                <w:color w:val="auto"/>
              </w:rPr>
              <w:t>13,707</w:t>
            </w:r>
          </w:p>
        </w:tc>
        <w:tc>
          <w:tcPr>
            <w:tcW w:w="560" w:type="dxa"/>
            <w:vAlign w:val="bottom"/>
            <w:tcBorders>
              <w:top w:val="single" w:sz="8" w:color="auto"/>
            </w:tcBorders>
            <w:gridSpan w:val="3"/>
            <w:vMerge w:val="restart"/>
          </w:tcPr>
          <w:p>
            <w:pPr>
              <w:jc w:val="right"/>
              <w:ind w:right="100"/>
              <w:spacing w:after="0" w:line="132" w:lineRule="exact"/>
              <w:rPr>
                <w:sz w:val="20"/>
                <w:szCs w:val="20"/>
                <w:color w:val="auto"/>
              </w:rPr>
            </w:pPr>
            <w:r>
              <w:rPr>
                <w:rFonts w:ascii="Arial" w:cs="Arial" w:eastAsia="Arial" w:hAnsi="Arial"/>
                <w:sz w:val="12"/>
                <w:szCs w:val="12"/>
                <w:color w:val="auto"/>
              </w:rPr>
              <w:t>$13,742</w:t>
            </w:r>
          </w:p>
        </w:tc>
        <w:tc>
          <w:tcPr>
            <w:tcW w:w="140" w:type="dxa"/>
            <w:vAlign w:val="bottom"/>
            <w:tcBorders>
              <w:top w:val="single" w:sz="8" w:color="auto"/>
            </w:tcBorders>
            <w:gridSpan w:val="2"/>
            <w:vMerge w:val="restart"/>
          </w:tcPr>
          <w:p>
            <w:pPr>
              <w:jc w:val="right"/>
              <w:spacing w:after="0" w:line="132"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w w:val="97"/>
              </w:rPr>
              <w:t>13,473</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rPr>
              <w:t>12,355</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rPr>
              <w:t>14,165</w:t>
            </w:r>
          </w:p>
        </w:tc>
        <w:tc>
          <w:tcPr>
            <w:tcW w:w="56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w w:val="87"/>
              </w:rPr>
              <w:t>$13,843</w:t>
            </w: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w w:val="97"/>
              </w:rPr>
              <w:t>11,776</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gridSpan w:val="2"/>
            <w:vMerge w:val="restart"/>
          </w:tcPr>
          <w:p>
            <w:pPr>
              <w:jc w:val="right"/>
              <w:ind w:right="160"/>
              <w:spacing w:after="0" w:line="132" w:lineRule="exact"/>
              <w:rPr>
                <w:sz w:val="20"/>
                <w:szCs w:val="20"/>
                <w:color w:val="auto"/>
              </w:rPr>
            </w:pPr>
            <w:r>
              <w:rPr>
                <w:rFonts w:ascii="Arial" w:cs="Arial" w:eastAsia="Arial" w:hAnsi="Arial"/>
                <w:sz w:val="12"/>
                <w:szCs w:val="12"/>
                <w:color w:val="auto"/>
              </w:rPr>
              <w:t>10,513</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gridSpan w:val="2"/>
            <w:vMerge w:val="restart"/>
          </w:tcPr>
          <w:p>
            <w:pPr>
              <w:jc w:val="right"/>
              <w:ind w:right="260"/>
              <w:spacing w:after="0" w:line="132" w:lineRule="exact"/>
              <w:rPr>
                <w:sz w:val="20"/>
                <w:szCs w:val="20"/>
                <w:color w:val="auto"/>
              </w:rPr>
            </w:pPr>
            <w:r>
              <w:rPr>
                <w:rFonts w:ascii="Arial" w:cs="Arial" w:eastAsia="Arial" w:hAnsi="Arial"/>
                <w:sz w:val="12"/>
                <w:szCs w:val="12"/>
                <w:color w:val="auto"/>
              </w:rPr>
              <w:t>7,670</w:t>
            </w:r>
          </w:p>
        </w:tc>
        <w:tc>
          <w:tcPr>
            <w:tcW w:w="200" w:type="dxa"/>
            <w:vAlign w:val="bottom"/>
          </w:tcPr>
          <w:p>
            <w:pPr>
              <w:spacing w:after="0" w:line="20" w:lineRule="exact"/>
              <w:rPr>
                <w:sz w:val="1"/>
                <w:szCs w:val="1"/>
                <w:color w:val="auto"/>
              </w:rPr>
            </w:pP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gridSpan w:val="2"/>
            <w:vMerge w:val="restart"/>
          </w:tcPr>
          <w:p>
            <w:pPr>
              <w:jc w:val="right"/>
              <w:ind w:right="100"/>
              <w:spacing w:after="0" w:line="132" w:lineRule="exact"/>
              <w:rPr>
                <w:sz w:val="20"/>
                <w:szCs w:val="20"/>
                <w:color w:val="auto"/>
              </w:rPr>
            </w:pPr>
            <w:r>
              <w:rPr>
                <w:rFonts w:ascii="Arial" w:cs="Arial" w:eastAsia="Arial" w:hAnsi="Arial"/>
                <w:sz w:val="12"/>
                <w:szCs w:val="12"/>
                <w:color w:val="auto"/>
                <w:w w:val="86"/>
              </w:rPr>
              <w:t>2,045</w:t>
            </w:r>
          </w:p>
        </w:tc>
        <w:tc>
          <w:tcPr>
            <w:tcW w:w="140" w:type="dxa"/>
            <w:vAlign w:val="bottom"/>
            <w:tcBorders>
              <w:top w:val="single" w:sz="8" w:color="auto"/>
            </w:tcBorders>
            <w:gridSpan w:val="2"/>
            <w:vMerge w:val="restart"/>
          </w:tcPr>
          <w:p>
            <w:pPr>
              <w:jc w:val="right"/>
              <w:spacing w:after="0" w:line="132"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gridSpan w:val="2"/>
            <w:vMerge w:val="restart"/>
          </w:tcPr>
          <w:p>
            <w:pPr>
              <w:jc w:val="right"/>
              <w:ind w:right="120"/>
              <w:spacing w:after="0" w:line="132" w:lineRule="exact"/>
              <w:rPr>
                <w:sz w:val="20"/>
                <w:szCs w:val="20"/>
                <w:color w:val="auto"/>
              </w:rPr>
            </w:pPr>
            <w:r>
              <w:rPr>
                <w:rFonts w:ascii="Arial" w:cs="Arial" w:eastAsia="Arial" w:hAnsi="Arial"/>
                <w:sz w:val="12"/>
                <w:szCs w:val="12"/>
                <w:color w:val="auto"/>
                <w:w w:val="81"/>
              </w:rPr>
              <w:t>12,271</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vMerge w:val="restart"/>
          </w:tcPr>
          <w:p>
            <w:pPr>
              <w:jc w:val="right"/>
              <w:spacing w:after="0" w:line="132" w:lineRule="exact"/>
              <w:rPr>
                <w:sz w:val="20"/>
                <w:szCs w:val="20"/>
                <w:color w:val="auto"/>
              </w:rPr>
            </w:pPr>
            <w:r>
              <w:rPr>
                <w:rFonts w:ascii="Arial" w:cs="Arial" w:eastAsia="Arial" w:hAnsi="Arial"/>
                <w:sz w:val="12"/>
                <w:szCs w:val="12"/>
                <w:color w:val="auto"/>
              </w:rPr>
              <w:t>8,917</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3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6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-95885</wp:posOffset>
            </wp:positionV>
            <wp:extent cx="825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right="520" w:hanging="403"/>
        <w:spacing w:after="0" w:line="256" w:lineRule="auto"/>
        <w:tabs>
          <w:tab w:leader="none" w:pos="8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ind w:left="860" w:right="80" w:hanging="403"/>
        <w:spacing w:after="0" w:line="281" w:lineRule="auto"/>
        <w:tabs>
          <w:tab w:leader="none" w:pos="8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spacing w:after="0" w:line="2" w:lineRule="exact"/>
        <w:rPr>
          <w:rFonts w:ascii="Arial" w:cs="Arial" w:eastAsia="Arial" w:hAnsi="Arial"/>
          <w:sz w:val="15"/>
          <w:szCs w:val="15"/>
          <w:color w:val="auto"/>
        </w:rPr>
      </w:pPr>
    </w:p>
    <w:p>
      <w:pPr>
        <w:ind w:left="860" w:right="40" w:hanging="403"/>
        <w:spacing w:after="0" w:line="292" w:lineRule="auto"/>
        <w:tabs>
          <w:tab w:leader="none" w:pos="8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professional fees for the preparation for the IPO in the quarters ended September 30, 2021,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Adjusted Net Income (Loss)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w w:val="89"/>
              </w:rPr>
              <w:t>Predecessor</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right w:val="single" w:sz="8" w:color="auto"/>
            </w:tcBorders>
            <w:gridSpan w:val="2"/>
          </w:tcPr>
          <w:p>
            <w:pPr>
              <w:jc w:val="center"/>
              <w:ind w:right="400"/>
              <w:spacing w:after="0" w:line="95" w:lineRule="exact"/>
              <w:rPr>
                <w:sz w:val="20"/>
                <w:szCs w:val="20"/>
                <w:color w:val="auto"/>
              </w:rPr>
            </w:pPr>
            <w:r>
              <w:rPr>
                <w:rFonts w:ascii="Arial" w:cs="Arial" w:eastAsia="Arial" w:hAnsi="Arial"/>
                <w:sz w:val="10"/>
                <w:szCs w:val="10"/>
                <w:b w:val="1"/>
                <w:bCs w:val="1"/>
                <w:color w:val="auto"/>
                <w:w w:val="89"/>
              </w:rPr>
              <w:t>Period</w:t>
            </w:r>
          </w:p>
        </w:tc>
        <w:tc>
          <w:tcPr>
            <w:tcW w:w="180" w:type="dxa"/>
            <w:vAlign w:val="bottom"/>
          </w:tcPr>
          <w:p>
            <w:pPr>
              <w:spacing w:after="0"/>
              <w:rPr>
                <w:sz w:val="8"/>
                <w:szCs w:val="8"/>
                <w:color w:val="auto"/>
              </w:rPr>
            </w:pPr>
          </w:p>
        </w:tc>
        <w:tc>
          <w:tcPr>
            <w:tcW w:w="440" w:type="dxa"/>
            <w:vAlign w:val="bottom"/>
            <w:gridSpan w:val="3"/>
          </w:tcPr>
          <w:p>
            <w:pPr>
              <w:jc w:val="center"/>
              <w:ind w:right="120"/>
              <w:spacing w:after="0" w:line="95"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98"/>
              </w:rPr>
              <w:t>from</w:t>
            </w:r>
          </w:p>
        </w:tc>
        <w:tc>
          <w:tcPr>
            <w:tcW w:w="180" w:type="dxa"/>
            <w:vAlign w:val="bottom"/>
          </w:tcPr>
          <w:p>
            <w:pPr>
              <w:spacing w:after="0"/>
              <w:rPr>
                <w:sz w:val="9"/>
                <w:szCs w:val="9"/>
                <w:color w:val="auto"/>
              </w:rPr>
            </w:pPr>
          </w:p>
        </w:tc>
        <w:tc>
          <w:tcPr>
            <w:tcW w:w="44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7"/>
              </w:rPr>
              <w:t>Three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92"/>
              </w:rPr>
              <w:t>July 16,</w:t>
            </w:r>
          </w:p>
        </w:tc>
        <w:tc>
          <w:tcPr>
            <w:tcW w:w="180" w:type="dxa"/>
            <w:vAlign w:val="bottom"/>
          </w:tcPr>
          <w:p>
            <w:pPr>
              <w:spacing w:after="0"/>
              <w:rPr>
                <w:sz w:val="9"/>
                <w:szCs w:val="9"/>
                <w:color w:val="auto"/>
              </w:rPr>
            </w:pPr>
          </w:p>
        </w:tc>
        <w:tc>
          <w:tcPr>
            <w:tcW w:w="44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7"/>
              </w:rPr>
              <w:t>Three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52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0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9"/>
              </w:rPr>
              <w:t>Months</w:t>
            </w:r>
          </w:p>
        </w:tc>
        <w:tc>
          <w:tcPr>
            <w:tcW w:w="6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6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520" w:type="dxa"/>
            <w:vAlign w:val="bottom"/>
          </w:tcPr>
          <w:p>
            <w:pPr>
              <w:jc w:val="center"/>
              <w:ind w:right="65"/>
              <w:spacing w:after="0" w:line="114" w:lineRule="exact"/>
              <w:rPr>
                <w:sz w:val="20"/>
                <w:szCs w:val="20"/>
                <w:color w:val="auto"/>
              </w:rPr>
            </w:pPr>
            <w:r>
              <w:rPr>
                <w:rFonts w:ascii="Arial" w:cs="Arial" w:eastAsia="Arial" w:hAnsi="Arial"/>
                <w:sz w:val="10"/>
                <w:szCs w:val="10"/>
                <w:b w:val="1"/>
                <w:bCs w:val="1"/>
                <w:color w:val="auto"/>
                <w:w w:val="89"/>
              </w:rPr>
              <w:t>2019</w:t>
            </w:r>
          </w:p>
        </w:tc>
        <w:tc>
          <w:tcPr>
            <w:tcW w:w="2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Months</w:t>
            </w:r>
          </w:p>
        </w:tc>
        <w:tc>
          <w:tcPr>
            <w:tcW w:w="50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Months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4"/>
              </w:rPr>
              <w:t>to</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to</w:t>
            </w:r>
          </w:p>
        </w:tc>
        <w:tc>
          <w:tcPr>
            <w:tcW w:w="80" w:type="dxa"/>
            <w:vAlign w:val="bottom"/>
          </w:tcPr>
          <w:p>
            <w:pPr>
              <w:spacing w:after="0"/>
              <w:rPr>
                <w:sz w:val="9"/>
                <w:szCs w:val="9"/>
                <w:color w:val="auto"/>
              </w:rPr>
            </w:pPr>
          </w:p>
        </w:tc>
        <w:tc>
          <w:tcPr>
            <w:tcW w:w="5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14"/>
        </w:trPr>
        <w:tc>
          <w:tcPr>
            <w:tcW w:w="22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72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60" w:type="dxa"/>
            <w:vAlign w:val="bottom"/>
          </w:tcPr>
          <w:p>
            <w:pPr>
              <w:spacing w:after="0"/>
              <w:rPr>
                <w:sz w:val="9"/>
                <w:szCs w:val="9"/>
                <w:color w:val="auto"/>
              </w:rPr>
            </w:pPr>
          </w:p>
        </w:tc>
        <w:tc>
          <w:tcPr>
            <w:tcW w:w="52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00" w:type="dxa"/>
            <w:vAlign w:val="bottom"/>
            <w:gridSpan w:val="3"/>
          </w:tcPr>
          <w:p>
            <w:pPr>
              <w:jc w:val="right"/>
              <w:ind w:right="160"/>
              <w:spacing w:after="0" w:line="114" w:lineRule="exact"/>
              <w:rPr>
                <w:sz w:val="20"/>
                <w:szCs w:val="20"/>
                <w:color w:val="auto"/>
              </w:rPr>
            </w:pPr>
            <w:r>
              <w:rPr>
                <w:rFonts w:ascii="Arial" w:cs="Arial" w:eastAsia="Arial" w:hAnsi="Arial"/>
                <w:sz w:val="10"/>
                <w:szCs w:val="10"/>
                <w:b w:val="1"/>
                <w:bCs w:val="1"/>
                <w:color w:val="auto"/>
                <w:w w:val="90"/>
              </w:rPr>
              <w:t>March 31,</w:t>
            </w:r>
          </w:p>
        </w:tc>
        <w:tc>
          <w:tcPr>
            <w:tcW w:w="76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2"/>
              </w:rPr>
              <w:t>December 31,</w:t>
            </w:r>
          </w:p>
        </w:tc>
        <w:tc>
          <w:tcPr>
            <w:tcW w:w="78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60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June 30,</w:t>
            </w:r>
          </w:p>
        </w:tc>
        <w:tc>
          <w:tcPr>
            <w:tcW w:w="60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900" w:type="dxa"/>
            <w:vAlign w:val="bottom"/>
            <w:tcBorders>
              <w:right w:val="single" w:sz="8" w:color="auto"/>
            </w:tcBorders>
            <w:gridSpan w:val="3"/>
          </w:tcPr>
          <w:p>
            <w:pPr>
              <w:jc w:val="center"/>
              <w:ind w:right="28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180" w:type="dxa"/>
            <w:vAlign w:val="bottom"/>
          </w:tcPr>
          <w:p>
            <w:pPr>
              <w:spacing w:after="0"/>
              <w:rPr>
                <w:sz w:val="9"/>
                <w:szCs w:val="9"/>
                <w:color w:val="auto"/>
              </w:rPr>
            </w:pPr>
          </w:p>
        </w:tc>
        <w:tc>
          <w:tcPr>
            <w:tcW w:w="44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0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June 30,</w:t>
            </w:r>
          </w:p>
        </w:tc>
        <w:tc>
          <w:tcPr>
            <w:tcW w:w="5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6"/>
        </w:trPr>
        <w:tc>
          <w:tcPr>
            <w:tcW w:w="2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64"/>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3"/>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4"/>
              <w:spacing w:after="0"/>
              <w:rPr>
                <w:sz w:val="20"/>
                <w:szCs w:val="20"/>
                <w:color w:val="auto"/>
              </w:rPr>
            </w:pPr>
            <w:r>
              <w:rPr>
                <w:rFonts w:ascii="Arial" w:cs="Arial" w:eastAsia="Arial" w:hAnsi="Arial"/>
                <w:sz w:val="10"/>
                <w:szCs w:val="10"/>
                <w:b w:val="1"/>
                <w:bCs w:val="1"/>
                <w:color w:val="auto"/>
                <w:w w:val="98"/>
              </w:rPr>
              <w:t>2020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3"/>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3"/>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4"/>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5"/>
              <w:spacing w:after="0"/>
              <w:rPr>
                <w:sz w:val="20"/>
                <w:szCs w:val="20"/>
                <w:color w:val="auto"/>
              </w:rPr>
            </w:pPr>
            <w:r>
              <w:rPr>
                <w:rFonts w:ascii="Arial" w:cs="Arial" w:eastAsia="Arial" w:hAnsi="Arial"/>
                <w:sz w:val="10"/>
                <w:szCs w:val="10"/>
                <w:b w:val="1"/>
                <w:bCs w:val="1"/>
                <w:color w:val="auto"/>
                <w:w w:val="89"/>
              </w:rPr>
              <w:t>2019</w:t>
            </w: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center"/>
              <w:ind w:right="22"/>
              <w:spacing w:after="0"/>
              <w:rPr>
                <w:sz w:val="20"/>
                <w:szCs w:val="20"/>
                <w:color w:val="auto"/>
              </w:rPr>
            </w:pPr>
            <w:r>
              <w:rPr>
                <w:rFonts w:ascii="Arial" w:cs="Arial" w:eastAsia="Arial" w:hAnsi="Arial"/>
                <w:sz w:val="10"/>
                <w:szCs w:val="10"/>
                <w:b w:val="1"/>
                <w:bCs w:val="1"/>
                <w:color w:val="auto"/>
                <w:w w:val="89"/>
              </w:rPr>
              <w:t>2019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23"/>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color w:val="auto"/>
              </w:rPr>
              <w:t>Net (loss)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(20,966)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75"/>
              </w:rPr>
              <w:t>(15,039)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0"/>
              </w:rPr>
              <w:t>(10,488)</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(15,862)</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(9,962)</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0"/>
              </w:rPr>
              <w:t>(11,498)</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0"/>
              </w:rPr>
              <w:t>(13,835)</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(18,480)</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(30,786)</w:t>
            </w:r>
          </w:p>
        </w:tc>
        <w:tc>
          <w:tcPr>
            <w:tcW w:w="280" w:type="dxa"/>
            <w:vAlign w:val="bottom"/>
            <w:tcBorders>
              <w:top w:val="single" w:sz="8" w:color="CCEEFF"/>
              <w:right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2"/>
              </w:rPr>
              <w:t>(639)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99"/>
              </w:rPr>
              <w:t>7,964</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5,543</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40" w:type="dxa"/>
            <w:vAlign w:val="bottom"/>
          </w:tcPr>
          <w:p>
            <w:pPr>
              <w:spacing w:after="0" w:line="139" w:lineRule="exact"/>
              <w:rPr>
                <w:sz w:val="20"/>
                <w:szCs w:val="20"/>
                <w:color w:val="auto"/>
              </w:rPr>
            </w:pPr>
            <w:r>
              <w:rPr>
                <w:rFonts w:ascii="Arial" w:cs="Arial" w:eastAsia="Arial" w:hAnsi="Arial"/>
                <w:sz w:val="12"/>
                <w:szCs w:val="12"/>
                <w:color w:val="auto"/>
              </w:rPr>
              <w:t>Amortization of intangible assets</w:t>
            </w:r>
            <w:r>
              <w:rPr>
                <w:rFonts w:ascii="Arial" w:cs="Arial" w:eastAsia="Arial" w:hAnsi="Arial"/>
                <w:sz w:val="16"/>
                <w:szCs w:val="16"/>
                <w:color w:val="auto"/>
                <w:vertAlign w:val="superscript"/>
              </w:rPr>
              <w:t>(1)</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14,404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14,250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14,092</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14,819</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14,570</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14,413</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14,412</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16,743</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13,862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162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972</w:t>
            </w: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908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Equity compensation costs</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2,317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1,615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406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417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458</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442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430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412</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332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6"/>
              </w:rPr>
              <w:t>2,402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1,712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40" w:type="dxa"/>
            <w:vAlign w:val="bottom"/>
          </w:tcPr>
          <w:p>
            <w:pPr>
              <w:spacing w:after="0" w:line="139" w:lineRule="exact"/>
              <w:rPr>
                <w:sz w:val="20"/>
                <w:szCs w:val="20"/>
                <w:color w:val="auto"/>
              </w:rPr>
            </w:pPr>
            <w:r>
              <w:rPr>
                <w:rFonts w:ascii="Arial" w:cs="Arial" w:eastAsia="Arial" w:hAnsi="Arial"/>
                <w:sz w:val="12"/>
                <w:szCs w:val="12"/>
                <w:color w:val="auto"/>
              </w:rPr>
              <w:t>Acquisition-related expenses</w:t>
            </w:r>
            <w:r>
              <w:rPr>
                <w:rFonts w:ascii="Arial" w:cs="Arial" w:eastAsia="Arial" w:hAnsi="Arial"/>
                <w:sz w:val="16"/>
                <w:szCs w:val="16"/>
                <w:color w:val="auto"/>
                <w:vertAlign w:val="superscript"/>
              </w:rPr>
              <w:t>(2)</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(137)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3,431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3,028</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40</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268</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440</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(678)</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15,381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1,019</w:t>
            </w: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40" w:type="dxa"/>
            <w:vAlign w:val="bottom"/>
            <w:shd w:val="clear" w:color="auto" w:fill="CCEEFF"/>
          </w:tcPr>
          <w:p>
            <w:pPr>
              <w:spacing w:after="0" w:line="139" w:lineRule="exact"/>
              <w:rPr>
                <w:sz w:val="20"/>
                <w:szCs w:val="20"/>
                <w:color w:val="auto"/>
              </w:rPr>
            </w:pPr>
            <w:r>
              <w:rPr>
                <w:rFonts w:ascii="Arial" w:cs="Arial" w:eastAsia="Arial" w:hAnsi="Arial"/>
                <w:sz w:val="12"/>
                <w:szCs w:val="12"/>
                <w:color w:val="auto"/>
              </w:rPr>
              <w:t>Other non-recurring adjustments</w:t>
            </w:r>
            <w:r>
              <w:rPr>
                <w:rFonts w:ascii="Arial" w:cs="Arial" w:eastAsia="Arial" w:hAnsi="Arial"/>
                <w:sz w:val="16"/>
                <w:szCs w:val="16"/>
                <w:color w:val="auto"/>
                <w:vertAlign w:val="superscript"/>
              </w:rPr>
              <w:t>(3)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11,022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1,095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1,043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890</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877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2,622</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571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tcPr>
          <w:p>
            <w:pPr>
              <w:spacing w:after="0" w:line="131" w:lineRule="exact"/>
              <w:rPr>
                <w:sz w:val="20"/>
                <w:szCs w:val="20"/>
                <w:color w:val="auto"/>
              </w:rPr>
            </w:pPr>
            <w:r>
              <w:rPr>
                <w:rFonts w:ascii="Arial" w:cs="Arial" w:eastAsia="Arial" w:hAnsi="Arial"/>
                <w:sz w:val="13"/>
                <w:szCs w:val="13"/>
                <w:color w:val="auto"/>
                <w:w w:val="92"/>
              </w:rPr>
              <w:t>Tax impacts of adjustments to net income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40" w:type="dxa"/>
            <w:vAlign w:val="bottom"/>
          </w:tcPr>
          <w:p>
            <w:pPr>
              <w:ind w:left="100"/>
              <w:spacing w:after="0" w:line="148" w:lineRule="exact"/>
              <w:rPr>
                <w:sz w:val="20"/>
                <w:szCs w:val="20"/>
                <w:color w:val="auto"/>
              </w:rPr>
            </w:pPr>
            <w:r>
              <w:rPr>
                <w:rFonts w:ascii="Arial" w:cs="Arial" w:eastAsia="Arial" w:hAnsi="Arial"/>
                <w:sz w:val="13"/>
                <w:szCs w:val="13"/>
                <w:color w:val="auto"/>
              </w:rPr>
              <w:t>(loss)</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(4,472)</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w w:val="99"/>
              </w:rPr>
              <w:t>(3,299)</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(2,533)</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Adjusted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2,168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2,610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3,445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5,143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4,515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2,324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619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6"/>
              </w:rPr>
              <w:t>2,053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1"/>
              </w:rPr>
              <w:t>12,213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-104140</wp:posOffset>
            </wp:positionV>
            <wp:extent cx="825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right="520" w:hanging="403"/>
        <w:spacing w:after="0" w:line="272" w:lineRule="auto"/>
        <w:tabs>
          <w:tab w:leader="none" w:pos="8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800"/>
          </w:cols>
          <w:pgMar w:left="320" w:top="465" w:right="77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right="80" w:hanging="403"/>
        <w:spacing w:after="0" w:line="287" w:lineRule="auto"/>
        <w:tabs>
          <w:tab w:leader="none" w:pos="8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60" w:right="40" w:hanging="403"/>
        <w:spacing w:after="0" w:line="292" w:lineRule="auto"/>
        <w:tabs>
          <w:tab w:leader="none" w:pos="8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professional fees related to IPO readiness in the nine months ended September 30, 2021, a pricing study initiated by our sponsors and professional fees for the preparation for the IPO in the quarters ended September 30, 2021,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27"/>
        </w:trPr>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Successor</w:t>
            </w: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w w:val="86"/>
              </w:rPr>
              <w:t>Predecessor</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w w:val="89"/>
              </w:rPr>
              <w:t>Period</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jc w:val="center"/>
              <w:ind w:right="120"/>
              <w:spacing w:after="0" w:line="95" w:lineRule="exact"/>
              <w:rPr>
                <w:sz w:val="20"/>
                <w:szCs w:val="20"/>
                <w:color w:val="auto"/>
              </w:rPr>
            </w:pPr>
            <w:r>
              <w:rPr>
                <w:rFonts w:ascii="Arial" w:cs="Arial" w:eastAsia="Arial" w:hAnsi="Arial"/>
                <w:sz w:val="10"/>
                <w:szCs w:val="10"/>
                <w:b w:val="1"/>
                <w:bCs w:val="1"/>
                <w:color w:val="auto"/>
                <w:w w:val="89"/>
              </w:rPr>
              <w:t>Period</w:t>
            </w: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8"/>
              </w:rPr>
              <w:t>from</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8"/>
              </w:rPr>
              <w:t>from</w:t>
            </w: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4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Three</w:t>
            </w:r>
          </w:p>
        </w:tc>
        <w:tc>
          <w:tcPr>
            <w:tcW w:w="40" w:type="dxa"/>
            <w:vAlign w:val="bottom"/>
          </w:tcPr>
          <w:p>
            <w:pPr>
              <w:spacing w:after="0"/>
              <w:rPr>
                <w:sz w:val="9"/>
                <w:szCs w:val="9"/>
                <w:color w:val="auto"/>
              </w:rPr>
            </w:pPr>
          </w:p>
        </w:tc>
        <w:tc>
          <w:tcPr>
            <w:tcW w:w="5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5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7"/>
              </w:rPr>
              <w:t>Three</w:t>
            </w:r>
          </w:p>
        </w:tc>
        <w:tc>
          <w:tcPr>
            <w:tcW w:w="5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2"/>
              </w:rPr>
              <w:t>July 16,</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6"/>
              </w:rPr>
              <w:t>July 1,</w:t>
            </w:r>
          </w:p>
        </w:tc>
        <w:tc>
          <w:tcPr>
            <w:tcW w:w="40" w:type="dxa"/>
            <w:vAlign w:val="bottom"/>
          </w:tcPr>
          <w:p>
            <w:pPr>
              <w:spacing w:after="0"/>
              <w:rPr>
                <w:sz w:val="9"/>
                <w:szCs w:val="9"/>
                <w:color w:val="auto"/>
              </w:rPr>
            </w:pP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5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7"/>
              </w:rPr>
              <w:t>Three</w:t>
            </w:r>
          </w:p>
        </w:tc>
        <w:tc>
          <w:tcPr>
            <w:tcW w:w="0" w:type="dxa"/>
            <w:vAlign w:val="bottom"/>
          </w:tcPr>
          <w:p>
            <w:pPr>
              <w:spacing w:after="0"/>
              <w:rPr>
                <w:sz w:val="1"/>
                <w:szCs w:val="1"/>
                <w:color w:val="auto"/>
              </w:rPr>
            </w:pPr>
          </w:p>
        </w:tc>
      </w:tr>
      <w:tr>
        <w:trPr>
          <w:trHeight w:val="114"/>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Months</w:t>
            </w:r>
          </w:p>
        </w:tc>
        <w:tc>
          <w:tcPr>
            <w:tcW w:w="4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5"/>
              </w:rPr>
              <w:t>Months</w:t>
            </w:r>
          </w:p>
        </w:tc>
        <w:tc>
          <w:tcPr>
            <w:tcW w:w="40" w:type="dxa"/>
            <w:vAlign w:val="bottom"/>
          </w:tcPr>
          <w:p>
            <w:pPr>
              <w:spacing w:after="0"/>
              <w:rPr>
                <w:sz w:val="9"/>
                <w:szCs w:val="9"/>
                <w:color w:val="auto"/>
              </w:rPr>
            </w:pPr>
          </w:p>
        </w:tc>
        <w:tc>
          <w:tcPr>
            <w:tcW w:w="5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Months</w:t>
            </w:r>
          </w:p>
        </w:tc>
        <w:tc>
          <w:tcPr>
            <w:tcW w:w="5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5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54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9"/>
                <w:szCs w:val="9"/>
                <w:color w:val="auto"/>
              </w:rPr>
            </w:pPr>
          </w:p>
        </w:tc>
        <w:tc>
          <w:tcPr>
            <w:tcW w:w="620" w:type="dxa"/>
            <w:vAlign w:val="bottom"/>
            <w:gridSpan w:val="3"/>
          </w:tcPr>
          <w:p>
            <w:pPr>
              <w:jc w:val="center"/>
              <w:ind w:left="209"/>
              <w:spacing w:after="0" w:line="114" w:lineRule="exact"/>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5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Months</w:t>
            </w:r>
          </w:p>
        </w:tc>
        <w:tc>
          <w:tcPr>
            <w:tcW w:w="0" w:type="dxa"/>
            <w:vAlign w:val="bottom"/>
          </w:tcPr>
          <w:p>
            <w:pPr>
              <w:spacing w:after="0"/>
              <w:rPr>
                <w:sz w:val="1"/>
                <w:szCs w:val="1"/>
                <w:color w:val="auto"/>
              </w:rPr>
            </w:pPr>
          </w:p>
        </w:tc>
      </w:tr>
      <w:tr>
        <w:trPr>
          <w:trHeight w:val="114"/>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1"/>
              </w:rPr>
              <w:t>Ended</w:t>
            </w:r>
          </w:p>
        </w:tc>
        <w:tc>
          <w:tcPr>
            <w:tcW w:w="4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Ended</w:t>
            </w:r>
          </w:p>
        </w:tc>
        <w:tc>
          <w:tcPr>
            <w:tcW w:w="40" w:type="dxa"/>
            <w:vAlign w:val="bottom"/>
          </w:tcPr>
          <w:p>
            <w:pPr>
              <w:spacing w:after="0"/>
              <w:rPr>
                <w:sz w:val="9"/>
                <w:szCs w:val="9"/>
                <w:color w:val="auto"/>
              </w:rPr>
            </w:pPr>
          </w:p>
        </w:tc>
        <w:tc>
          <w:tcPr>
            <w:tcW w:w="5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5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5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to</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to</w:t>
            </w:r>
          </w:p>
        </w:tc>
        <w:tc>
          <w:tcPr>
            <w:tcW w:w="40" w:type="dxa"/>
            <w:vAlign w:val="bottom"/>
          </w:tcPr>
          <w:p>
            <w:pPr>
              <w:spacing w:after="0"/>
              <w:rPr>
                <w:sz w:val="9"/>
                <w:szCs w:val="9"/>
                <w:color w:val="auto"/>
              </w:rPr>
            </w:pP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1"/>
              </w:rPr>
              <w:t>Ended</w:t>
            </w:r>
          </w:p>
        </w:tc>
        <w:tc>
          <w:tcPr>
            <w:tcW w:w="5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00"/>
        </w:trPr>
        <w:tc>
          <w:tcPr>
            <w:tcW w:w="2400" w:type="dxa"/>
            <w:vAlign w:val="bottom"/>
            <w:vMerge w:val="restart"/>
          </w:tcPr>
          <w:p>
            <w:pPr>
              <w:ind w:left="820"/>
              <w:spacing w:after="0"/>
              <w:rPr>
                <w:sz w:val="20"/>
                <w:szCs w:val="20"/>
                <w:color w:val="auto"/>
              </w:rPr>
            </w:pPr>
            <w:r>
              <w:rPr>
                <w:rFonts w:ascii="Arial" w:cs="Arial" w:eastAsia="Arial" w:hAnsi="Arial"/>
                <w:sz w:val="10"/>
                <w:szCs w:val="10"/>
                <w:b w:val="1"/>
                <w:bCs w:val="1"/>
                <w:color w:val="auto"/>
              </w:rPr>
              <w:t>($ in thousands)</w:t>
            </w:r>
          </w:p>
        </w:tc>
        <w:tc>
          <w:tcPr>
            <w:tcW w:w="780" w:type="dxa"/>
            <w:vAlign w:val="bottom"/>
            <w:gridSpan w:val="3"/>
          </w:tcPr>
          <w:p>
            <w:pPr>
              <w:jc w:val="center"/>
              <w:ind w:right="160"/>
              <w:spacing w:after="0" w:line="81" w:lineRule="exact"/>
              <w:rPr>
                <w:sz w:val="20"/>
                <w:szCs w:val="20"/>
                <w:color w:val="auto"/>
              </w:rPr>
            </w:pPr>
            <w:r>
              <w:rPr>
                <w:rFonts w:ascii="Arial" w:cs="Arial" w:eastAsia="Arial" w:hAnsi="Arial"/>
                <w:sz w:val="9"/>
                <w:szCs w:val="9"/>
                <w:b w:val="1"/>
                <w:bCs w:val="1"/>
                <w:color w:val="auto"/>
              </w:rPr>
              <w:t>September 30,</w:t>
            </w:r>
          </w:p>
        </w:tc>
        <w:tc>
          <w:tcPr>
            <w:tcW w:w="48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9"/>
              </w:rPr>
              <w:t>June 30,</w:t>
            </w:r>
          </w:p>
        </w:tc>
        <w:tc>
          <w:tcPr>
            <w:tcW w:w="40" w:type="dxa"/>
            <w:vAlign w:val="bottom"/>
          </w:tcPr>
          <w:p>
            <w:pPr>
              <w:spacing w:after="0"/>
              <w:rPr>
                <w:sz w:val="8"/>
                <w:szCs w:val="8"/>
                <w:color w:val="auto"/>
              </w:rPr>
            </w:pPr>
          </w:p>
        </w:tc>
        <w:tc>
          <w:tcPr>
            <w:tcW w:w="540" w:type="dxa"/>
            <w:vAlign w:val="bottom"/>
            <w:gridSpan w:val="2"/>
          </w:tcPr>
          <w:p>
            <w:pPr>
              <w:jc w:val="center"/>
              <w:ind w:right="80"/>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Pr>
          <w:p>
            <w:pPr>
              <w:spacing w:after="0"/>
              <w:rPr>
                <w:sz w:val="8"/>
                <w:szCs w:val="8"/>
                <w:color w:val="auto"/>
              </w:rPr>
            </w:pPr>
          </w:p>
        </w:tc>
        <w:tc>
          <w:tcPr>
            <w:tcW w:w="700" w:type="dxa"/>
            <w:vAlign w:val="bottom"/>
            <w:gridSpan w:val="3"/>
          </w:tcPr>
          <w:p>
            <w:pPr>
              <w:jc w:val="center"/>
              <w:ind w:right="100"/>
              <w:spacing w:after="0" w:line="81" w:lineRule="exact"/>
              <w:rPr>
                <w:sz w:val="20"/>
                <w:szCs w:val="20"/>
                <w:color w:val="auto"/>
              </w:rPr>
            </w:pPr>
            <w:r>
              <w:rPr>
                <w:rFonts w:ascii="Arial" w:cs="Arial" w:eastAsia="Arial" w:hAnsi="Arial"/>
                <w:sz w:val="9"/>
                <w:szCs w:val="9"/>
                <w:b w:val="1"/>
                <w:bCs w:val="1"/>
                <w:color w:val="auto"/>
              </w:rPr>
              <w:t>December 31,</w:t>
            </w:r>
          </w:p>
        </w:tc>
        <w:tc>
          <w:tcPr>
            <w:tcW w:w="60" w:type="dxa"/>
            <w:vAlign w:val="bottom"/>
          </w:tcPr>
          <w:p>
            <w:pPr>
              <w:spacing w:after="0"/>
              <w:rPr>
                <w:sz w:val="8"/>
                <w:szCs w:val="8"/>
                <w:color w:val="auto"/>
              </w:rPr>
            </w:pPr>
          </w:p>
        </w:tc>
        <w:tc>
          <w:tcPr>
            <w:tcW w:w="760" w:type="dxa"/>
            <w:vAlign w:val="bottom"/>
            <w:gridSpan w:val="3"/>
          </w:tcPr>
          <w:p>
            <w:pPr>
              <w:spacing w:after="0" w:line="81" w:lineRule="exact"/>
              <w:rPr>
                <w:sz w:val="20"/>
                <w:szCs w:val="20"/>
                <w:color w:val="auto"/>
              </w:rPr>
            </w:pPr>
            <w:r>
              <w:rPr>
                <w:rFonts w:ascii="Arial" w:cs="Arial" w:eastAsia="Arial" w:hAnsi="Arial"/>
                <w:sz w:val="9"/>
                <w:szCs w:val="9"/>
                <w:b w:val="1"/>
                <w:bCs w:val="1"/>
                <w:color w:val="auto"/>
              </w:rPr>
              <w:t>September 30,</w:t>
            </w:r>
          </w:p>
        </w:tc>
        <w:tc>
          <w:tcPr>
            <w:tcW w:w="54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9"/>
              </w:rPr>
              <w:t>June 30,</w:t>
            </w:r>
          </w:p>
        </w:tc>
        <w:tc>
          <w:tcPr>
            <w:tcW w:w="580" w:type="dxa"/>
            <w:vAlign w:val="bottom"/>
            <w:gridSpan w:val="2"/>
          </w:tcPr>
          <w:p>
            <w:pPr>
              <w:jc w:val="right"/>
              <w:ind w:right="140"/>
              <w:spacing w:after="0" w:line="81" w:lineRule="exact"/>
              <w:rPr>
                <w:sz w:val="20"/>
                <w:szCs w:val="20"/>
                <w:color w:val="auto"/>
              </w:rPr>
            </w:pPr>
            <w:r>
              <w:rPr>
                <w:rFonts w:ascii="Arial" w:cs="Arial" w:eastAsia="Arial" w:hAnsi="Arial"/>
                <w:sz w:val="9"/>
                <w:szCs w:val="9"/>
                <w:b w:val="1"/>
                <w:bCs w:val="1"/>
                <w:color w:val="auto"/>
              </w:rPr>
              <w:t>March 31,</w:t>
            </w:r>
          </w:p>
        </w:tc>
        <w:tc>
          <w:tcPr>
            <w:tcW w:w="760" w:type="dxa"/>
            <w:vAlign w:val="bottom"/>
            <w:gridSpan w:val="3"/>
          </w:tcPr>
          <w:p>
            <w:pPr>
              <w:jc w:val="center"/>
              <w:ind w:right="140"/>
              <w:spacing w:after="0" w:line="81" w:lineRule="exact"/>
              <w:rPr>
                <w:sz w:val="20"/>
                <w:szCs w:val="20"/>
                <w:color w:val="auto"/>
              </w:rPr>
            </w:pPr>
            <w:r>
              <w:rPr>
                <w:rFonts w:ascii="Arial" w:cs="Arial" w:eastAsia="Arial" w:hAnsi="Arial"/>
                <w:sz w:val="9"/>
                <w:szCs w:val="9"/>
                <w:b w:val="1"/>
                <w:bCs w:val="1"/>
                <w:color w:val="auto"/>
                <w:w w:val="99"/>
              </w:rPr>
              <w:t>December 31,</w:t>
            </w:r>
          </w:p>
        </w:tc>
        <w:tc>
          <w:tcPr>
            <w:tcW w:w="760" w:type="dxa"/>
            <w:vAlign w:val="bottom"/>
            <w:gridSpan w:val="3"/>
          </w:tcPr>
          <w:p>
            <w:pPr>
              <w:jc w:val="center"/>
              <w:ind w:right="140"/>
              <w:spacing w:after="0" w:line="81" w:lineRule="exact"/>
              <w:rPr>
                <w:sz w:val="20"/>
                <w:szCs w:val="20"/>
                <w:color w:val="auto"/>
              </w:rPr>
            </w:pPr>
            <w:r>
              <w:rPr>
                <w:rFonts w:ascii="Arial" w:cs="Arial" w:eastAsia="Arial" w:hAnsi="Arial"/>
                <w:sz w:val="9"/>
                <w:szCs w:val="9"/>
                <w:b w:val="1"/>
                <w:bCs w:val="1"/>
                <w:color w:val="auto"/>
              </w:rPr>
              <w:t>September 30,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rPr>
              <w:t>July 15,</w:t>
            </w:r>
          </w:p>
        </w:tc>
        <w:tc>
          <w:tcPr>
            <w:tcW w:w="40" w:type="dxa"/>
            <w:vAlign w:val="bottom"/>
          </w:tcPr>
          <w:p>
            <w:pPr>
              <w:spacing w:after="0"/>
              <w:rPr>
                <w:sz w:val="8"/>
                <w:szCs w:val="8"/>
                <w:color w:val="auto"/>
              </w:rPr>
            </w:pPr>
          </w:p>
        </w:tc>
        <w:tc>
          <w:tcPr>
            <w:tcW w:w="60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99"/>
              </w:rPr>
              <w:t>June 30,</w:t>
            </w:r>
          </w:p>
        </w:tc>
        <w:tc>
          <w:tcPr>
            <w:tcW w:w="520" w:type="dxa"/>
            <w:vAlign w:val="bottom"/>
            <w:gridSpan w:val="2"/>
          </w:tcPr>
          <w:p>
            <w:pPr>
              <w:jc w:val="right"/>
              <w:ind w:right="80"/>
              <w:spacing w:after="0" w:line="81" w:lineRule="exact"/>
              <w:rPr>
                <w:sz w:val="20"/>
                <w:szCs w:val="20"/>
                <w:color w:val="auto"/>
              </w:rPr>
            </w:pPr>
            <w:r>
              <w:rPr>
                <w:rFonts w:ascii="Arial" w:cs="Arial" w:eastAsia="Arial" w:hAnsi="Arial"/>
                <w:sz w:val="9"/>
                <w:szCs w:val="9"/>
                <w:b w:val="1"/>
                <w:bCs w:val="1"/>
                <w:color w:val="auto"/>
              </w:rPr>
              <w:t>March 31,</w:t>
            </w:r>
          </w:p>
        </w:tc>
        <w:tc>
          <w:tcPr>
            <w:tcW w:w="0" w:type="dxa"/>
            <w:vAlign w:val="bottom"/>
          </w:tcPr>
          <w:p>
            <w:pPr>
              <w:spacing w:after="0"/>
              <w:rPr>
                <w:sz w:val="1"/>
                <w:szCs w:val="1"/>
                <w:color w:val="auto"/>
              </w:rPr>
            </w:pPr>
          </w:p>
        </w:tc>
      </w:tr>
      <w:tr>
        <w:trPr>
          <w:trHeight w:val="132"/>
        </w:trPr>
        <w:tc>
          <w:tcPr>
            <w:tcW w:w="2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26"/>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1"/>
                <w:szCs w:val="11"/>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8"/>
              </w:rPr>
              <w:t>2021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6"/>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6"/>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6"/>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00" w:type="dxa"/>
            <w:vAlign w:val="bottom"/>
            <w:gridSpan w:val="2"/>
          </w:tcPr>
          <w:p>
            <w:pPr>
              <w:jc w:val="center"/>
              <w:ind w:left="84"/>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1"/>
                <w:szCs w:val="11"/>
                <w:color w:val="auto"/>
              </w:rPr>
            </w:pPr>
          </w:p>
        </w:tc>
        <w:tc>
          <w:tcPr>
            <w:tcW w:w="4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400" w:type="dxa"/>
            <w:vAlign w:val="bottom"/>
            <w:tcBorders>
              <w:top w:val="single" w:sz="8" w:color="CCEEFF"/>
            </w:tcBorders>
            <w:shd w:val="clear" w:color="auto" w:fill="CCEEFF"/>
          </w:tcPr>
          <w:p>
            <w:pPr>
              <w:spacing w:after="0" w:line="100" w:lineRule="exact"/>
              <w:rPr>
                <w:sz w:val="20"/>
                <w:szCs w:val="20"/>
                <w:color w:val="auto"/>
              </w:rPr>
            </w:pPr>
            <w:r>
              <w:rPr>
                <w:rFonts w:ascii="Arial" w:cs="Arial" w:eastAsia="Arial" w:hAnsi="Arial"/>
                <w:sz w:val="11"/>
                <w:szCs w:val="11"/>
                <w:color w:val="auto"/>
              </w:rPr>
              <w:t>Net cash provided by (used in) operating</w:t>
            </w: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right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activities</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$ 8,414</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$ 13,527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8,673</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795</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$ 5,551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  8,198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1,616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(8,749)</w:t>
            </w:r>
          </w:p>
        </w:tc>
        <w:tc>
          <w:tcPr>
            <w:tcW w:w="120" w:type="dxa"/>
            <w:vAlign w:val="bottom"/>
            <w:tcBorders>
              <w:right w:val="single" w:sz="8" w:color="auto"/>
            </w:tcBorders>
            <w:shd w:val="clear" w:color="auto" w:fill="CCEEFF"/>
          </w:tcPr>
          <w:p>
            <w:pPr>
              <w:spacing w:after="0"/>
              <w:rPr>
                <w:sz w:val="12"/>
                <w:szCs w:val="12"/>
                <w:color w:val="auto"/>
              </w:rPr>
            </w:pPr>
          </w:p>
        </w:tc>
        <w:tc>
          <w:tcPr>
            <w:tcW w:w="600" w:type="dxa"/>
            <w:vAlign w:val="bottom"/>
            <w:gridSpan w:val="3"/>
            <w:shd w:val="clear" w:color="auto" w:fill="CCEEFF"/>
          </w:tcPr>
          <w:p>
            <w:pPr>
              <w:jc w:val="center"/>
              <w:ind w:left="4"/>
              <w:spacing w:after="0"/>
              <w:rPr>
                <w:sz w:val="20"/>
                <w:szCs w:val="20"/>
                <w:color w:val="auto"/>
              </w:rPr>
            </w:pPr>
            <w:r>
              <w:rPr>
                <w:rFonts w:ascii="Arial" w:cs="Arial" w:eastAsia="Arial" w:hAnsi="Arial"/>
                <w:sz w:val="12"/>
                <w:szCs w:val="12"/>
                <w:color w:val="auto"/>
                <w:w w:val="84"/>
              </w:rPr>
              <w:t>$ 2,674</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98"/>
              </w:rPr>
              <w:t>$ 13,658</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$ 12,395</w:t>
            </w:r>
          </w:p>
        </w:tc>
        <w:tc>
          <w:tcPr>
            <w:tcW w:w="0" w:type="dxa"/>
            <w:vAlign w:val="bottom"/>
          </w:tcPr>
          <w:p>
            <w:pPr>
              <w:spacing w:after="0"/>
              <w:rPr>
                <w:sz w:val="1"/>
                <w:szCs w:val="1"/>
                <w:color w:val="auto"/>
              </w:rPr>
            </w:pPr>
          </w:p>
        </w:tc>
      </w:tr>
      <w:tr>
        <w:trPr>
          <w:trHeight w:val="113"/>
        </w:trPr>
        <w:tc>
          <w:tcPr>
            <w:tcW w:w="2400" w:type="dxa"/>
            <w:vAlign w:val="bottom"/>
          </w:tcPr>
          <w:p>
            <w:pPr>
              <w:spacing w:after="0" w:line="113" w:lineRule="exact"/>
              <w:rPr>
                <w:sz w:val="20"/>
                <w:szCs w:val="20"/>
                <w:color w:val="auto"/>
              </w:rPr>
            </w:pPr>
            <w:r>
              <w:rPr>
                <w:rFonts w:ascii="Arial" w:cs="Arial" w:eastAsia="Arial" w:hAnsi="Arial"/>
                <w:sz w:val="12"/>
                <w:szCs w:val="12"/>
                <w:color w:val="auto"/>
              </w:rPr>
              <w:t>Net cash (used in) provided by investing</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400" w:type="dxa"/>
            <w:vAlign w:val="bottom"/>
          </w:tcPr>
          <w:p>
            <w:pPr>
              <w:ind w:left="120"/>
              <w:spacing w:after="0"/>
              <w:rPr>
                <w:sz w:val="20"/>
                <w:szCs w:val="20"/>
                <w:color w:val="auto"/>
              </w:rPr>
            </w:pPr>
            <w:r>
              <w:rPr>
                <w:rFonts w:ascii="Arial" w:cs="Arial" w:eastAsia="Arial" w:hAnsi="Arial"/>
                <w:sz w:val="12"/>
                <w:szCs w:val="12"/>
                <w:color w:val="auto"/>
              </w:rPr>
              <w:t>activities</w:t>
            </w:r>
            <w:r>
              <w:rPr>
                <w:rFonts w:ascii="Arial" w:cs="Arial" w:eastAsia="Arial" w:hAnsi="Arial"/>
                <w:sz w:val="8"/>
                <w:szCs w:val="8"/>
                <w:color w:val="auto"/>
              </w:rPr>
              <w:t>(2)(3)</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(440)</w:t>
            </w: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(1,380)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(3,842)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(15,866)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(7,101)</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(547)</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(348)</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(3,974)</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91"/>
              </w:rPr>
              <w:t>(1,105,394)</w:t>
            </w:r>
          </w:p>
        </w:tc>
        <w:tc>
          <w:tcPr>
            <w:tcW w:w="120" w:type="dxa"/>
            <w:vAlign w:val="bottom"/>
            <w:tcBorders>
              <w:right w:val="single" w:sz="8" w:color="auto"/>
            </w:tcBorders>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2"/>
                <w:szCs w:val="12"/>
                <w:color w:val="auto"/>
              </w:rPr>
              <w:t>(11)</w:t>
            </w:r>
          </w:p>
        </w:tc>
        <w:tc>
          <w:tcPr>
            <w:tcW w:w="640" w:type="dxa"/>
            <w:vAlign w:val="bottom"/>
            <w:gridSpan w:val="3"/>
          </w:tcPr>
          <w:p>
            <w:pPr>
              <w:jc w:val="right"/>
              <w:ind w:right="120"/>
              <w:spacing w:after="0"/>
              <w:rPr>
                <w:sz w:val="20"/>
                <w:szCs w:val="20"/>
                <w:color w:val="auto"/>
              </w:rPr>
            </w:pPr>
            <w:r>
              <w:rPr>
                <w:rFonts w:ascii="Arial" w:cs="Arial" w:eastAsia="Arial" w:hAnsi="Arial"/>
                <w:sz w:val="12"/>
                <w:szCs w:val="12"/>
                <w:color w:val="auto"/>
              </w:rPr>
              <w:t>(539)</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(30,010)</w:t>
            </w:r>
          </w:p>
        </w:tc>
        <w:tc>
          <w:tcPr>
            <w:tcW w:w="0" w:type="dxa"/>
            <w:vAlign w:val="bottom"/>
          </w:tcPr>
          <w:p>
            <w:pPr>
              <w:spacing w:after="0"/>
              <w:rPr>
                <w:sz w:val="1"/>
                <w:szCs w:val="1"/>
                <w:color w:val="auto"/>
              </w:rPr>
            </w:pPr>
          </w:p>
        </w:tc>
      </w:tr>
      <w:tr>
        <w:trPr>
          <w:trHeight w:val="113"/>
        </w:trPr>
        <w:tc>
          <w:tcPr>
            <w:tcW w:w="240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Net cash (used in) provided by financing</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activities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152,757</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(1,766)</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(1,296)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(3,186)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(1,173)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23,875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(7,757)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1,132,876</w:t>
            </w:r>
          </w:p>
        </w:tc>
        <w:tc>
          <w:tcPr>
            <w:tcW w:w="1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(13,279)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-489585</wp:posOffset>
            </wp:positionV>
            <wp:extent cx="158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hanging="403"/>
        <w:spacing w:after="0"/>
        <w:tabs>
          <w:tab w:leader="none" w:pos="8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Net cash provided by (used in) operating activities includes cash payments for interest as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27"/>
        </w:trPr>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w w:val="94"/>
              </w:rPr>
              <w:t>Successor</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w w:val="93"/>
              </w:rPr>
              <w:t>Predecessor</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380"/>
              <w:spacing w:after="0" w:line="95" w:lineRule="exact"/>
              <w:rPr>
                <w:sz w:val="20"/>
                <w:szCs w:val="20"/>
                <w:color w:val="auto"/>
              </w:rPr>
            </w:pPr>
            <w:r>
              <w:rPr>
                <w:rFonts w:ascii="Arial" w:cs="Arial" w:eastAsia="Arial" w:hAnsi="Arial"/>
                <w:sz w:val="10"/>
                <w:szCs w:val="10"/>
                <w:b w:val="1"/>
                <w:bCs w:val="1"/>
                <w:color w:val="auto"/>
                <w:w w:val="89"/>
              </w:rPr>
              <w:t>Period</w:t>
            </w:r>
          </w:p>
        </w:tc>
        <w:tc>
          <w:tcPr>
            <w:tcW w:w="300" w:type="dxa"/>
            <w:vAlign w:val="bottom"/>
          </w:tcPr>
          <w:p>
            <w:pPr>
              <w:spacing w:after="0"/>
              <w:rPr>
                <w:sz w:val="8"/>
                <w:szCs w:val="8"/>
                <w:color w:val="auto"/>
              </w:rPr>
            </w:pPr>
          </w:p>
        </w:tc>
        <w:tc>
          <w:tcPr>
            <w:tcW w:w="34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89"/>
              </w:rPr>
              <w:t>Period</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9"/>
              </w:rPr>
              <w:t>from</w:t>
            </w:r>
          </w:p>
        </w:tc>
        <w:tc>
          <w:tcPr>
            <w:tcW w:w="300" w:type="dxa"/>
            <w:vAlign w:val="bottom"/>
          </w:tcPr>
          <w:p>
            <w:pPr>
              <w:spacing w:after="0"/>
              <w:rPr>
                <w:sz w:val="9"/>
                <w:szCs w:val="9"/>
                <w:color w:val="auto"/>
              </w:rPr>
            </w:pPr>
          </w:p>
        </w:tc>
        <w:tc>
          <w:tcPr>
            <w:tcW w:w="3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from</w:t>
            </w: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4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3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7"/>
              </w:rPr>
              <w:t>July 16,</w:t>
            </w:r>
          </w:p>
        </w:tc>
        <w:tc>
          <w:tcPr>
            <w:tcW w:w="300" w:type="dxa"/>
            <w:vAlign w:val="bottom"/>
          </w:tcPr>
          <w:p>
            <w:pPr>
              <w:spacing w:after="0"/>
              <w:rPr>
                <w:sz w:val="9"/>
                <w:szCs w:val="9"/>
                <w:color w:val="auto"/>
              </w:rPr>
            </w:pPr>
          </w:p>
        </w:tc>
        <w:tc>
          <w:tcPr>
            <w:tcW w:w="3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July 1,</w:t>
            </w:r>
          </w:p>
        </w:tc>
        <w:tc>
          <w:tcPr>
            <w:tcW w:w="200" w:type="dxa"/>
            <w:vAlign w:val="bottom"/>
          </w:tcPr>
          <w:p>
            <w:pPr>
              <w:spacing w:after="0"/>
              <w:rPr>
                <w:sz w:val="9"/>
                <w:szCs w:val="9"/>
                <w:color w:val="auto"/>
              </w:rPr>
            </w:pPr>
          </w:p>
        </w:tc>
        <w:tc>
          <w:tcPr>
            <w:tcW w:w="5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7"/>
              </w:rPr>
              <w:t>Three</w:t>
            </w: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4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Months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2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3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Months</w:t>
            </w:r>
          </w:p>
        </w:tc>
        <w:tc>
          <w:tcPr>
            <w:tcW w:w="18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Months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520" w:type="dxa"/>
            <w:vAlign w:val="bottom"/>
          </w:tcPr>
          <w:p>
            <w:pPr>
              <w:jc w:val="center"/>
              <w:ind w:right="68"/>
              <w:spacing w:after="0" w:line="114" w:lineRule="exact"/>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9"/>
                <w:szCs w:val="9"/>
                <w:color w:val="auto"/>
              </w:rPr>
            </w:pPr>
          </w:p>
        </w:tc>
        <w:tc>
          <w:tcPr>
            <w:tcW w:w="640" w:type="dxa"/>
            <w:vAlign w:val="bottom"/>
            <w:gridSpan w:val="2"/>
          </w:tcPr>
          <w:p>
            <w:pPr>
              <w:jc w:val="center"/>
              <w:ind w:left="269"/>
              <w:spacing w:after="0" w:line="114" w:lineRule="exact"/>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9"/>
                <w:szCs w:val="9"/>
                <w:color w:val="auto"/>
              </w:rPr>
            </w:pPr>
          </w:p>
        </w:tc>
        <w:tc>
          <w:tcPr>
            <w:tcW w:w="54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9"/>
              </w:rPr>
              <w:t>Months</w:t>
            </w:r>
          </w:p>
        </w:tc>
        <w:tc>
          <w:tcPr>
            <w:tcW w:w="50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Months</w:t>
            </w: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4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3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4"/>
              </w:rPr>
              <w:t>to</w:t>
            </w:r>
          </w:p>
        </w:tc>
        <w:tc>
          <w:tcPr>
            <w:tcW w:w="300" w:type="dxa"/>
            <w:vAlign w:val="bottom"/>
          </w:tcPr>
          <w:p>
            <w:pPr>
              <w:spacing w:after="0"/>
              <w:rPr>
                <w:sz w:val="9"/>
                <w:szCs w:val="9"/>
                <w:color w:val="auto"/>
              </w:rPr>
            </w:pPr>
          </w:p>
        </w:tc>
        <w:tc>
          <w:tcPr>
            <w:tcW w:w="3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4"/>
              </w:rPr>
              <w:t>to</w:t>
            </w:r>
          </w:p>
        </w:tc>
        <w:tc>
          <w:tcPr>
            <w:tcW w:w="200" w:type="dxa"/>
            <w:vAlign w:val="bottom"/>
          </w:tcPr>
          <w:p>
            <w:pPr>
              <w:spacing w:after="0"/>
              <w:rPr>
                <w:sz w:val="9"/>
                <w:szCs w:val="9"/>
                <w:color w:val="auto"/>
              </w:rPr>
            </w:pPr>
          </w:p>
        </w:tc>
        <w:tc>
          <w:tcPr>
            <w:tcW w:w="54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00"/>
        </w:trPr>
        <w:tc>
          <w:tcPr>
            <w:tcW w:w="1660" w:type="dxa"/>
            <w:vAlign w:val="bottom"/>
            <w:vMerge w:val="restart"/>
          </w:tcPr>
          <w:p>
            <w:pPr>
              <w:ind w:left="600"/>
              <w:spacing w:after="0"/>
              <w:rPr>
                <w:sz w:val="20"/>
                <w:szCs w:val="20"/>
                <w:color w:val="auto"/>
              </w:rPr>
            </w:pPr>
            <w:r>
              <w:rPr>
                <w:rFonts w:ascii="Arial" w:cs="Arial" w:eastAsia="Arial" w:hAnsi="Arial"/>
                <w:sz w:val="10"/>
                <w:szCs w:val="10"/>
                <w:b w:val="1"/>
                <w:bCs w:val="1"/>
                <w:color w:val="auto"/>
              </w:rPr>
              <w:t>($ in thousands)</w:t>
            </w:r>
          </w:p>
        </w:tc>
        <w:tc>
          <w:tcPr>
            <w:tcW w:w="380" w:type="dxa"/>
            <w:vAlign w:val="bottom"/>
          </w:tcPr>
          <w:p>
            <w:pPr>
              <w:spacing w:after="0"/>
              <w:rPr>
                <w:sz w:val="8"/>
                <w:szCs w:val="8"/>
                <w:color w:val="auto"/>
              </w:rPr>
            </w:pPr>
          </w:p>
        </w:tc>
        <w:tc>
          <w:tcPr>
            <w:tcW w:w="700" w:type="dxa"/>
            <w:vAlign w:val="bottom"/>
            <w:gridSpan w:val="3"/>
          </w:tcPr>
          <w:p>
            <w:pPr>
              <w:jc w:val="center"/>
              <w:ind w:right="80"/>
              <w:spacing w:after="0" w:line="81" w:lineRule="exact"/>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8"/>
                <w:szCs w:val="8"/>
                <w:color w:val="auto"/>
              </w:rPr>
            </w:pPr>
          </w:p>
        </w:tc>
        <w:tc>
          <w:tcPr>
            <w:tcW w:w="440" w:type="dxa"/>
            <w:vAlign w:val="bottom"/>
            <w:gridSpan w:val="2"/>
          </w:tcPr>
          <w:p>
            <w:pPr>
              <w:jc w:val="center"/>
              <w:ind w:right="80"/>
              <w:spacing w:after="0" w:line="81" w:lineRule="exact"/>
              <w:rPr>
                <w:sz w:val="20"/>
                <w:szCs w:val="20"/>
                <w:color w:val="auto"/>
              </w:rPr>
            </w:pPr>
            <w:r>
              <w:rPr>
                <w:rFonts w:ascii="Arial" w:cs="Arial" w:eastAsia="Arial" w:hAnsi="Arial"/>
                <w:sz w:val="9"/>
                <w:szCs w:val="9"/>
                <w:b w:val="1"/>
                <w:bCs w:val="1"/>
                <w:color w:val="auto"/>
                <w:w w:val="99"/>
              </w:rPr>
              <w:t>June 30,</w:t>
            </w:r>
          </w:p>
        </w:tc>
        <w:tc>
          <w:tcPr>
            <w:tcW w:w="100" w:type="dxa"/>
            <w:vAlign w:val="bottom"/>
          </w:tcPr>
          <w:p>
            <w:pPr>
              <w:spacing w:after="0"/>
              <w:rPr>
                <w:sz w:val="8"/>
                <w:szCs w:val="8"/>
                <w:color w:val="auto"/>
              </w:rPr>
            </w:pPr>
          </w:p>
        </w:tc>
        <w:tc>
          <w:tcPr>
            <w:tcW w:w="4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200" w:type="dxa"/>
            <w:vAlign w:val="bottom"/>
          </w:tcPr>
          <w:p>
            <w:pPr>
              <w:spacing w:after="0"/>
              <w:rPr>
                <w:sz w:val="8"/>
                <w:szCs w:val="8"/>
                <w:color w:val="auto"/>
              </w:rPr>
            </w:pPr>
          </w:p>
        </w:tc>
        <w:tc>
          <w:tcPr>
            <w:tcW w:w="780" w:type="dxa"/>
            <w:vAlign w:val="bottom"/>
            <w:gridSpan w:val="3"/>
          </w:tcPr>
          <w:p>
            <w:pPr>
              <w:spacing w:after="0" w:line="81" w:lineRule="exact"/>
              <w:rPr>
                <w:sz w:val="20"/>
                <w:szCs w:val="20"/>
                <w:color w:val="auto"/>
              </w:rPr>
            </w:pPr>
            <w:r>
              <w:rPr>
                <w:rFonts w:ascii="Arial" w:cs="Arial" w:eastAsia="Arial" w:hAnsi="Arial"/>
                <w:sz w:val="9"/>
                <w:szCs w:val="9"/>
                <w:b w:val="1"/>
                <w:bCs w:val="1"/>
                <w:color w:val="auto"/>
              </w:rPr>
              <w:t>December 31,</w:t>
            </w:r>
          </w:p>
        </w:tc>
        <w:tc>
          <w:tcPr>
            <w:tcW w:w="720" w:type="dxa"/>
            <w:vAlign w:val="bottom"/>
            <w:gridSpan w:val="3"/>
          </w:tcPr>
          <w:p>
            <w:pPr>
              <w:jc w:val="center"/>
              <w:ind w:right="100"/>
              <w:spacing w:after="0" w:line="81" w:lineRule="exact"/>
              <w:rPr>
                <w:sz w:val="20"/>
                <w:szCs w:val="20"/>
                <w:color w:val="auto"/>
              </w:rPr>
            </w:pPr>
            <w:r>
              <w:rPr>
                <w:rFonts w:ascii="Arial" w:cs="Arial" w:eastAsia="Arial" w:hAnsi="Arial"/>
                <w:sz w:val="9"/>
                <w:szCs w:val="9"/>
                <w:b w:val="1"/>
                <w:bCs w:val="1"/>
                <w:color w:val="auto"/>
              </w:rPr>
              <w:t>September 30,</w:t>
            </w:r>
          </w:p>
        </w:tc>
        <w:tc>
          <w:tcPr>
            <w:tcW w:w="80" w:type="dxa"/>
            <w:vAlign w:val="bottom"/>
          </w:tcPr>
          <w:p>
            <w:pPr>
              <w:spacing w:after="0"/>
              <w:rPr>
                <w:sz w:val="8"/>
                <w:szCs w:val="8"/>
                <w:color w:val="auto"/>
              </w:rPr>
            </w:pPr>
          </w:p>
        </w:tc>
        <w:tc>
          <w:tcPr>
            <w:tcW w:w="3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June 30,</w:t>
            </w:r>
          </w:p>
        </w:tc>
        <w:tc>
          <w:tcPr>
            <w:tcW w:w="180" w:type="dxa"/>
            <w:vAlign w:val="bottom"/>
          </w:tcPr>
          <w:p>
            <w:pPr>
              <w:spacing w:after="0"/>
              <w:rPr>
                <w:sz w:val="8"/>
                <w:szCs w:val="8"/>
                <w:color w:val="auto"/>
              </w:rPr>
            </w:pPr>
          </w:p>
        </w:tc>
        <w:tc>
          <w:tcPr>
            <w:tcW w:w="4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200" w:type="dxa"/>
            <w:vAlign w:val="bottom"/>
          </w:tcPr>
          <w:p>
            <w:pPr>
              <w:spacing w:after="0"/>
              <w:rPr>
                <w:sz w:val="8"/>
                <w:szCs w:val="8"/>
                <w:color w:val="auto"/>
              </w:rPr>
            </w:pPr>
          </w:p>
        </w:tc>
        <w:tc>
          <w:tcPr>
            <w:tcW w:w="780" w:type="dxa"/>
            <w:vAlign w:val="bottom"/>
            <w:gridSpan w:val="3"/>
          </w:tcPr>
          <w:p>
            <w:pPr>
              <w:jc w:val="center"/>
              <w:ind w:right="200"/>
              <w:spacing w:after="0" w:line="81" w:lineRule="exact"/>
              <w:rPr>
                <w:sz w:val="20"/>
                <w:szCs w:val="20"/>
                <w:color w:val="auto"/>
              </w:rPr>
            </w:pPr>
            <w:r>
              <w:rPr>
                <w:rFonts w:ascii="Arial" w:cs="Arial" w:eastAsia="Arial" w:hAnsi="Arial"/>
                <w:sz w:val="9"/>
                <w:szCs w:val="9"/>
                <w:b w:val="1"/>
                <w:bCs w:val="1"/>
                <w:color w:val="auto"/>
                <w:w w:val="99"/>
              </w:rPr>
              <w:t>December 31,</w:t>
            </w:r>
          </w:p>
        </w:tc>
        <w:tc>
          <w:tcPr>
            <w:tcW w:w="880" w:type="dxa"/>
            <w:vAlign w:val="bottom"/>
            <w:gridSpan w:val="3"/>
          </w:tcPr>
          <w:p>
            <w:pPr>
              <w:jc w:val="center"/>
              <w:ind w:right="260"/>
              <w:spacing w:after="0" w:line="81" w:lineRule="exact"/>
              <w:rPr>
                <w:sz w:val="20"/>
                <w:szCs w:val="20"/>
                <w:color w:val="auto"/>
              </w:rPr>
            </w:pPr>
            <w:r>
              <w:rPr>
                <w:rFonts w:ascii="Arial" w:cs="Arial" w:eastAsia="Arial" w:hAnsi="Arial"/>
                <w:sz w:val="9"/>
                <w:szCs w:val="9"/>
                <w:b w:val="1"/>
                <w:bCs w:val="1"/>
                <w:color w:val="auto"/>
              </w:rPr>
              <w:t>September 30,</w:t>
            </w:r>
          </w:p>
        </w:tc>
        <w:tc>
          <w:tcPr>
            <w:tcW w:w="300" w:type="dxa"/>
            <w:vAlign w:val="bottom"/>
          </w:tcPr>
          <w:p>
            <w:pPr>
              <w:spacing w:after="0"/>
              <w:rPr>
                <w:sz w:val="8"/>
                <w:szCs w:val="8"/>
                <w:color w:val="auto"/>
              </w:rPr>
            </w:pPr>
          </w:p>
        </w:tc>
        <w:tc>
          <w:tcPr>
            <w:tcW w:w="3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July 15,</w:t>
            </w:r>
          </w:p>
        </w:tc>
        <w:tc>
          <w:tcPr>
            <w:tcW w:w="200" w:type="dxa"/>
            <w:vAlign w:val="bottom"/>
          </w:tcPr>
          <w:p>
            <w:pPr>
              <w:spacing w:after="0"/>
              <w:rPr>
                <w:sz w:val="8"/>
                <w:szCs w:val="8"/>
                <w:color w:val="auto"/>
              </w:rPr>
            </w:pPr>
          </w:p>
        </w:tc>
        <w:tc>
          <w:tcPr>
            <w:tcW w:w="54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June 30,</w:t>
            </w:r>
          </w:p>
        </w:tc>
        <w:tc>
          <w:tcPr>
            <w:tcW w:w="500" w:type="dxa"/>
            <w:vAlign w:val="bottom"/>
            <w:gridSpan w:val="3"/>
          </w:tcPr>
          <w:p>
            <w:pPr>
              <w:jc w:val="center"/>
              <w:ind w:right="40"/>
              <w:spacing w:after="0" w:line="81" w:lineRule="exact"/>
              <w:rPr>
                <w:sz w:val="20"/>
                <w:szCs w:val="20"/>
                <w:color w:val="auto"/>
              </w:rPr>
            </w:pPr>
            <w:r>
              <w:rPr>
                <w:rFonts w:ascii="Arial" w:cs="Arial" w:eastAsia="Arial" w:hAnsi="Arial"/>
                <w:sz w:val="9"/>
                <w:szCs w:val="9"/>
                <w:b w:val="1"/>
                <w:bCs w:val="1"/>
                <w:color w:val="auto"/>
              </w:rPr>
              <w:t>March 31,</w:t>
            </w:r>
          </w:p>
        </w:tc>
        <w:tc>
          <w:tcPr>
            <w:tcW w:w="0" w:type="dxa"/>
            <w:vAlign w:val="bottom"/>
          </w:tcPr>
          <w:p>
            <w:pPr>
              <w:spacing w:after="0"/>
              <w:rPr>
                <w:sz w:val="1"/>
                <w:szCs w:val="1"/>
                <w:color w:val="auto"/>
              </w:rPr>
            </w:pPr>
          </w:p>
        </w:tc>
      </w:tr>
      <w:tr>
        <w:trPr>
          <w:trHeight w:val="132"/>
        </w:trPr>
        <w:tc>
          <w:tcPr>
            <w:tcW w:w="16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7"/>
              <w:spacing w:after="0"/>
              <w:rPr>
                <w:sz w:val="20"/>
                <w:szCs w:val="20"/>
                <w:color w:val="auto"/>
              </w:rPr>
            </w:pPr>
            <w:r>
              <w:rPr>
                <w:rFonts w:ascii="Arial" w:cs="Arial" w:eastAsia="Arial" w:hAnsi="Arial"/>
                <w:sz w:val="10"/>
                <w:szCs w:val="10"/>
                <w:b w:val="1"/>
                <w:bCs w:val="1"/>
                <w:color w:val="auto"/>
                <w:w w:val="89"/>
              </w:rPr>
              <w:t>2021</w:t>
            </w:r>
          </w:p>
        </w:tc>
        <w:tc>
          <w:tcPr>
            <w:tcW w:w="80" w:type="dxa"/>
            <w:vAlign w:val="bottom"/>
          </w:tcPr>
          <w:p>
            <w:pPr>
              <w:spacing w:after="0"/>
              <w:rPr>
                <w:sz w:val="11"/>
                <w:szCs w:val="11"/>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1"/>
                <w:szCs w:val="11"/>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27"/>
              <w:spacing w:after="0"/>
              <w:rPr>
                <w:sz w:val="20"/>
                <w:szCs w:val="20"/>
                <w:color w:val="auto"/>
              </w:rPr>
            </w:pPr>
            <w:r>
              <w:rPr>
                <w:rFonts w:ascii="Arial" w:cs="Arial" w:eastAsia="Arial" w:hAnsi="Arial"/>
                <w:sz w:val="10"/>
                <w:szCs w:val="10"/>
                <w:b w:val="1"/>
                <w:bCs w:val="1"/>
                <w:color w:val="auto"/>
                <w:w w:val="98"/>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7"/>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1"/>
                <w:szCs w:val="11"/>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0"/>
                <w:szCs w:val="10"/>
                <w:b w:val="1"/>
                <w:bCs w:val="1"/>
                <w:color w:val="auto"/>
              </w:rPr>
              <w:t>2020</w:t>
            </w:r>
          </w:p>
        </w:tc>
        <w:tc>
          <w:tcPr>
            <w:tcW w:w="620" w:type="dxa"/>
            <w:vAlign w:val="bottom"/>
            <w:gridSpan w:val="2"/>
          </w:tcPr>
          <w:p>
            <w:pPr>
              <w:jc w:val="center"/>
              <w:ind w:left="129"/>
              <w:spacing w:after="0"/>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27"/>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28"/>
              <w:spacing w:after="0"/>
              <w:rPr>
                <w:sz w:val="20"/>
                <w:szCs w:val="20"/>
                <w:color w:val="auto"/>
              </w:rPr>
            </w:pPr>
            <w:r>
              <w:rPr>
                <w:rFonts w:ascii="Arial" w:cs="Arial" w:eastAsia="Arial" w:hAnsi="Arial"/>
                <w:sz w:val="10"/>
                <w:szCs w:val="10"/>
                <w:b w:val="1"/>
                <w:bCs w:val="1"/>
                <w:color w:val="auto"/>
                <w:w w:val="89"/>
              </w:rPr>
              <w:t>2019</w:t>
            </w:r>
          </w:p>
        </w:tc>
        <w:tc>
          <w:tcPr>
            <w:tcW w:w="260" w:type="dxa"/>
            <w:vAlign w:val="bottom"/>
            <w:tcBorders>
              <w:right w:val="single" w:sz="8" w:color="auto"/>
            </w:tcBorders>
          </w:tcPr>
          <w:p>
            <w:pPr>
              <w:spacing w:after="0"/>
              <w:rPr>
                <w:sz w:val="11"/>
                <w:szCs w:val="11"/>
                <w:color w:val="auto"/>
              </w:rPr>
            </w:pPr>
          </w:p>
        </w:tc>
        <w:tc>
          <w:tcPr>
            <w:tcW w:w="640" w:type="dxa"/>
            <w:vAlign w:val="bottom"/>
            <w:gridSpan w:val="2"/>
          </w:tcPr>
          <w:p>
            <w:pPr>
              <w:jc w:val="center"/>
              <w:ind w:left="269"/>
              <w:spacing w:after="0"/>
              <w:rPr>
                <w:sz w:val="20"/>
                <w:szCs w:val="20"/>
                <w:color w:val="auto"/>
              </w:rPr>
            </w:pPr>
            <w:r>
              <w:rPr>
                <w:rFonts w:ascii="Arial" w:cs="Arial" w:eastAsia="Arial" w:hAnsi="Arial"/>
                <w:sz w:val="10"/>
                <w:szCs w:val="10"/>
                <w:b w:val="1"/>
                <w:bCs w:val="1"/>
                <w:color w:val="auto"/>
                <w:w w:val="89"/>
              </w:rPr>
              <w:t>2019</w:t>
            </w:r>
          </w:p>
        </w:tc>
        <w:tc>
          <w:tcPr>
            <w:tcW w:w="560" w:type="dxa"/>
            <w:vAlign w:val="bottom"/>
            <w:gridSpan w:val="2"/>
          </w:tcPr>
          <w:p>
            <w:pPr>
              <w:jc w:val="center"/>
              <w:ind w:left="149"/>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6"/>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3"/>
                <w:szCs w:val="13"/>
                <w:color w:val="auto"/>
              </w:rPr>
              <w:t>Cash paid for interest</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11,615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78"/>
              </w:rPr>
              <w:t>$ 7,933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9"/>
              </w:rPr>
              <w:t>$  8,039</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2,915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9,157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$ 6,970</w:t>
            </w:r>
          </w:p>
        </w:tc>
        <w:tc>
          <w:tcPr>
            <w:tcW w:w="1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center"/>
              <w:spacing w:after="0" w:line="139" w:lineRule="exact"/>
              <w:rPr>
                <w:sz w:val="20"/>
                <w:szCs w:val="20"/>
                <w:color w:val="auto"/>
              </w:rPr>
            </w:pPr>
            <w:r>
              <w:rPr>
                <w:rFonts w:ascii="Arial" w:cs="Arial" w:eastAsia="Arial" w:hAnsi="Arial"/>
                <w:sz w:val="13"/>
                <w:szCs w:val="13"/>
                <w:color w:val="auto"/>
                <w:w w:val="93"/>
              </w:rPr>
              <w:t>$  6,916</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7,326</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2,613</w:t>
            </w:r>
          </w:p>
        </w:tc>
        <w:tc>
          <w:tcPr>
            <w:tcW w:w="260" w:type="dxa"/>
            <w:vAlign w:val="bottom"/>
            <w:tcBorders>
              <w:top w:val="single" w:sz="8" w:color="CCEEFF"/>
              <w:right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160"/>
              <w:spacing w:after="0" w:line="13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w w:val="93"/>
              </w:rPr>
              <w:t>$  138</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139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-111760</wp:posOffset>
            </wp:positionV>
            <wp:extent cx="241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-111760</wp:posOffset>
            </wp:positionV>
            <wp:extent cx="158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hanging="403"/>
        <w:spacing w:after="0"/>
        <w:tabs>
          <w:tab w:leader="none" w:pos="8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Net cash provided by (used in) investing activities includes purchases of property, equipment and other assets as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27"/>
        </w:trPr>
        <w:tc>
          <w:tcPr>
            <w:tcW w:w="2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Successor</w:t>
            </w: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86"/>
              </w:rPr>
              <w:t>Predecessor</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340"/>
              <w:spacing w:after="0" w:line="95" w:lineRule="exact"/>
              <w:rPr>
                <w:sz w:val="20"/>
                <w:szCs w:val="20"/>
                <w:color w:val="auto"/>
              </w:rPr>
            </w:pPr>
            <w:r>
              <w:rPr>
                <w:rFonts w:ascii="Arial" w:cs="Arial" w:eastAsia="Arial" w:hAnsi="Arial"/>
                <w:sz w:val="10"/>
                <w:szCs w:val="10"/>
                <w:b w:val="1"/>
                <w:bCs w:val="1"/>
                <w:color w:val="auto"/>
                <w:w w:val="89"/>
              </w:rPr>
              <w:t>Period</w:t>
            </w:r>
          </w:p>
        </w:tc>
        <w:tc>
          <w:tcPr>
            <w:tcW w:w="280" w:type="dxa"/>
            <w:vAlign w:val="bottom"/>
          </w:tcPr>
          <w:p>
            <w:pPr>
              <w:spacing w:after="0"/>
              <w:rPr>
                <w:sz w:val="8"/>
                <w:szCs w:val="8"/>
                <w:color w:val="auto"/>
              </w:rPr>
            </w:pPr>
          </w:p>
        </w:tc>
        <w:tc>
          <w:tcPr>
            <w:tcW w:w="40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w w:val="96"/>
              </w:rPr>
              <w:t>Period</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8"/>
              </w:rPr>
              <w:t>from</w:t>
            </w:r>
          </w:p>
        </w:tc>
        <w:tc>
          <w:tcPr>
            <w:tcW w:w="280" w:type="dxa"/>
            <w:vAlign w:val="bottom"/>
          </w:tcPr>
          <w:p>
            <w:pPr>
              <w:spacing w:after="0"/>
              <w:rPr>
                <w:sz w:val="9"/>
                <w:szCs w:val="9"/>
                <w:color w:val="auto"/>
              </w:rPr>
            </w:pPr>
          </w:p>
        </w:tc>
        <w:tc>
          <w:tcPr>
            <w:tcW w:w="4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8"/>
              </w:rPr>
              <w:t>from</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67"/>
              <w:spacing w:after="0" w:line="114" w:lineRule="exact"/>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5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52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ind w:right="67"/>
              <w:spacing w:after="0" w:line="114" w:lineRule="exact"/>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3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Three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2"/>
              </w:rPr>
              <w:t>July 16,</w:t>
            </w:r>
          </w:p>
        </w:tc>
        <w:tc>
          <w:tcPr>
            <w:tcW w:w="280" w:type="dxa"/>
            <w:vAlign w:val="bottom"/>
          </w:tcPr>
          <w:p>
            <w:pPr>
              <w:spacing w:after="0"/>
              <w:rPr>
                <w:sz w:val="9"/>
                <w:szCs w:val="9"/>
                <w:color w:val="auto"/>
              </w:rPr>
            </w:pPr>
          </w:p>
        </w:tc>
        <w:tc>
          <w:tcPr>
            <w:tcW w:w="4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6"/>
              </w:rPr>
              <w:t>July 1,</w:t>
            </w:r>
          </w:p>
        </w:tc>
        <w:tc>
          <w:tcPr>
            <w:tcW w:w="100" w:type="dxa"/>
            <w:vAlign w:val="bottom"/>
          </w:tcPr>
          <w:p>
            <w:pPr>
              <w:spacing w:after="0"/>
              <w:rPr>
                <w:sz w:val="9"/>
                <w:szCs w:val="9"/>
                <w:color w:val="auto"/>
              </w:rPr>
            </w:pPr>
          </w:p>
        </w:tc>
        <w:tc>
          <w:tcPr>
            <w:tcW w:w="5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7"/>
              </w:rPr>
              <w:t>Three</w:t>
            </w: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89"/>
              </w:rPr>
              <w:t>Months</w:t>
            </w:r>
          </w:p>
        </w:tc>
        <w:tc>
          <w:tcPr>
            <w:tcW w:w="180" w:type="dxa"/>
            <w:vAlign w:val="bottom"/>
          </w:tcPr>
          <w:p>
            <w:pPr>
              <w:spacing w:after="0"/>
              <w:rPr>
                <w:sz w:val="9"/>
                <w:szCs w:val="9"/>
                <w:color w:val="auto"/>
              </w:rPr>
            </w:pPr>
          </w:p>
        </w:tc>
        <w:tc>
          <w:tcPr>
            <w:tcW w:w="5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Months</w:t>
            </w:r>
          </w:p>
        </w:tc>
        <w:tc>
          <w:tcPr>
            <w:tcW w:w="52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89"/>
              </w:rPr>
              <w:t>Months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5"/>
              </w:rPr>
              <w:t>Months</w:t>
            </w:r>
          </w:p>
        </w:tc>
        <w:tc>
          <w:tcPr>
            <w:tcW w:w="3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Months</w:t>
            </w:r>
          </w:p>
        </w:tc>
        <w:tc>
          <w:tcPr>
            <w:tcW w:w="160" w:type="dxa"/>
            <w:vAlign w:val="bottom"/>
          </w:tcPr>
          <w:p>
            <w:pPr>
              <w:spacing w:after="0"/>
              <w:rPr>
                <w:sz w:val="9"/>
                <w:szCs w:val="9"/>
                <w:color w:val="auto"/>
              </w:rPr>
            </w:pPr>
          </w:p>
        </w:tc>
        <w:tc>
          <w:tcPr>
            <w:tcW w:w="62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520" w:type="dxa"/>
            <w:vAlign w:val="bottom"/>
          </w:tcPr>
          <w:p>
            <w:pPr>
              <w:jc w:val="center"/>
              <w:ind w:right="68"/>
              <w:spacing w:after="0" w:line="114" w:lineRule="exact"/>
              <w:rPr>
                <w:sz w:val="20"/>
                <w:szCs w:val="20"/>
                <w:color w:val="auto"/>
              </w:rPr>
            </w:pPr>
            <w:r>
              <w:rPr>
                <w:rFonts w:ascii="Arial" w:cs="Arial" w:eastAsia="Arial" w:hAnsi="Arial"/>
                <w:sz w:val="10"/>
                <w:szCs w:val="10"/>
                <w:b w:val="1"/>
                <w:bCs w:val="1"/>
                <w:color w:val="auto"/>
                <w:w w:val="89"/>
              </w:rPr>
              <w:t>2019</w:t>
            </w:r>
          </w:p>
        </w:tc>
        <w:tc>
          <w:tcPr>
            <w:tcW w:w="220" w:type="dxa"/>
            <w:vAlign w:val="bottom"/>
          </w:tcPr>
          <w:p>
            <w:pPr>
              <w:spacing w:after="0"/>
              <w:rPr>
                <w:sz w:val="9"/>
                <w:szCs w:val="9"/>
                <w:color w:val="auto"/>
              </w:rPr>
            </w:pPr>
          </w:p>
        </w:tc>
        <w:tc>
          <w:tcPr>
            <w:tcW w:w="620" w:type="dxa"/>
            <w:vAlign w:val="bottom"/>
            <w:gridSpan w:val="2"/>
          </w:tcPr>
          <w:p>
            <w:pPr>
              <w:jc w:val="center"/>
              <w:ind w:left="205"/>
              <w:spacing w:after="0" w:line="114" w:lineRule="exact"/>
              <w:rPr>
                <w:sz w:val="20"/>
                <w:szCs w:val="20"/>
                <w:color w:val="auto"/>
              </w:rPr>
            </w:pPr>
            <w:r>
              <w:rPr>
                <w:rFonts w:ascii="Arial" w:cs="Arial" w:eastAsia="Arial" w:hAnsi="Arial"/>
                <w:sz w:val="10"/>
                <w:szCs w:val="10"/>
                <w:b w:val="1"/>
                <w:bCs w:val="1"/>
                <w:color w:val="auto"/>
                <w:w w:val="89"/>
              </w:rPr>
              <w:t>2019</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Months</w:t>
            </w:r>
          </w:p>
        </w:tc>
        <w:tc>
          <w:tcPr>
            <w:tcW w:w="50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Months</w:t>
            </w: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5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52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1"/>
              </w:rPr>
              <w:t>Ended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4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to</w:t>
            </w:r>
          </w:p>
        </w:tc>
        <w:tc>
          <w:tcPr>
            <w:tcW w:w="280" w:type="dxa"/>
            <w:vAlign w:val="bottom"/>
          </w:tcPr>
          <w:p>
            <w:pPr>
              <w:spacing w:after="0"/>
              <w:rPr>
                <w:sz w:val="9"/>
                <w:szCs w:val="9"/>
                <w:color w:val="auto"/>
              </w:rPr>
            </w:pPr>
          </w:p>
        </w:tc>
        <w:tc>
          <w:tcPr>
            <w:tcW w:w="4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rPr>
              <w:t>to</w:t>
            </w:r>
          </w:p>
        </w:tc>
        <w:tc>
          <w:tcPr>
            <w:tcW w:w="100" w:type="dxa"/>
            <w:vAlign w:val="bottom"/>
          </w:tcPr>
          <w:p>
            <w:pPr>
              <w:spacing w:after="0"/>
              <w:rPr>
                <w:sz w:val="9"/>
                <w:szCs w:val="9"/>
                <w:color w:val="auto"/>
              </w:rPr>
            </w:pPr>
          </w:p>
        </w:tc>
        <w:tc>
          <w:tcPr>
            <w:tcW w:w="52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00"/>
        </w:trPr>
        <w:tc>
          <w:tcPr>
            <w:tcW w:w="2320" w:type="dxa"/>
            <w:vAlign w:val="bottom"/>
            <w:vMerge w:val="restart"/>
          </w:tcPr>
          <w:p>
            <w:pPr>
              <w:jc w:val="center"/>
              <w:ind w:right="61"/>
              <w:spacing w:after="0"/>
              <w:rPr>
                <w:sz w:val="20"/>
                <w:szCs w:val="20"/>
                <w:color w:val="auto"/>
              </w:rPr>
            </w:pPr>
            <w:r>
              <w:rPr>
                <w:rFonts w:ascii="Arial" w:cs="Arial" w:eastAsia="Arial" w:hAnsi="Arial"/>
                <w:sz w:val="10"/>
                <w:szCs w:val="10"/>
                <w:b w:val="1"/>
                <w:bCs w:val="1"/>
                <w:color w:val="auto"/>
                <w:w w:val="87"/>
              </w:rPr>
              <w:t>($ in thousands)</w:t>
            </w:r>
          </w:p>
        </w:tc>
        <w:tc>
          <w:tcPr>
            <w:tcW w:w="62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September 30,</w:t>
            </w:r>
          </w:p>
        </w:tc>
        <w:tc>
          <w:tcPr>
            <w:tcW w:w="180" w:type="dxa"/>
            <w:vAlign w:val="bottom"/>
          </w:tcPr>
          <w:p>
            <w:pPr>
              <w:spacing w:after="0"/>
              <w:rPr>
                <w:sz w:val="8"/>
                <w:szCs w:val="8"/>
                <w:color w:val="auto"/>
              </w:rPr>
            </w:pPr>
          </w:p>
        </w:tc>
        <w:tc>
          <w:tcPr>
            <w:tcW w:w="52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June 30,</w:t>
            </w:r>
          </w:p>
        </w:tc>
        <w:tc>
          <w:tcPr>
            <w:tcW w:w="520" w:type="dxa"/>
            <w:vAlign w:val="bottom"/>
            <w:gridSpan w:val="2"/>
          </w:tcPr>
          <w:p>
            <w:pPr>
              <w:jc w:val="center"/>
              <w:ind w:right="80"/>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8"/>
                <w:szCs w:val="8"/>
                <w:color w:val="auto"/>
              </w:rPr>
            </w:pPr>
          </w:p>
        </w:tc>
        <w:tc>
          <w:tcPr>
            <w:tcW w:w="5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w w:val="99"/>
              </w:rPr>
              <w:t>December 31,</w:t>
            </w:r>
          </w:p>
        </w:tc>
        <w:tc>
          <w:tcPr>
            <w:tcW w:w="180" w:type="dxa"/>
            <w:vAlign w:val="bottom"/>
          </w:tcPr>
          <w:p>
            <w:pPr>
              <w:spacing w:after="0"/>
              <w:rPr>
                <w:sz w:val="8"/>
                <w:szCs w:val="8"/>
                <w:color w:val="auto"/>
              </w:rPr>
            </w:pPr>
          </w:p>
        </w:tc>
        <w:tc>
          <w:tcPr>
            <w:tcW w:w="780" w:type="dxa"/>
            <w:vAlign w:val="bottom"/>
            <w:gridSpan w:val="3"/>
          </w:tcPr>
          <w:p>
            <w:pPr>
              <w:jc w:val="right"/>
              <w:ind w:right="160"/>
              <w:spacing w:after="0" w:line="81" w:lineRule="exact"/>
              <w:rPr>
                <w:sz w:val="20"/>
                <w:szCs w:val="20"/>
                <w:color w:val="auto"/>
              </w:rPr>
            </w:pPr>
            <w:r>
              <w:rPr>
                <w:rFonts w:ascii="Arial" w:cs="Arial" w:eastAsia="Arial" w:hAnsi="Arial"/>
                <w:sz w:val="9"/>
                <w:szCs w:val="9"/>
                <w:b w:val="1"/>
                <w:bCs w:val="1"/>
                <w:color w:val="auto"/>
                <w:w w:val="97"/>
              </w:rPr>
              <w:t>September 30,</w:t>
            </w:r>
          </w:p>
        </w:tc>
        <w:tc>
          <w:tcPr>
            <w:tcW w:w="36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June 30,</w:t>
            </w:r>
          </w:p>
        </w:tc>
        <w:tc>
          <w:tcPr>
            <w:tcW w:w="160" w:type="dxa"/>
            <w:vAlign w:val="bottom"/>
          </w:tcPr>
          <w:p>
            <w:pPr>
              <w:spacing w:after="0"/>
              <w:rPr>
                <w:sz w:val="8"/>
                <w:szCs w:val="8"/>
                <w:color w:val="auto"/>
              </w:rPr>
            </w:pPr>
          </w:p>
        </w:tc>
        <w:tc>
          <w:tcPr>
            <w:tcW w:w="620" w:type="dxa"/>
            <w:vAlign w:val="bottom"/>
            <w:gridSpan w:val="3"/>
          </w:tcPr>
          <w:p>
            <w:pPr>
              <w:jc w:val="center"/>
              <w:ind w:right="160"/>
              <w:spacing w:after="0" w:line="81" w:lineRule="exact"/>
              <w:rPr>
                <w:sz w:val="20"/>
                <w:szCs w:val="20"/>
                <w:color w:val="auto"/>
              </w:rPr>
            </w:pPr>
            <w:r>
              <w:rPr>
                <w:rFonts w:ascii="Arial" w:cs="Arial" w:eastAsia="Arial" w:hAnsi="Arial"/>
                <w:sz w:val="9"/>
                <w:szCs w:val="9"/>
                <w:b w:val="1"/>
                <w:bCs w:val="1"/>
                <w:color w:val="auto"/>
              </w:rPr>
              <w:t>March 31,</w:t>
            </w:r>
          </w:p>
        </w:tc>
        <w:tc>
          <w:tcPr>
            <w:tcW w:w="760" w:type="dxa"/>
            <w:vAlign w:val="bottom"/>
            <w:gridSpan w:val="3"/>
          </w:tcPr>
          <w:p>
            <w:pPr>
              <w:jc w:val="center"/>
              <w:ind w:right="180"/>
              <w:spacing w:after="0" w:line="81" w:lineRule="exact"/>
              <w:rPr>
                <w:sz w:val="20"/>
                <w:szCs w:val="20"/>
                <w:color w:val="auto"/>
              </w:rPr>
            </w:pPr>
            <w:r>
              <w:rPr>
                <w:rFonts w:ascii="Arial" w:cs="Arial" w:eastAsia="Arial" w:hAnsi="Arial"/>
                <w:sz w:val="9"/>
                <w:szCs w:val="9"/>
                <w:b w:val="1"/>
                <w:bCs w:val="1"/>
                <w:color w:val="auto"/>
                <w:w w:val="99"/>
              </w:rPr>
              <w:t>December 31,</w:t>
            </w:r>
          </w:p>
        </w:tc>
        <w:tc>
          <w:tcPr>
            <w:tcW w:w="840" w:type="dxa"/>
            <w:vAlign w:val="bottom"/>
            <w:gridSpan w:val="3"/>
          </w:tcPr>
          <w:p>
            <w:pPr>
              <w:jc w:val="center"/>
              <w:ind w:right="220"/>
              <w:spacing w:after="0" w:line="81" w:lineRule="exact"/>
              <w:rPr>
                <w:sz w:val="20"/>
                <w:szCs w:val="20"/>
                <w:color w:val="auto"/>
              </w:rPr>
            </w:pPr>
            <w:r>
              <w:rPr>
                <w:rFonts w:ascii="Arial" w:cs="Arial" w:eastAsia="Arial" w:hAnsi="Arial"/>
                <w:sz w:val="9"/>
                <w:szCs w:val="9"/>
                <w:b w:val="1"/>
                <w:bCs w:val="1"/>
                <w:color w:val="auto"/>
              </w:rPr>
              <w:t>September 30,</w:t>
            </w:r>
          </w:p>
        </w:tc>
        <w:tc>
          <w:tcPr>
            <w:tcW w:w="280" w:type="dxa"/>
            <w:vAlign w:val="bottom"/>
          </w:tcPr>
          <w:p>
            <w:pPr>
              <w:spacing w:after="0"/>
              <w:rPr>
                <w:sz w:val="8"/>
                <w:szCs w:val="8"/>
                <w:color w:val="auto"/>
              </w:rPr>
            </w:pPr>
          </w:p>
        </w:tc>
        <w:tc>
          <w:tcPr>
            <w:tcW w:w="40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July 15,</w:t>
            </w:r>
          </w:p>
        </w:tc>
        <w:tc>
          <w:tcPr>
            <w:tcW w:w="100" w:type="dxa"/>
            <w:vAlign w:val="bottom"/>
          </w:tcPr>
          <w:p>
            <w:pPr>
              <w:spacing w:after="0"/>
              <w:rPr>
                <w:sz w:val="8"/>
                <w:szCs w:val="8"/>
                <w:color w:val="auto"/>
              </w:rPr>
            </w:pPr>
          </w:p>
        </w:tc>
        <w:tc>
          <w:tcPr>
            <w:tcW w:w="52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99"/>
              </w:rPr>
              <w:t>June 30,</w:t>
            </w:r>
          </w:p>
        </w:tc>
        <w:tc>
          <w:tcPr>
            <w:tcW w:w="500" w:type="dxa"/>
            <w:vAlign w:val="bottom"/>
            <w:gridSpan w:val="3"/>
          </w:tcPr>
          <w:p>
            <w:pPr>
              <w:jc w:val="center"/>
              <w:ind w:right="40"/>
              <w:spacing w:after="0" w:line="81" w:lineRule="exact"/>
              <w:rPr>
                <w:sz w:val="20"/>
                <w:szCs w:val="20"/>
                <w:color w:val="auto"/>
              </w:rPr>
            </w:pPr>
            <w:r>
              <w:rPr>
                <w:rFonts w:ascii="Arial" w:cs="Arial" w:eastAsia="Arial" w:hAnsi="Arial"/>
                <w:sz w:val="9"/>
                <w:szCs w:val="9"/>
                <w:b w:val="1"/>
                <w:bCs w:val="1"/>
                <w:color w:val="auto"/>
              </w:rPr>
              <w:t>March 31,</w:t>
            </w:r>
          </w:p>
        </w:tc>
        <w:tc>
          <w:tcPr>
            <w:tcW w:w="0" w:type="dxa"/>
            <w:vAlign w:val="bottom"/>
          </w:tcPr>
          <w:p>
            <w:pPr>
              <w:spacing w:after="0"/>
              <w:rPr>
                <w:sz w:val="1"/>
                <w:szCs w:val="1"/>
                <w:color w:val="auto"/>
              </w:rPr>
            </w:pPr>
          </w:p>
        </w:tc>
      </w:tr>
      <w:tr>
        <w:trPr>
          <w:trHeight w:val="132"/>
        </w:trPr>
        <w:tc>
          <w:tcPr>
            <w:tcW w:w="2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2021</w:t>
            </w:r>
          </w:p>
        </w:tc>
        <w:tc>
          <w:tcPr>
            <w:tcW w:w="540" w:type="dxa"/>
            <w:vAlign w:val="bottom"/>
            <w:gridSpan w:val="2"/>
          </w:tcPr>
          <w:p>
            <w:pPr>
              <w:jc w:val="right"/>
              <w:ind w:right="31"/>
              <w:spacing w:after="0"/>
              <w:rPr>
                <w:sz w:val="20"/>
                <w:szCs w:val="20"/>
                <w:color w:val="auto"/>
              </w:rPr>
            </w:pPr>
            <w:r>
              <w:rPr>
                <w:rFonts w:ascii="Arial" w:cs="Arial" w:eastAsia="Arial" w:hAnsi="Arial"/>
                <w:sz w:val="10"/>
                <w:szCs w:val="10"/>
                <w:b w:val="1"/>
                <w:bCs w:val="1"/>
                <w:color w:val="auto"/>
              </w:rPr>
              <w:t>2021</w:t>
            </w:r>
          </w:p>
        </w:tc>
        <w:tc>
          <w:tcPr>
            <w:tcW w:w="160" w:type="dxa"/>
            <w:vAlign w:val="bottom"/>
          </w:tcPr>
          <w:p>
            <w:pPr>
              <w:spacing w:after="0"/>
              <w:rPr>
                <w:sz w:val="11"/>
                <w:szCs w:val="11"/>
                <w:color w:val="auto"/>
              </w:rPr>
            </w:pPr>
          </w:p>
        </w:tc>
        <w:tc>
          <w:tcPr>
            <w:tcW w:w="440" w:type="dxa"/>
            <w:vAlign w:val="bottom"/>
          </w:tcPr>
          <w:p>
            <w:pPr>
              <w:jc w:val="right"/>
              <w:ind w:right="68"/>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27"/>
              <w:spacing w:after="0"/>
              <w:rPr>
                <w:sz w:val="20"/>
                <w:szCs w:val="20"/>
                <w:color w:val="auto"/>
              </w:rPr>
            </w:pPr>
            <w:r>
              <w:rPr>
                <w:rFonts w:ascii="Arial" w:cs="Arial" w:eastAsia="Arial" w:hAnsi="Arial"/>
                <w:sz w:val="10"/>
                <w:szCs w:val="10"/>
                <w:b w:val="1"/>
                <w:bCs w:val="1"/>
                <w:color w:val="auto"/>
                <w:w w:val="98"/>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1"/>
                <w:szCs w:val="11"/>
                <w:color w:val="auto"/>
              </w:rPr>
            </w:pPr>
          </w:p>
        </w:tc>
        <w:tc>
          <w:tcPr>
            <w:tcW w:w="360" w:type="dxa"/>
            <w:vAlign w:val="bottom"/>
          </w:tcPr>
          <w:p>
            <w:pPr>
              <w:jc w:val="right"/>
              <w:ind w:right="28"/>
              <w:spacing w:after="0"/>
              <w:rPr>
                <w:sz w:val="20"/>
                <w:szCs w:val="20"/>
                <w:color w:val="auto"/>
              </w:rPr>
            </w:pPr>
            <w:r>
              <w:rPr>
                <w:rFonts w:ascii="Arial" w:cs="Arial" w:eastAsia="Arial" w:hAnsi="Arial"/>
                <w:sz w:val="10"/>
                <w:szCs w:val="10"/>
                <w:b w:val="1"/>
                <w:bCs w:val="1"/>
                <w:color w:val="auto"/>
              </w:rPr>
              <w:t>2020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6"/>
              <w:spacing w:after="0"/>
              <w:rPr>
                <w:sz w:val="20"/>
                <w:szCs w:val="20"/>
                <w:color w:val="auto"/>
              </w:rPr>
            </w:pPr>
            <w:r>
              <w:rPr>
                <w:rFonts w:ascii="Arial" w:cs="Arial" w:eastAsia="Arial" w:hAnsi="Arial"/>
                <w:sz w:val="10"/>
                <w:szCs w:val="10"/>
                <w:b w:val="1"/>
                <w:bCs w:val="1"/>
                <w:color w:val="auto"/>
                <w:w w:val="98"/>
              </w:rPr>
              <w:t>2020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27"/>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8"/>
              <w:spacing w:after="0"/>
              <w:rPr>
                <w:sz w:val="20"/>
                <w:szCs w:val="20"/>
                <w:color w:val="auto"/>
              </w:rPr>
            </w:pPr>
            <w:r>
              <w:rPr>
                <w:rFonts w:ascii="Arial" w:cs="Arial" w:eastAsia="Arial" w:hAnsi="Arial"/>
                <w:sz w:val="10"/>
                <w:szCs w:val="10"/>
                <w:b w:val="1"/>
                <w:bCs w:val="1"/>
                <w:color w:val="auto"/>
                <w:w w:val="89"/>
              </w:rPr>
              <w:t>2019</w:t>
            </w:r>
          </w:p>
        </w:tc>
        <w:tc>
          <w:tcPr>
            <w:tcW w:w="220" w:type="dxa"/>
            <w:vAlign w:val="bottom"/>
            <w:tcBorders>
              <w:right w:val="single" w:sz="8" w:color="auto"/>
            </w:tcBorders>
          </w:tcPr>
          <w:p>
            <w:pPr>
              <w:spacing w:after="0"/>
              <w:rPr>
                <w:sz w:val="11"/>
                <w:szCs w:val="11"/>
                <w:color w:val="auto"/>
              </w:rPr>
            </w:pPr>
          </w:p>
        </w:tc>
        <w:tc>
          <w:tcPr>
            <w:tcW w:w="620" w:type="dxa"/>
            <w:vAlign w:val="bottom"/>
            <w:gridSpan w:val="2"/>
          </w:tcPr>
          <w:p>
            <w:pPr>
              <w:jc w:val="center"/>
              <w:ind w:left="205"/>
              <w:spacing w:after="0"/>
              <w:rPr>
                <w:sz w:val="20"/>
                <w:szCs w:val="20"/>
                <w:color w:val="auto"/>
              </w:rPr>
            </w:pPr>
            <w:r>
              <w:rPr>
                <w:rFonts w:ascii="Arial" w:cs="Arial" w:eastAsia="Arial" w:hAnsi="Arial"/>
                <w:sz w:val="10"/>
                <w:szCs w:val="10"/>
                <w:b w:val="1"/>
                <w:bCs w:val="1"/>
                <w:color w:val="auto"/>
                <w:w w:val="89"/>
              </w:rPr>
              <w:t>2019</w:t>
            </w:r>
          </w:p>
        </w:tc>
        <w:tc>
          <w:tcPr>
            <w:tcW w:w="60" w:type="dxa"/>
            <w:vAlign w:val="bottom"/>
          </w:tcPr>
          <w:p>
            <w:pPr>
              <w:spacing w:after="0"/>
              <w:rPr>
                <w:sz w:val="11"/>
                <w:szCs w:val="11"/>
                <w:color w:val="auto"/>
              </w:rPr>
            </w:pPr>
          </w:p>
        </w:tc>
        <w:tc>
          <w:tcPr>
            <w:tcW w:w="460" w:type="dxa"/>
            <w:vAlign w:val="bottom"/>
            <w:gridSpan w:val="2"/>
          </w:tcPr>
          <w:p>
            <w:pPr>
              <w:jc w:val="right"/>
              <w:ind w:right="31"/>
              <w:spacing w:after="0"/>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6"/>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320" w:type="dxa"/>
            <w:vAlign w:val="bottom"/>
            <w:tcBorders>
              <w:top w:val="single" w:sz="8" w:color="CCEEFF"/>
            </w:tcBorders>
            <w:shd w:val="clear" w:color="auto" w:fill="CCEEFF"/>
          </w:tcPr>
          <w:p>
            <w:pPr>
              <w:jc w:val="center"/>
              <w:ind w:right="61"/>
              <w:spacing w:after="0" w:line="118" w:lineRule="exact"/>
              <w:rPr>
                <w:sz w:val="20"/>
                <w:szCs w:val="20"/>
                <w:color w:val="auto"/>
              </w:rPr>
            </w:pPr>
            <w:r>
              <w:rPr>
                <w:rFonts w:ascii="Arial" w:cs="Arial" w:eastAsia="Arial" w:hAnsi="Arial"/>
                <w:sz w:val="13"/>
                <w:szCs w:val="13"/>
                <w:color w:val="auto"/>
                <w:w w:val="86"/>
              </w:rPr>
              <w:t>Purchases of property, equipment and other</w:t>
            </w: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right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440</w:t>
            </w:r>
          </w:p>
        </w:tc>
        <w:tc>
          <w:tcPr>
            <w:tcW w:w="7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$ 1,380</w:t>
            </w: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w w:val="89"/>
              </w:rPr>
              <w:t>$  3,842</w:t>
            </w: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334</w:t>
            </w:r>
          </w:p>
        </w:tc>
        <w:tc>
          <w:tcPr>
            <w:tcW w:w="2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166</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  547</w:t>
            </w:r>
          </w:p>
        </w:tc>
        <w:tc>
          <w:tcPr>
            <w:tcW w:w="2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348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1,130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w:t>
            </w:r>
          </w:p>
        </w:tc>
        <w:tc>
          <w:tcPr>
            <w:tcW w:w="220" w:type="dxa"/>
            <w:vAlign w:val="bottom"/>
            <w:tcBorders>
              <w:right w:val="single" w:sz="8" w:color="auto"/>
            </w:tcBorders>
            <w:shd w:val="clear" w:color="auto" w:fill="CCEEFF"/>
          </w:tcPr>
          <w:p>
            <w:pPr>
              <w:spacing w:after="0"/>
              <w:rPr>
                <w:sz w:val="12"/>
                <w:szCs w:val="12"/>
                <w:color w:val="auto"/>
              </w:rPr>
            </w:pPr>
          </w:p>
        </w:tc>
        <w:tc>
          <w:tcPr>
            <w:tcW w:w="680" w:type="dxa"/>
            <w:vAlign w:val="bottom"/>
            <w:gridSpan w:val="3"/>
            <w:shd w:val="clear" w:color="auto" w:fill="CCEEFF"/>
          </w:tcPr>
          <w:p>
            <w:pPr>
              <w:jc w:val="center"/>
              <w:ind w:left="165"/>
              <w:spacing w:after="0" w:line="148" w:lineRule="exact"/>
              <w:rPr>
                <w:sz w:val="20"/>
                <w:szCs w:val="20"/>
                <w:color w:val="auto"/>
              </w:rPr>
            </w:pPr>
            <w:r>
              <w:rPr>
                <w:rFonts w:ascii="Arial" w:cs="Arial" w:eastAsia="Arial" w:hAnsi="Arial"/>
                <w:sz w:val="13"/>
                <w:szCs w:val="13"/>
                <w:color w:val="auto"/>
              </w:rPr>
              <w:t>$   11</w:t>
            </w:r>
          </w:p>
        </w:tc>
        <w:tc>
          <w:tcPr>
            <w:tcW w:w="62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  539</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5678170</wp:posOffset>
            </wp:positionH>
            <wp:positionV relativeFrom="paragraph">
              <wp:posOffset>-192405</wp:posOffset>
            </wp:positionV>
            <wp:extent cx="241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-192405</wp:posOffset>
            </wp:positionV>
            <wp:extent cx="158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2" w:lineRule="exact"/>
        <w:rPr>
          <w:sz w:val="20"/>
          <w:szCs w:val="20"/>
          <w:color w:val="auto"/>
        </w:rPr>
      </w:pPr>
    </w:p>
    <w:p>
      <w:pPr>
        <w:ind w:left="860" w:right="560" w:hanging="403"/>
        <w:spacing w:after="0" w:line="272"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Net cash (used in) investing activities for the period from July 16, 2019 to September 30, 2019 primarily includes cash paid for the Advent Acquisition.</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800"/>
          </w:cols>
          <w:pgMar w:left="320" w:top="465" w:right="7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Balance Sheet Items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39"/>
        </w:trPr>
        <w:tc>
          <w:tcPr>
            <w:tcW w:w="19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 in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8"/>
              </w:rPr>
              <w:t>Successor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4"/>
          </w:tcPr>
          <w:p>
            <w:pPr>
              <w:ind w:left="240"/>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rPr>
                <w:sz w:val="1"/>
                <w:szCs w:val="1"/>
                <w:color w:val="auto"/>
              </w:rPr>
            </w:pPr>
          </w:p>
        </w:tc>
      </w:tr>
      <w:tr>
        <w:trPr>
          <w:trHeight w:val="107"/>
        </w:trPr>
        <w:tc>
          <w:tcPr>
            <w:tcW w:w="1980" w:type="dxa"/>
            <w:vAlign w:val="bottom"/>
            <w:gridSpan w:val="2"/>
            <w:vMerge w:val="continue"/>
          </w:tcPr>
          <w:p>
            <w:pPr>
              <w:spacing w:after="0"/>
              <w:rPr>
                <w:sz w:val="9"/>
                <w:szCs w:val="9"/>
                <w:color w:val="auto"/>
              </w:rPr>
            </w:pPr>
          </w:p>
        </w:tc>
        <w:tc>
          <w:tcPr>
            <w:tcW w:w="780" w:type="dxa"/>
            <w:vAlign w:val="bottom"/>
            <w:tcBorders>
              <w:top w:val="single" w:sz="8" w:color="auto"/>
            </w:tcBorders>
            <w:gridSpan w:val="3"/>
          </w:tcPr>
          <w:p>
            <w:pPr>
              <w:spacing w:after="0" w:line="107" w:lineRule="exact"/>
              <w:rPr>
                <w:sz w:val="20"/>
                <w:szCs w:val="20"/>
                <w:color w:val="auto"/>
              </w:rPr>
            </w:pPr>
            <w:r>
              <w:rPr>
                <w:rFonts w:ascii="Arial" w:cs="Arial" w:eastAsia="Arial" w:hAnsi="Arial"/>
                <w:sz w:val="12"/>
                <w:szCs w:val="12"/>
                <w:b w:val="1"/>
                <w:bCs w:val="1"/>
                <w:color w:val="auto"/>
                <w:w w:val="92"/>
              </w:rPr>
              <w:t>September 30,</w:t>
            </w: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right"/>
              <w:ind w:right="220"/>
              <w:spacing w:after="0" w:line="107" w:lineRule="exact"/>
              <w:rPr>
                <w:sz w:val="20"/>
                <w:szCs w:val="20"/>
                <w:color w:val="auto"/>
              </w:rPr>
            </w:pPr>
            <w:r>
              <w:rPr>
                <w:rFonts w:ascii="Arial" w:cs="Arial" w:eastAsia="Arial" w:hAnsi="Arial"/>
                <w:sz w:val="12"/>
                <w:szCs w:val="12"/>
                <w:b w:val="1"/>
                <w:bCs w:val="1"/>
                <w:color w:val="auto"/>
                <w:w w:val="91"/>
              </w:rPr>
              <w:t>June 30,</w:t>
            </w:r>
          </w:p>
        </w:tc>
        <w:tc>
          <w:tcPr>
            <w:tcW w:w="6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rPr>
              <w:t>March 31,</w:t>
            </w:r>
          </w:p>
        </w:tc>
        <w:tc>
          <w:tcPr>
            <w:tcW w:w="820" w:type="dxa"/>
            <w:vAlign w:val="bottom"/>
            <w:tcBorders>
              <w:top w:val="single" w:sz="8" w:color="auto"/>
            </w:tcBorders>
            <w:gridSpan w:val="2"/>
          </w:tcPr>
          <w:p>
            <w:pPr>
              <w:jc w:val="right"/>
              <w:ind w:right="120"/>
              <w:spacing w:after="0" w:line="107" w:lineRule="exact"/>
              <w:rPr>
                <w:sz w:val="20"/>
                <w:szCs w:val="20"/>
                <w:color w:val="auto"/>
              </w:rPr>
            </w:pPr>
            <w:r>
              <w:rPr>
                <w:rFonts w:ascii="Arial" w:cs="Arial" w:eastAsia="Arial" w:hAnsi="Arial"/>
                <w:sz w:val="12"/>
                <w:szCs w:val="12"/>
                <w:b w:val="1"/>
                <w:bCs w:val="1"/>
                <w:color w:val="auto"/>
                <w:w w:val="87"/>
              </w:rPr>
              <w:t>December 31,</w:t>
            </w:r>
          </w:p>
        </w:tc>
        <w:tc>
          <w:tcPr>
            <w:tcW w:w="860" w:type="dxa"/>
            <w:vAlign w:val="bottom"/>
            <w:tcBorders>
              <w:top w:val="single" w:sz="8" w:color="auto"/>
            </w:tcBorders>
            <w:gridSpan w:val="3"/>
          </w:tcPr>
          <w:p>
            <w:pPr>
              <w:spacing w:after="0" w:line="107" w:lineRule="exact"/>
              <w:rPr>
                <w:sz w:val="20"/>
                <w:szCs w:val="20"/>
                <w:color w:val="auto"/>
              </w:rPr>
            </w:pPr>
            <w:r>
              <w:rPr>
                <w:rFonts w:ascii="Arial" w:cs="Arial" w:eastAsia="Arial" w:hAnsi="Arial"/>
                <w:sz w:val="12"/>
                <w:szCs w:val="12"/>
                <w:b w:val="1"/>
                <w:bCs w:val="1"/>
                <w:color w:val="auto"/>
              </w:rPr>
              <w:t>September 30,</w:t>
            </w:r>
          </w:p>
        </w:tc>
        <w:tc>
          <w:tcPr>
            <w:tcW w:w="660" w:type="dxa"/>
            <w:vAlign w:val="bottom"/>
            <w:tcBorders>
              <w:top w:val="single" w:sz="8" w:color="auto"/>
            </w:tcBorders>
            <w:gridSpan w:val="2"/>
          </w:tcPr>
          <w:p>
            <w:pPr>
              <w:ind w:left="80"/>
              <w:spacing w:after="0" w:line="107" w:lineRule="exact"/>
              <w:rPr>
                <w:sz w:val="20"/>
                <w:szCs w:val="20"/>
                <w:color w:val="auto"/>
              </w:rPr>
            </w:pPr>
            <w:r>
              <w:rPr>
                <w:rFonts w:ascii="Arial" w:cs="Arial" w:eastAsia="Arial" w:hAnsi="Arial"/>
                <w:sz w:val="12"/>
                <w:szCs w:val="12"/>
                <w:b w:val="1"/>
                <w:bCs w:val="1"/>
                <w:color w:val="auto"/>
              </w:rPr>
              <w:t>June 30</w:t>
            </w:r>
          </w:p>
        </w:tc>
        <w:tc>
          <w:tcPr>
            <w:tcW w:w="680" w:type="dxa"/>
            <w:vAlign w:val="bottom"/>
            <w:tcBorders>
              <w:top w:val="single" w:sz="8" w:color="auto"/>
            </w:tcBorders>
            <w:gridSpan w:val="2"/>
          </w:tcPr>
          <w:p>
            <w:pPr>
              <w:ind w:left="20"/>
              <w:spacing w:after="0" w:line="107" w:lineRule="exact"/>
              <w:rPr>
                <w:sz w:val="20"/>
                <w:szCs w:val="20"/>
                <w:color w:val="auto"/>
              </w:rPr>
            </w:pPr>
            <w:r>
              <w:rPr>
                <w:rFonts w:ascii="Arial" w:cs="Arial" w:eastAsia="Arial" w:hAnsi="Arial"/>
                <w:sz w:val="12"/>
                <w:szCs w:val="12"/>
                <w:b w:val="1"/>
                <w:bCs w:val="1"/>
                <w:color w:val="auto"/>
              </w:rPr>
              <w:t>March 31,</w:t>
            </w:r>
          </w:p>
        </w:tc>
        <w:tc>
          <w:tcPr>
            <w:tcW w:w="82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rPr>
              <w:t>December 31,</w:t>
            </w:r>
          </w:p>
        </w:tc>
        <w:tc>
          <w:tcPr>
            <w:tcW w:w="940" w:type="dxa"/>
            <w:vAlign w:val="bottom"/>
            <w:tcBorders>
              <w:top w:val="single" w:sz="8" w:color="auto"/>
              <w:right w:val="single" w:sz="8" w:color="auto"/>
            </w:tcBorders>
            <w:gridSpan w:val="3"/>
          </w:tcPr>
          <w:p>
            <w:pPr>
              <w:spacing w:after="0" w:line="107" w:lineRule="exact"/>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9"/>
                <w:szCs w:val="9"/>
                <w:color w:val="auto"/>
              </w:rPr>
            </w:pPr>
          </w:p>
        </w:tc>
        <w:tc>
          <w:tcPr>
            <w:tcW w:w="580" w:type="dxa"/>
            <w:vAlign w:val="bottom"/>
            <w:tcBorders>
              <w:top w:val="single" w:sz="8" w:color="auto"/>
            </w:tcBorders>
            <w:gridSpan w:val="2"/>
          </w:tcPr>
          <w:p>
            <w:pPr>
              <w:jc w:val="right"/>
              <w:ind w:right="160"/>
              <w:spacing w:after="0" w:line="107" w:lineRule="exact"/>
              <w:rPr>
                <w:sz w:val="20"/>
                <w:szCs w:val="20"/>
                <w:color w:val="auto"/>
              </w:rPr>
            </w:pPr>
            <w:r>
              <w:rPr>
                <w:rFonts w:ascii="Arial" w:cs="Arial" w:eastAsia="Arial" w:hAnsi="Arial"/>
                <w:sz w:val="12"/>
                <w:szCs w:val="12"/>
                <w:b w:val="1"/>
                <w:bCs w:val="1"/>
                <w:color w:val="auto"/>
                <w:w w:val="83"/>
              </w:rPr>
              <w:t>June 30,</w:t>
            </w:r>
          </w:p>
        </w:tc>
        <w:tc>
          <w:tcPr>
            <w:tcW w:w="52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b w:val="1"/>
                <w:bCs w:val="1"/>
                <w:color w:val="auto"/>
                <w:w w:val="90"/>
              </w:rPr>
              <w:t>March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980" w:type="dxa"/>
            <w:vAlign w:val="bottom"/>
            <w:gridSpan w:val="2"/>
          </w:tcPr>
          <w:p>
            <w:pPr>
              <w:spacing w:after="0" w:line="107" w:lineRule="exact"/>
              <w:rPr>
                <w:sz w:val="20"/>
                <w:szCs w:val="20"/>
                <w:color w:val="auto"/>
              </w:rPr>
            </w:pPr>
            <w:r>
              <w:rPr>
                <w:rFonts w:ascii="Arial" w:cs="Arial" w:eastAsia="Arial" w:hAnsi="Arial"/>
                <w:sz w:val="12"/>
                <w:szCs w:val="12"/>
                <w:b w:val="1"/>
                <w:bCs w:val="1"/>
                <w:color w:val="auto"/>
              </w:rPr>
              <w:t>thousands)</w:t>
            </w:r>
          </w:p>
        </w:tc>
        <w:tc>
          <w:tcPr>
            <w:tcW w:w="140" w:type="dxa"/>
            <w:vAlign w:val="bottom"/>
          </w:tcPr>
          <w:p>
            <w:pPr>
              <w:spacing w:after="0"/>
              <w:rPr>
                <w:sz w:val="11"/>
                <w:szCs w:val="11"/>
                <w:color w:val="auto"/>
              </w:rPr>
            </w:pPr>
          </w:p>
        </w:tc>
        <w:tc>
          <w:tcPr>
            <w:tcW w:w="580" w:type="dxa"/>
            <w:vAlign w:val="bottom"/>
          </w:tcPr>
          <w:p>
            <w:pPr>
              <w:jc w:val="right"/>
              <w:ind w:right="181"/>
              <w:spacing w:after="0" w:line="107"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1"/>
                <w:szCs w:val="11"/>
                <w:color w:val="auto"/>
              </w:rPr>
            </w:pPr>
          </w:p>
        </w:tc>
        <w:tc>
          <w:tcPr>
            <w:tcW w:w="600" w:type="dxa"/>
            <w:vAlign w:val="bottom"/>
            <w:gridSpan w:val="2"/>
          </w:tcPr>
          <w:p>
            <w:pPr>
              <w:jc w:val="right"/>
              <w:ind w:right="81"/>
              <w:spacing w:after="0" w:line="107" w:lineRule="exact"/>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1"/>
                <w:szCs w:val="11"/>
                <w:color w:val="auto"/>
              </w:rPr>
            </w:pPr>
          </w:p>
        </w:tc>
        <w:tc>
          <w:tcPr>
            <w:tcW w:w="540" w:type="dxa"/>
            <w:vAlign w:val="bottom"/>
          </w:tcPr>
          <w:p>
            <w:pPr>
              <w:jc w:val="right"/>
              <w:ind w:right="101"/>
              <w:spacing w:after="0" w:line="107" w:lineRule="exact"/>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1"/>
                <w:szCs w:val="11"/>
                <w:color w:val="auto"/>
              </w:rPr>
            </w:pPr>
          </w:p>
        </w:tc>
        <w:tc>
          <w:tcPr>
            <w:tcW w:w="700" w:type="dxa"/>
            <w:vAlign w:val="bottom"/>
          </w:tcPr>
          <w:p>
            <w:pPr>
              <w:jc w:val="right"/>
              <w:ind w:right="161"/>
              <w:spacing w:after="0" w:line="107" w:lineRule="exact"/>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81"/>
              <w:spacing w:after="0" w:line="107"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1"/>
                <w:szCs w:val="11"/>
                <w:color w:val="auto"/>
              </w:rPr>
            </w:pPr>
          </w:p>
        </w:tc>
        <w:tc>
          <w:tcPr>
            <w:tcW w:w="540" w:type="dxa"/>
            <w:vAlign w:val="bottom"/>
          </w:tcPr>
          <w:p>
            <w:pPr>
              <w:jc w:val="right"/>
              <w:ind w:right="101"/>
              <w:spacing w:after="0" w:line="107" w:lineRule="exact"/>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1"/>
                <w:szCs w:val="11"/>
                <w:color w:val="auto"/>
              </w:rPr>
            </w:pPr>
          </w:p>
        </w:tc>
        <w:tc>
          <w:tcPr>
            <w:tcW w:w="560" w:type="dxa"/>
            <w:vAlign w:val="bottom"/>
          </w:tcPr>
          <w:p>
            <w:pPr>
              <w:jc w:val="right"/>
              <w:ind w:right="101"/>
              <w:spacing w:after="0" w:line="107" w:lineRule="exact"/>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1"/>
                <w:szCs w:val="11"/>
                <w:color w:val="auto"/>
              </w:rPr>
            </w:pPr>
          </w:p>
        </w:tc>
        <w:tc>
          <w:tcPr>
            <w:tcW w:w="700" w:type="dxa"/>
            <w:vAlign w:val="bottom"/>
          </w:tcPr>
          <w:p>
            <w:pPr>
              <w:jc w:val="right"/>
              <w:ind w:right="181"/>
              <w:spacing w:after="0" w:line="107" w:lineRule="exact"/>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81"/>
              <w:spacing w:after="0" w:line="107"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right w:val="single" w:sz="8" w:color="auto"/>
            </w:tcBorders>
          </w:tcPr>
          <w:p>
            <w:pPr>
              <w:spacing w:after="0"/>
              <w:rPr>
                <w:sz w:val="11"/>
                <w:szCs w:val="11"/>
                <w:color w:val="auto"/>
              </w:rPr>
            </w:pPr>
          </w:p>
        </w:tc>
        <w:tc>
          <w:tcPr>
            <w:tcW w:w="700" w:type="dxa"/>
            <w:vAlign w:val="bottom"/>
            <w:gridSpan w:val="2"/>
          </w:tcPr>
          <w:p>
            <w:pPr>
              <w:jc w:val="right"/>
              <w:ind w:right="41"/>
              <w:spacing w:after="0" w:line="107"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1"/>
                <w:szCs w:val="11"/>
                <w:color w:val="auto"/>
              </w:rPr>
            </w:pPr>
          </w:p>
        </w:tc>
        <w:tc>
          <w:tcPr>
            <w:tcW w:w="520" w:type="dxa"/>
            <w:vAlign w:val="bottom"/>
          </w:tcPr>
          <w:p>
            <w:pPr>
              <w:jc w:val="right"/>
              <w:ind w:right="81"/>
              <w:spacing w:after="0" w:line="107" w:lineRule="exact"/>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98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Total assets</w:t>
            </w:r>
          </w:p>
        </w:tc>
        <w:tc>
          <w:tcPr>
            <w:tcW w:w="14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1,869,799</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81"/>
              </w:rPr>
              <w:t>$ 1,729,513</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81"/>
              </w:rPr>
              <w:t>$ 1,737,840</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96"/>
              </w:rPr>
              <w:t>$   1,745,359</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1,702,689</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81"/>
              </w:rPr>
              <w:t>$ 1,724,606</w:t>
            </w: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85"/>
              </w:rPr>
              <w:t>$ 1,735,228</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96"/>
              </w:rPr>
              <w:t>$   1,721,154</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1,727,382</w:t>
            </w:r>
          </w:p>
        </w:tc>
        <w:tc>
          <w:tcPr>
            <w:tcW w:w="220" w:type="dxa"/>
            <w:vAlign w:val="bottom"/>
            <w:tcBorders>
              <w:right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78"/>
              </w:rPr>
              <w:t>$ 139,976</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w w:val="88"/>
              </w:rPr>
              <w:t>$  139,984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980" w:type="dxa"/>
            <w:vAlign w:val="bottom"/>
            <w:gridSpan w:val="2"/>
          </w:tcPr>
          <w:p>
            <w:pPr>
              <w:spacing w:after="0" w:line="113" w:lineRule="exact"/>
              <w:rPr>
                <w:sz w:val="20"/>
                <w:szCs w:val="20"/>
                <w:color w:val="auto"/>
              </w:rPr>
            </w:pPr>
            <w:r>
              <w:rPr>
                <w:rFonts w:ascii="Arial" w:cs="Arial" w:eastAsia="Arial" w:hAnsi="Arial"/>
                <w:sz w:val="12"/>
                <w:szCs w:val="12"/>
                <w:color w:val="auto"/>
              </w:rPr>
              <w:t>Long-term debt (including current</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980" w:type="dxa"/>
            <w:vAlign w:val="bottom"/>
            <w:gridSpan w:val="2"/>
          </w:tcPr>
          <w:p>
            <w:pPr>
              <w:ind w:left="120"/>
              <w:spacing w:after="0"/>
              <w:rPr>
                <w:sz w:val="20"/>
                <w:szCs w:val="20"/>
                <w:color w:val="auto"/>
              </w:rPr>
            </w:pPr>
            <w:r>
              <w:rPr>
                <w:rFonts w:ascii="Arial" w:cs="Arial" w:eastAsia="Arial" w:hAnsi="Arial"/>
                <w:sz w:val="12"/>
                <w:szCs w:val="12"/>
                <w:color w:val="auto"/>
              </w:rPr>
              <w:t>portion)</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272,263</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rPr>
              <w:t>460,518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461,197</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461,877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469,786</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467,413</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465,946</w:t>
            </w:r>
          </w:p>
        </w:tc>
        <w:tc>
          <w:tcPr>
            <w:tcW w:w="700" w:type="dxa"/>
            <w:vAlign w:val="bottom"/>
          </w:tcPr>
          <w:p>
            <w:pPr>
              <w:jc w:val="right"/>
              <w:spacing w:after="0"/>
              <w:rPr>
                <w:sz w:val="20"/>
                <w:szCs w:val="20"/>
                <w:color w:val="auto"/>
              </w:rPr>
            </w:pPr>
            <w:r>
              <w:rPr>
                <w:rFonts w:ascii="Arial" w:cs="Arial" w:eastAsia="Arial" w:hAnsi="Arial"/>
                <w:sz w:val="12"/>
                <w:szCs w:val="12"/>
                <w:color w:val="auto"/>
              </w:rPr>
              <w:t>439,349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437,073</w:t>
            </w:r>
          </w:p>
        </w:tc>
        <w:tc>
          <w:tcPr>
            <w:tcW w:w="26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13,000</w:t>
            </w:r>
          </w:p>
        </w:tc>
        <w:tc>
          <w:tcPr>
            <w:tcW w:w="0" w:type="dxa"/>
            <w:vAlign w:val="bottom"/>
          </w:tcPr>
          <w:p>
            <w:pPr>
              <w:spacing w:after="0"/>
              <w:rPr>
                <w:sz w:val="1"/>
                <w:szCs w:val="1"/>
                <w:color w:val="auto"/>
              </w:rPr>
            </w:pPr>
          </w:p>
        </w:tc>
      </w:tr>
      <w:tr>
        <w:trPr>
          <w:trHeight w:val="113"/>
        </w:trPr>
        <w:tc>
          <w:tcPr>
            <w:tcW w:w="198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Unearned revenue (including current</w:t>
            </w: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tcBorders>
              <w:right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portion)</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70,179</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69,121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71,591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61,200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47,517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49,963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51,047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46,125</w:t>
            </w: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36,182</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39,707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36,809</w:t>
            </w:r>
          </w:p>
        </w:tc>
        <w:tc>
          <w:tcPr>
            <w:tcW w:w="0" w:type="dxa"/>
            <w:vAlign w:val="bottom"/>
          </w:tcPr>
          <w:p>
            <w:pPr>
              <w:spacing w:after="0"/>
              <w:rPr>
                <w:sz w:val="1"/>
                <w:szCs w:val="1"/>
                <w:color w:val="auto"/>
              </w:rPr>
            </w:pPr>
          </w:p>
        </w:tc>
      </w:tr>
      <w:tr>
        <w:trPr>
          <w:trHeight w:val="139"/>
        </w:trPr>
        <w:tc>
          <w:tcPr>
            <w:tcW w:w="1980" w:type="dxa"/>
            <w:vAlign w:val="bottom"/>
            <w:gridSpan w:val="2"/>
          </w:tcPr>
          <w:p>
            <w:pPr>
              <w:spacing w:after="0"/>
              <w:rPr>
                <w:sz w:val="20"/>
                <w:szCs w:val="20"/>
                <w:color w:val="auto"/>
              </w:rPr>
            </w:pPr>
            <w:r>
              <w:rPr>
                <w:rFonts w:ascii="Arial" w:cs="Arial" w:eastAsia="Arial" w:hAnsi="Arial"/>
                <w:sz w:val="12"/>
                <w:szCs w:val="12"/>
                <w:color w:val="auto"/>
              </w:rPr>
              <w:t>Total liabilities</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586,715</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rPr>
              <w:t>555,140</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552,196</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549,796</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522,521</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532,875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532,393</w:t>
            </w:r>
          </w:p>
        </w:tc>
        <w:tc>
          <w:tcPr>
            <w:tcW w:w="700" w:type="dxa"/>
            <w:vAlign w:val="bottom"/>
          </w:tcPr>
          <w:p>
            <w:pPr>
              <w:jc w:val="right"/>
              <w:spacing w:after="0"/>
              <w:rPr>
                <w:sz w:val="20"/>
                <w:szCs w:val="20"/>
                <w:color w:val="auto"/>
              </w:rPr>
            </w:pPr>
            <w:r>
              <w:rPr>
                <w:rFonts w:ascii="Arial" w:cs="Arial" w:eastAsia="Arial" w:hAnsi="Arial"/>
                <w:sz w:val="12"/>
                <w:szCs w:val="12"/>
                <w:color w:val="auto"/>
              </w:rPr>
              <w:t>504,914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490,579</w:t>
            </w:r>
          </w:p>
        </w:tc>
        <w:tc>
          <w:tcPr>
            <w:tcW w:w="840" w:type="dxa"/>
            <w:vAlign w:val="bottom"/>
            <w:gridSpan w:val="3"/>
          </w:tcPr>
          <w:p>
            <w:pPr>
              <w:jc w:val="right"/>
              <w:ind w:right="140"/>
              <w:spacing w:after="0"/>
              <w:rPr>
                <w:sz w:val="20"/>
                <w:szCs w:val="20"/>
                <w:color w:val="auto"/>
              </w:rPr>
            </w:pPr>
            <w:r>
              <w:rPr>
                <w:rFonts w:ascii="Arial" w:cs="Arial" w:eastAsia="Arial" w:hAnsi="Arial"/>
                <w:sz w:val="12"/>
                <w:szCs w:val="12"/>
                <w:color w:val="auto"/>
              </w:rPr>
              <w:t>44,291</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53,696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Liquidity and Capital Resources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w:t>
      </w:r>
    </w:p>
    <w:p>
      <w:pPr>
        <w:spacing w:after="0" w:line="108"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Our principal uses for liquidity have been working capital, capital expenditures to support the growth in our business, debt service, distributions to Unitholders and acquisitions. Our capital expenditures were $1.4 million, $1.2 million and $0.7 million for the year ended December 31, 2020, for the period from July 16, 2019 to December 31, 2019 (Successor), and for the period from January 1, 2019 to July 15, 2019 (Predecessor), respectively. Our capital expenditures were $5.6 million and $8.0 million for the nine months ended September 30, 2021 and 2020, respectively.</w:t>
      </w:r>
    </w:p>
    <w:p>
      <w:pPr>
        <w:spacing w:after="0" w:line="148" w:lineRule="exact"/>
        <w:rPr>
          <w:sz w:val="20"/>
          <w:szCs w:val="20"/>
          <w:color w:val="auto"/>
        </w:rPr>
      </w:pPr>
    </w:p>
    <w:p>
      <w:pPr>
        <w:ind w:left="460" w:right="60" w:firstLine="413"/>
        <w:spacing w:after="0" w:line="274" w:lineRule="auto"/>
        <w:rPr>
          <w:sz w:val="20"/>
          <w:szCs w:val="20"/>
          <w:color w:val="auto"/>
        </w:rPr>
      </w:pPr>
      <w:r>
        <w:rPr>
          <w:rFonts w:ascii="Arial" w:cs="Arial" w:eastAsia="Arial" w:hAnsi="Arial"/>
          <w:sz w:val="16"/>
          <w:szCs w:val="16"/>
          <w:color w:val="auto"/>
        </w:rPr>
        <w:t>We have historically funded our operations and growth primarily with cash flow from operations and borrowings under our Credit Agreement and equity contributions from Unitholders. As of September 30, 2021 and December 31, 2020, we had unrestricted cash and cash equivalents of $189.8 million and $24.8 million, respectively. Our total indebtedness, net of unamortized discount, was $272.3 million and $461.9 million as of September 30, 2021 and December 31, 2020, respectively. See “—Debt Obligations” and Note 8 of our consolidated financial statements included elsewhere in this prospectus for additional information related to our debt obligations and debt repayments.</w:t>
      </w:r>
    </w:p>
    <w:p>
      <w:pPr>
        <w:spacing w:after="0" w:line="165"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See Note 12 of our consolidated financial statements included elsewhere in this prospectus for additional information related to contributions and distributions from and to members of Definitive OpCo.</w:t>
      </w:r>
    </w:p>
    <w:p>
      <w:pPr>
        <w:spacing w:after="0" w:line="165" w:lineRule="exact"/>
        <w:rPr>
          <w:sz w:val="20"/>
          <w:szCs w:val="20"/>
          <w:color w:val="auto"/>
        </w:rPr>
      </w:pPr>
    </w:p>
    <w:p>
      <w:pPr>
        <w:ind w:left="460" w:right="40" w:firstLine="413"/>
        <w:spacing w:after="0" w:line="267" w:lineRule="auto"/>
        <w:rPr>
          <w:sz w:val="20"/>
          <w:szCs w:val="20"/>
          <w:color w:val="auto"/>
        </w:rPr>
      </w:pPr>
      <w:r>
        <w:rPr>
          <w:rFonts w:ascii="Arial" w:cs="Arial" w:eastAsia="Arial" w:hAnsi="Arial"/>
          <w:sz w:val="16"/>
          <w:szCs w:val="16"/>
          <w:color w:val="auto"/>
        </w:rPr>
        <w:t>Definitive Healthcare Corp. was formed for the purpose of this offering and has engaged to date only in activities in contemplation of this offering. Definitive Healthcare Corp. will be a holding company and its sole material asset will be its ownership interest in Definitive OpCo. For more information regarding our reorganization and holding company structure, see “Prospectus Summary—Organizational Structure.” Upon completion of this offering, all of our business will be conducted through Definitive OpCo and its consolidated subsidiaries and affiliates, and the financial results of Definitive OpCo and its consolidated subsidiaries will be included in the consolidated financial statements of Definitive Healthcare Corp. Definitive Healthcare Corp. has no independent means of generating revenue. The limited liability company agreement of Definitive OpCo provides that certain distributions to cover the taxes and Definitive Healthcare Corp.’s obligations under the Tax Receivable Agreement will be made.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w:t>
      </w:r>
    </w:p>
    <w:p>
      <w:pPr>
        <w:spacing w:after="0" w:line="11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800"/>
          </w:cols>
          <w:pgMar w:left="320" w:top="465" w:right="77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77" w:lineRule="auto"/>
        <w:rPr>
          <w:sz w:val="20"/>
          <w:szCs w:val="20"/>
          <w:color w:val="auto"/>
        </w:rPr>
      </w:pPr>
      <w:r>
        <w:rPr>
          <w:rFonts w:ascii="Arial" w:cs="Arial" w:eastAsia="Arial" w:hAnsi="Arial"/>
          <w:sz w:val="16"/>
          <w:szCs w:val="16"/>
          <w:color w:val="auto"/>
        </w:rPr>
        <w:t>distribution, liabilities of Definitive OpCo and DH Holdings (with certain exceptions), as applicable, exceed the fair value of its assets. Subsidiaries of DH Holdings are generally subject to similar legal limitations on their ability to make distributions to DH Holdings. See “Dividend Policy” and “Risk Factors—Risks Related to Our Organizational Structure—In certain circumstances, Definitive OpCo will be required to make distributions to us and the other Unitholders, and the distributions that Definitive OpCo will be required to make may be substantial.”</w:t>
      </w:r>
    </w:p>
    <w:p>
      <w:pPr>
        <w:spacing w:after="0" w:line="164"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We believe that our cash flow from operations, availability under the Credit Agreement and available cash and cash equivalents will be sufficient to meet our liquidity needs for at least the next twelve months. We anticipate that to the extent that we require additional liquidity, it will be funded through the proceeds from this offering, the incurrence of additional indebtedness, the issuance of additional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Accordingly, we cannot assure you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3"/>
            <w:vMerge w:val="restart"/>
          </w:tcPr>
          <w:p>
            <w:pPr>
              <w:jc w:val="center"/>
              <w:ind w:left="264"/>
              <w:spacing w:after="0"/>
              <w:rPr>
                <w:sz w:val="20"/>
                <w:szCs w:val="20"/>
                <w:color w:val="auto"/>
              </w:rPr>
            </w:pPr>
            <w:r>
              <w:rPr>
                <w:rFonts w:ascii="Arial" w:cs="Arial" w:eastAsia="Arial" w:hAnsi="Arial"/>
                <w:sz w:val="13"/>
                <w:szCs w:val="13"/>
                <w:b w:val="1"/>
                <w:bCs w:val="1"/>
                <w:color w:val="auto"/>
                <w:w w:val="96"/>
              </w:rPr>
              <w:t>Definitive OpCo</w:t>
            </w: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Definitive OpCo</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5"/>
          </w:tcPr>
          <w:p>
            <w:pPr>
              <w:jc w:val="center"/>
              <w:ind w:right="500"/>
              <w:spacing w:after="0" w:line="139" w:lineRule="exact"/>
              <w:rPr>
                <w:sz w:val="20"/>
                <w:szCs w:val="20"/>
                <w:color w:val="auto"/>
              </w:rPr>
            </w:pPr>
            <w:r>
              <w:rPr>
                <w:rFonts w:ascii="Arial" w:cs="Arial" w:eastAsia="Arial" w:hAnsi="Arial"/>
                <w:sz w:val="13"/>
                <w:szCs w:val="13"/>
                <w:b w:val="1"/>
                <w:bCs w:val="1"/>
                <w:color w:val="auto"/>
              </w:rPr>
              <w:t>(AIDH TopCo, LLC)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rPr>
              <w:t>(AIDH TopCo,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0"/>
              </w:rPr>
              <w:t>Successor Company</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Predecessor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80" w:type="dxa"/>
            <w:vAlign w:val="bottom"/>
            <w:tcBorders>
              <w:top w:val="single" w:sz="8" w:color="auto"/>
            </w:tcBorders>
            <w:gridSpan w:val="5"/>
            <w:vMerge w:val="restart"/>
          </w:tcPr>
          <w:p>
            <w:pPr>
              <w:jc w:val="right"/>
              <w:ind w:right="620"/>
              <w:spacing w:after="0"/>
              <w:rPr>
                <w:sz w:val="20"/>
                <w:szCs w:val="20"/>
                <w:color w:val="auto"/>
              </w:rPr>
            </w:pPr>
            <w:r>
              <w:rPr>
                <w:rFonts w:ascii="Arial" w:cs="Arial" w:eastAsia="Arial" w:hAnsi="Arial"/>
                <w:sz w:val="13"/>
                <w:szCs w:val="13"/>
                <w:b w:val="1"/>
                <w:bCs w:val="1"/>
                <w:color w:val="auto"/>
                <w:w w:val="95"/>
              </w:rPr>
              <w:t>Nine Months Ended September 30,</w:t>
            </w:r>
          </w:p>
        </w:tc>
        <w:tc>
          <w:tcPr>
            <w:tcW w:w="1040" w:type="dxa"/>
            <w:vAlign w:val="bottom"/>
            <w:tcBorders>
              <w:top w:val="single" w:sz="8" w:color="auto"/>
            </w:tcBorders>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4"/>
              </w:rPr>
              <w:t>Year ended</w:t>
            </w: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42"/>
              <w:spacing w:after="0" w:line="112"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vMerge w:val="restart"/>
          </w:tcPr>
          <w:p>
            <w:pPr>
              <w:jc w:val="center"/>
              <w:ind w:right="5"/>
              <w:spacing w:after="0"/>
              <w:rPr>
                <w:sz w:val="20"/>
                <w:szCs w:val="20"/>
                <w:color w:val="auto"/>
              </w:rPr>
            </w:pPr>
            <w:r>
              <w:rPr>
                <w:rFonts w:ascii="Arial" w:cs="Arial" w:eastAsia="Arial" w:hAnsi="Arial"/>
                <w:sz w:val="13"/>
                <w:szCs w:val="13"/>
                <w:b w:val="1"/>
                <w:bCs w:val="1"/>
                <w:color w:val="auto"/>
                <w:w w:val="95"/>
              </w:rPr>
              <w:t>Period from</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80"/>
              <w:spacing w:after="0" w:line="147" w:lineRule="exact"/>
              <w:rPr>
                <w:sz w:val="20"/>
                <w:szCs w:val="20"/>
                <w:color w:val="auto"/>
              </w:rPr>
            </w:pPr>
            <w:r>
              <w:rPr>
                <w:rFonts w:ascii="Arial" w:cs="Arial" w:eastAsia="Arial" w:hAnsi="Arial"/>
                <w:sz w:val="13"/>
                <w:szCs w:val="13"/>
                <w:b w:val="1"/>
                <w:bCs w:val="1"/>
                <w:color w:val="auto"/>
                <w:w w:val="93"/>
              </w:rPr>
              <w:t>July 16, 2019 to</w:t>
            </w:r>
          </w:p>
        </w:tc>
        <w:tc>
          <w:tcPr>
            <w:tcW w:w="4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40" w:type="dxa"/>
            <w:vAlign w:val="bottom"/>
            <w:gridSpan w:val="2"/>
            <w:vMerge w:val="restart"/>
          </w:tcPr>
          <w:p>
            <w:pPr>
              <w:spacing w:after="0"/>
              <w:rPr>
                <w:sz w:val="20"/>
                <w:szCs w:val="20"/>
                <w:color w:val="auto"/>
              </w:rPr>
            </w:pPr>
            <w:r>
              <w:rPr>
                <w:rFonts w:ascii="Arial" w:cs="Arial" w:eastAsia="Arial" w:hAnsi="Arial"/>
                <w:sz w:val="13"/>
                <w:szCs w:val="13"/>
                <w:color w:val="auto"/>
              </w:rPr>
              <w:t>($ in thousands)</w:t>
            </w: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ind w:right="221"/>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vMerge w:val="restart"/>
          </w:tcPr>
          <w:p>
            <w:pPr>
              <w:jc w:val="right"/>
              <w:ind w:right="244"/>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9"/>
                <w:szCs w:val="9"/>
                <w:color w:val="auto"/>
              </w:rPr>
            </w:pPr>
          </w:p>
        </w:tc>
        <w:tc>
          <w:tcPr>
            <w:tcW w:w="1040" w:type="dxa"/>
            <w:vAlign w:val="bottom"/>
            <w:gridSpan w:val="3"/>
          </w:tcPr>
          <w:p>
            <w:pPr>
              <w:spacing w:after="0" w:line="112" w:lineRule="exact"/>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9"/>
                <w:szCs w:val="9"/>
                <w:color w:val="auto"/>
              </w:rPr>
            </w:pPr>
          </w:p>
        </w:tc>
        <w:tc>
          <w:tcPr>
            <w:tcW w:w="1020" w:type="dxa"/>
            <w:vAlign w:val="bottom"/>
            <w:gridSpan w:val="3"/>
          </w:tcPr>
          <w:p>
            <w:pPr>
              <w:jc w:val="center"/>
              <w:ind w:right="80"/>
              <w:spacing w:after="0" w:line="112" w:lineRule="exact"/>
              <w:rPr>
                <w:sz w:val="20"/>
                <w:szCs w:val="20"/>
                <w:color w:val="auto"/>
              </w:rPr>
            </w:pPr>
            <w:r>
              <w:rPr>
                <w:rFonts w:ascii="Arial" w:cs="Arial" w:eastAsia="Arial" w:hAnsi="Arial"/>
                <w:sz w:val="12"/>
                <w:szCs w:val="12"/>
                <w:b w:val="1"/>
                <w:bCs w:val="1"/>
                <w:color w:val="auto"/>
                <w:w w:val="99"/>
              </w:rPr>
              <w:t>December 31,</w:t>
            </w:r>
          </w:p>
        </w:tc>
        <w:tc>
          <w:tcPr>
            <w:tcW w:w="4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jc w:val="center"/>
              <w:ind w:right="200"/>
              <w:spacing w:after="0" w:line="112" w:lineRule="exact"/>
              <w:rPr>
                <w:sz w:val="20"/>
                <w:szCs w:val="20"/>
                <w:color w:val="auto"/>
              </w:rPr>
            </w:pPr>
            <w:r>
              <w:rPr>
                <w:rFonts w:ascii="Arial" w:cs="Arial" w:eastAsia="Arial" w:hAnsi="Arial"/>
                <w:sz w:val="12"/>
                <w:szCs w:val="12"/>
                <w:b w:val="1"/>
                <w:bCs w:val="1"/>
                <w:color w:val="auto"/>
              </w:rPr>
              <w:t>January 1, 2019 to</w:t>
            </w:r>
          </w:p>
        </w:tc>
        <w:tc>
          <w:tcPr>
            <w:tcW w:w="0" w:type="dxa"/>
            <w:vAlign w:val="bottom"/>
          </w:tcPr>
          <w:p>
            <w:pPr>
              <w:spacing w:after="0"/>
              <w:rPr>
                <w:sz w:val="1"/>
                <w:szCs w:val="1"/>
                <w:color w:val="auto"/>
              </w:rPr>
            </w:pPr>
          </w:p>
        </w:tc>
      </w:tr>
      <w:tr>
        <w:trPr>
          <w:trHeight w:val="160"/>
        </w:trPr>
        <w:tc>
          <w:tcPr>
            <w:tcW w:w="3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79"/>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2"/>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Cash provided by (used in):</w:t>
            </w: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Operating activities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20,993</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14,544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23,217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(7,133)</w:t>
            </w:r>
          </w:p>
        </w:tc>
        <w:tc>
          <w:tcPr>
            <w:tcW w:w="4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Investing activities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(5,662)</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(7,996)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(23,862)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(1,109,368)</w:t>
            </w:r>
          </w:p>
        </w:tc>
        <w:tc>
          <w:tcPr>
            <w:tcW w:w="480" w:type="dxa"/>
            <w:vAlign w:val="bottom"/>
            <w:tcBorders>
              <w:right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Financing activities</w:t>
            </w: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149,695</w:t>
            </w: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19,516</w:t>
            </w: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16,655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1,125,119</w:t>
            </w:r>
          </w:p>
        </w:tc>
        <w:tc>
          <w:tcPr>
            <w:tcW w:w="4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Change in cash and cash equivalents</w:t>
            </w: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(excluding exchange rate changes)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165,026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26,064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8,618</w:t>
            </w:r>
          </w:p>
        </w:tc>
        <w:tc>
          <w:tcPr>
            <w:tcW w:w="480" w:type="dxa"/>
            <w:vAlign w:val="bottom"/>
            <w:tcBorders>
              <w:right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 provided by (used in) Operating Activities</w:t>
      </w:r>
    </w:p>
    <w:p>
      <w:pPr>
        <w:spacing w:after="0" w:line="108" w:lineRule="exact"/>
        <w:rPr>
          <w:sz w:val="20"/>
          <w:szCs w:val="20"/>
          <w:color w:val="auto"/>
        </w:rPr>
      </w:pPr>
    </w:p>
    <w:p>
      <w:pPr>
        <w:ind w:left="460" w:right="140" w:firstLine="413"/>
        <w:spacing w:after="0" w:line="274" w:lineRule="auto"/>
        <w:rPr>
          <w:sz w:val="20"/>
          <w:szCs w:val="20"/>
          <w:color w:val="auto"/>
        </w:rPr>
      </w:pPr>
      <w:r>
        <w:rPr>
          <w:rFonts w:ascii="Arial" w:cs="Arial" w:eastAsia="Arial" w:hAnsi="Arial"/>
          <w:sz w:val="16"/>
          <w:szCs w:val="16"/>
          <w:color w:val="auto"/>
        </w:rPr>
        <w:t>Net cash provided by operations was $21.0 million during the nine months ended September 30, 2021, primarily as a result of a net loss of $46.5 million, which was offset by non-cash charges of $66.9 million. The non-cash charges were primarily comprised of amortization of intangible assets of $43.5 million, a loss on the extinguishment of the previous debt facility of $9.9 million, equity compensation costs of $4.3 million, a $3.2 million increase in the earnout liability related to the Monocl acquisition, amortization of deferred contract costs of $3.2 million, and amortization of debt issuance costs of $1.5 million. The change in operating assets and liabilities</w:t>
      </w:r>
    </w:p>
    <w:p>
      <w:pPr>
        <w:spacing w:after="0" w:line="10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800"/>
          </w:cols>
          <w:pgMar w:left="320" w:top="465" w:right="77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40"/>
        <w:spacing w:after="0" w:line="311" w:lineRule="auto"/>
        <w:rPr>
          <w:sz w:val="20"/>
          <w:szCs w:val="20"/>
          <w:color w:val="auto"/>
        </w:rPr>
      </w:pPr>
      <w:r>
        <w:rPr>
          <w:rFonts w:ascii="Arial" w:cs="Arial" w:eastAsia="Arial" w:hAnsi="Arial"/>
          <w:sz w:val="15"/>
          <w:szCs w:val="15"/>
          <w:color w:val="auto"/>
        </w:rPr>
        <w:t>was primarily the result of an increase in deferred revenue of $9.0 million due to the timing of billings and cash received in advance of revenue recognition for subscription services and a decrease in accounts receivable of $5.2 million, partially offset by an increase in deferred contract costs of $9.0 million and cash outflows resulting from lower accounts payable, accrued expenses and other current liabilities collectively of $4.0 million.</w:t>
      </w:r>
    </w:p>
    <w:p>
      <w:pPr>
        <w:spacing w:after="0" w:line="140"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Net cash provided by operations was $14.5 million during the nine months ended September 30, 2020, as a result of a net loss of $35.3 million and a change of $6.3 million in our operating assets and liabilities, which were offset by non-cash charges of $56.2 million. The non-cash charges were primarily comprised of amortization of intangible assets of $43.5 million, non-cash paid in kind interest expense of $7.4 million and amortization of debt issuance costs of $1.5 million. The change in operating assets and liabilities was primarily the result of a decrease in accounts receivable of $3.9 million and an increase in deferred revenue of $1.4 million due to the timing of billings and cash received in advance of revenue recognition for subscription services, partially offset by cash outflows resulting from lower accounts payable, accrued expenses and other current liabilities collectively of $7.3 million and an increase in deferred contract costs of $4.3 million.</w:t>
      </w:r>
    </w:p>
    <w:p>
      <w:pPr>
        <w:spacing w:after="0" w:line="172" w:lineRule="exact"/>
        <w:rPr>
          <w:sz w:val="20"/>
          <w:szCs w:val="20"/>
          <w:color w:val="auto"/>
        </w:rPr>
      </w:pPr>
    </w:p>
    <w:p>
      <w:pPr>
        <w:ind w:left="460" w:right="260" w:firstLine="413"/>
        <w:spacing w:after="0" w:line="293" w:lineRule="auto"/>
        <w:rPr>
          <w:sz w:val="20"/>
          <w:szCs w:val="20"/>
          <w:color w:val="auto"/>
        </w:rPr>
      </w:pPr>
      <w:r>
        <w:rPr>
          <w:rFonts w:ascii="Arial" w:cs="Arial" w:eastAsia="Arial" w:hAnsi="Arial"/>
          <w:sz w:val="15"/>
          <w:szCs w:val="15"/>
          <w:color w:val="auto"/>
        </w:rPr>
        <w:t>Net cash provided by operations was $23.2 million for the year ended December 31, 2020 as a result of a net loss of $51.2 million, which was offset by non-cash charges of $76.0 million, and a change of $1.6 million in our operating assets and liabilities. The non-cash charges were primarily comprised of amortization of intangible assets of $58.4 million, non-cash paid in kind interest expense of $7.4 million, changes in fair value of contingent consideration of $2.6 million and amortization of debt issuance costs of $2.1 million. The change in operating assets and liabilities was primarily the result of increases in accounts receivable of $8.3 million and deferred contract costs of $7.7 million, partially offset by an increase in deferred revenue of $12.1 million due to the timing of billings and cash received in advance of revenue recognition for subscription services.</w:t>
      </w:r>
    </w:p>
    <w:p>
      <w:pPr>
        <w:spacing w:after="0" w:line="155"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Net cash used in operations was $7.1 million for the period from July 16, 2019 to December 31, 2019 (Successor), as a result of a net loss of $49.3 million, adjusted by non-cash charges of $36.5 million and a change of $5.7 million in our operating assets and liabilities. The non-cash charges were primarily comprised of amortization of intangible assets of $30.6 million, non-cash paid in kind interest expense of $3.0 million and amortization of debt issuance costs of $1.1 million. The change in operating assets and liabilities was primarily the result of an increase in deferred revenue of $13.8 million and higher accounts payable, accrued expenses and other current liabilities of $7.4 million, partially offset by an increase in accounts receivable of $12.5 million and in deferred contract costs of $3.1 million.</w:t>
      </w:r>
    </w:p>
    <w:p>
      <w:pPr>
        <w:spacing w:after="0" w:line="167" w:lineRule="exact"/>
        <w:rPr>
          <w:sz w:val="20"/>
          <w:szCs w:val="20"/>
          <w:color w:val="auto"/>
        </w:rPr>
      </w:pPr>
    </w:p>
    <w:p>
      <w:pPr>
        <w:ind w:left="460" w:right="80" w:firstLine="413"/>
        <w:spacing w:after="0" w:line="274" w:lineRule="auto"/>
        <w:rPr>
          <w:sz w:val="20"/>
          <w:szCs w:val="20"/>
          <w:color w:val="auto"/>
        </w:rPr>
      </w:pPr>
      <w:r>
        <w:rPr>
          <w:rFonts w:ascii="Arial" w:cs="Arial" w:eastAsia="Arial" w:hAnsi="Arial"/>
          <w:sz w:val="16"/>
          <w:szCs w:val="16"/>
          <w:color w:val="auto"/>
        </w:rPr>
        <w:t>Net cash provided by operations was $28.7 million for the period from January 1, 2019 to July 15, 2019 (Predecessor), as a result of a net income of $12.9 million, adjusted by non-cash charges of $9.1 million and a change of $6.8 million in our operating assets and liabilities. The non-cash charges were primarily comprised of equity-based compensation expense of $5.8 million and amortization of intangible assets of $2.0 million. The change in operating assets and liabilities was primarily the result of an increase in deferred revenue of $4.8 million and lower accounts receivable of $3.9 million, partially offset by an increase in deferred contract costs of $2.2 million.</w:t>
      </w:r>
    </w:p>
    <w:p>
      <w:pPr>
        <w:spacing w:after="0" w:line="165"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Net cash from operations increased by $1.6 million in the year ended December 31, 2020 relative to the year ended December 31, 2019. The increase in cash flows from operations comprised increases in cash outflows related to cash interest expense, which increased by $15.7 million from the year ended December 31, 2019 compared to the year ended December 31, 2020. The increase in cash outflows was offset by a decrease in acquisition-related expenses, which decreased by $12.1 million from the year ended December 31, 2019 to the year ended December 31, 2020.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will have future impacts on our liquidity that may differ from historical trends as described below:</w:t>
      </w:r>
    </w:p>
    <w:p>
      <w:pPr>
        <w:spacing w:after="0" w:line="68" w:lineRule="exact"/>
        <w:rPr>
          <w:sz w:val="20"/>
          <w:szCs w:val="20"/>
          <w:color w:val="auto"/>
        </w:rPr>
      </w:pPr>
    </w:p>
    <w:p>
      <w:pPr>
        <w:ind w:left="1360" w:right="180" w:hanging="498"/>
        <w:spacing w:after="0" w:line="303" w:lineRule="auto"/>
        <w:tabs>
          <w:tab w:leader="none" w:pos="13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Interest paid in cash increased significantly from the year ended December 31, 2019 to the year ended December 31, 2020. This increase primarily related to the additional debt that we incurred to fund the Advent acquisition on July 16, 2019.</w:t>
      </w:r>
    </w:p>
    <w:p>
      <w:pPr>
        <w:spacing w:after="0" w:line="8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780"/>
          </w:cols>
          <w:pgMar w:left="320" w:top="465" w:right="79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140" w:hanging="498"/>
        <w:spacing w:after="0" w:line="260" w:lineRule="auto"/>
        <w:tabs>
          <w:tab w:leader="none" w:pos="1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Transaction expenses, excluding the fair value adjustment of contingent consideration, decreased significantly from the year ended December 31, 2019 to the year ended December 31, 2020. This decrease primarily related to the costs incurred in the Advent acquisition, which did not recur in 2020.</w:t>
      </w:r>
    </w:p>
    <w:p>
      <w:pPr>
        <w:spacing w:after="0" w:line="86" w:lineRule="exact"/>
        <w:rPr>
          <w:rFonts w:ascii="Arial" w:cs="Arial" w:eastAsia="Arial" w:hAnsi="Arial"/>
          <w:sz w:val="17"/>
          <w:szCs w:val="17"/>
          <w:color w:val="auto"/>
        </w:rPr>
      </w:pPr>
    </w:p>
    <w:p>
      <w:pPr>
        <w:ind w:left="1360" w:right="120" w:hanging="498"/>
        <w:spacing w:after="0" w:line="260" w:lineRule="auto"/>
        <w:tabs>
          <w:tab w:leader="none" w:pos="1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Non-recurring expenses decreased significantly from the year ended December 31, 2019 to the year ended December 31, 2020. This decrease was primarily driven by one-time expenses made in the year ended December 31, 2019 relating to initiatives for compliance and acquisition.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 used in Investing Activities</w:t>
      </w:r>
    </w:p>
    <w:p>
      <w:pPr>
        <w:spacing w:after="0" w:line="108" w:lineRule="exact"/>
        <w:rPr>
          <w:sz w:val="20"/>
          <w:szCs w:val="20"/>
          <w:color w:val="auto"/>
        </w:rPr>
      </w:pPr>
    </w:p>
    <w:p>
      <w:pPr>
        <w:ind w:left="460" w:right="620" w:firstLine="413"/>
        <w:spacing w:after="0" w:line="272" w:lineRule="auto"/>
        <w:rPr>
          <w:sz w:val="20"/>
          <w:szCs w:val="20"/>
          <w:color w:val="auto"/>
        </w:rPr>
      </w:pPr>
      <w:r>
        <w:rPr>
          <w:rFonts w:ascii="Arial" w:cs="Arial" w:eastAsia="Arial" w:hAnsi="Arial"/>
          <w:sz w:val="17"/>
          <w:szCs w:val="17"/>
          <w:color w:val="auto"/>
        </w:rPr>
        <w:t>Cash used in investing activities during the nine months ended September 30, 2021 was $5.6 million, primarily as a result of purchases of property, equipment and data of $5.2 million.</w:t>
      </w:r>
    </w:p>
    <w:p>
      <w:pPr>
        <w:spacing w:after="0" w:line="165" w:lineRule="exact"/>
        <w:rPr>
          <w:sz w:val="20"/>
          <w:szCs w:val="20"/>
          <w:color w:val="auto"/>
        </w:rPr>
      </w:pPr>
    </w:p>
    <w:p>
      <w:pPr>
        <w:ind w:left="460" w:right="640" w:firstLine="413"/>
        <w:spacing w:after="0" w:line="272" w:lineRule="auto"/>
        <w:rPr>
          <w:sz w:val="20"/>
          <w:szCs w:val="20"/>
          <w:color w:val="auto"/>
        </w:rPr>
      </w:pPr>
      <w:r>
        <w:rPr>
          <w:rFonts w:ascii="Arial" w:cs="Arial" w:eastAsia="Arial" w:hAnsi="Arial"/>
          <w:sz w:val="17"/>
          <w:szCs w:val="17"/>
          <w:color w:val="auto"/>
        </w:rPr>
        <w:t>Cash used in investing activities during the nine months ended September 30, 2020 was $8.0 million, as a result of purchases of property, equipment and data and cash paid for acquisitions</w:t>
      </w:r>
    </w:p>
    <w:p>
      <w:pPr>
        <w:spacing w:after="0" w:line="165"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Cash used in investing activities during the year ended December 31, 2020 was $23.9 million, primarily as a result of cash payments for the acquisition of Monocl of $15.5 million, and $6.9 million paid to former members for the Advent acquisition, which was included in accrued expenses at December 31, 2019, and purchases of property and equipment of $1.4 million.</w:t>
      </w:r>
    </w:p>
    <w:p>
      <w:pPr>
        <w:spacing w:after="0" w:line="175" w:lineRule="exact"/>
        <w:rPr>
          <w:sz w:val="20"/>
          <w:szCs w:val="20"/>
          <w:color w:val="auto"/>
        </w:rPr>
      </w:pPr>
    </w:p>
    <w:p>
      <w:pPr>
        <w:ind w:left="460" w:firstLine="413"/>
        <w:spacing w:after="0" w:line="340" w:lineRule="auto"/>
        <w:rPr>
          <w:sz w:val="20"/>
          <w:szCs w:val="20"/>
          <w:color w:val="auto"/>
        </w:rPr>
      </w:pPr>
      <w:r>
        <w:rPr>
          <w:rFonts w:ascii="Arial" w:cs="Arial" w:eastAsia="Arial" w:hAnsi="Arial"/>
          <w:sz w:val="15"/>
          <w:szCs w:val="15"/>
          <w:color w:val="auto"/>
        </w:rPr>
        <w:t>Cash used in investing activities for the period from July 16, 2019 to December 31, 2019 (Successor) was $1,109.4 million, primarily as a result of cash payments for the Advent acquisition of $1,105.4 million, and HSE of $2.8 million, as well as purchases of property and equipment of $1.2 million.</w:t>
      </w:r>
    </w:p>
    <w:p>
      <w:pPr>
        <w:spacing w:after="0" w:line="119"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Cash used in investing activities for the period from January 1, 2019 to July 15, 2019 (Predecessor) was $30.6 million, primarily as a result of cash payments for the acquisition of HIMSS of $29.8 million and purchases of property and equipment of $0.7 million.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 provided by (used in) Financing Activities</w:t>
      </w:r>
    </w:p>
    <w:p>
      <w:pPr>
        <w:spacing w:after="0" w:line="108"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Cash provided by financing activities during the nine months ended September 30, 2021 was $149.7 million, primarily driven by net proceeds received from the Company’s IPO in September 2021 of $360.0 million and proceeds of $275.0 million from the 2021 Term Loan under the 2021 Credit Agreement executed in the third quarter of 2021. These cash inflows were partially offset by repayments of the 2019 Term Loan of $472.7 million, distributions paid to members of $7.1 million, and payments of debt issuance costs of $3.5 million.</w:t>
      </w:r>
    </w:p>
    <w:p>
      <w:pPr>
        <w:spacing w:after="0" w:line="179"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Cash provided by financing activities during the nine months ended September 30, 2020 was $19.5 million, primarily as a result of proceeds from the Revolving Line of Credit of $25.0 million, partially offset by repayments on the 2019 Term loan of $3.4 million and distributions paid to members of $2.1 million.</w:t>
      </w:r>
    </w:p>
    <w:p>
      <w:pPr>
        <w:spacing w:after="0" w:line="175"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Cash provided from financing activities during the year ended December 31, 2020 was $16.7 million, primarily as a result of proceeds from the Delayed Draw Term Loan of $18.0 million and contributions from members of $6.4 million, partially offset by distributions to members of $2.9 million and repayments on the 2019 Term Loan and debt issuance costs of $4.7 million.</w:t>
      </w:r>
    </w:p>
    <w:p>
      <w:pPr>
        <w:spacing w:after="0" w:line="175"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Cash provided from financing activities for the period from July 16, 2019 to December 31, 2019 (Successor) was $1,125.1 million, primarily as a result of a capital contribution of $697.0 million in connection with the Advent acquisition, proceeds from the 2019 Term Loan of $450.0 million, partially offset by distributions to members of $6.5 million, payments of debt issuance costs of $14.3 million and repayments on the 2019 Term Loan of $1.1 million. See “Description of Material Indebtedness.”</w:t>
      </w:r>
    </w:p>
    <w:p>
      <w:pPr>
        <w:spacing w:after="0" w:line="34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780"/>
          </w:cols>
          <w:pgMar w:left="320" w:top="466" w:right="79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0" w:firstLine="413"/>
        <w:spacing w:after="0" w:line="272" w:lineRule="auto"/>
        <w:rPr>
          <w:sz w:val="20"/>
          <w:szCs w:val="20"/>
          <w:color w:val="auto"/>
        </w:rPr>
      </w:pPr>
      <w:r>
        <w:rPr>
          <w:rFonts w:ascii="Arial" w:cs="Arial" w:eastAsia="Arial" w:hAnsi="Arial"/>
          <w:sz w:val="17"/>
          <w:szCs w:val="17"/>
          <w:color w:val="auto"/>
        </w:rPr>
        <w:t>Cash used in financing activities for the period from January 1, 2019 to July 15, 2019 (Predecessor) was $0.5 million, primarily as a result of distributions to members of $0.5 million.</w:t>
      </w:r>
    </w:p>
    <w:p>
      <w:pPr>
        <w:spacing w:after="0" w:line="165" w:lineRule="exact"/>
        <w:rPr>
          <w:sz w:val="20"/>
          <w:szCs w:val="20"/>
          <w:color w:val="auto"/>
        </w:rPr>
      </w:pPr>
    </w:p>
    <w:p>
      <w:pPr>
        <w:ind w:left="460" w:right="200" w:firstLine="413"/>
        <w:spacing w:after="0" w:line="303" w:lineRule="auto"/>
        <w:rPr>
          <w:sz w:val="20"/>
          <w:szCs w:val="20"/>
          <w:color w:val="auto"/>
        </w:rPr>
      </w:pPr>
      <w:r>
        <w:rPr>
          <w:rFonts w:ascii="Arial" w:cs="Arial" w:eastAsia="Arial" w:hAnsi="Arial"/>
          <w:sz w:val="16"/>
          <w:szCs w:val="16"/>
          <w:color w:val="auto"/>
        </w:rPr>
        <w:t>Refer to “Debt Obligations” for additional information related to our debt obligations. Refer to Note 12 of our consolidated financial statements included elsewhere in this prospectus for additional information related to contributions and distributions from and to members.</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Debt Obligations</w:t>
      </w:r>
    </w:p>
    <w:p>
      <w:pPr>
        <w:spacing w:after="0" w:line="108"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6"/>
          <w:szCs w:val="16"/>
          <w:color w:val="auto"/>
        </w:rPr>
        <w:t>On September 17, 2021, DH Holdings entered into the Credit Agreement with Bank of America, N.A., as administrative agent, the lenders party thereto and the other parties specified therein. The Credit Agreement provides for (i) the $275 million Term Facility and (ii) $75 million Revolving Credit Facility. The Senior Credit Facilities includes certain financial covenants and the Senior Credit Facilities thereunder are guaranteed by all of DH Holdings’s wholly-owned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167" w:lineRule="exact"/>
        <w:rPr>
          <w:sz w:val="20"/>
          <w:szCs w:val="20"/>
          <w:color w:val="auto"/>
        </w:rPr>
      </w:pPr>
    </w:p>
    <w:p>
      <w:pPr>
        <w:ind w:left="460" w:right="360" w:firstLine="413"/>
        <w:spacing w:after="0" w:line="340" w:lineRule="auto"/>
        <w:rPr>
          <w:sz w:val="20"/>
          <w:szCs w:val="20"/>
          <w:color w:val="auto"/>
        </w:rPr>
      </w:pPr>
      <w:r>
        <w:rPr>
          <w:rFonts w:ascii="Arial" w:cs="Arial" w:eastAsia="Arial" w:hAnsi="Arial"/>
          <w:sz w:val="15"/>
          <w:szCs w:val="15"/>
          <w:color w:val="auto"/>
        </w:rPr>
        <w:t>The Term Facility is for $275.0 million and has a maturity date of September 17, 2026. The Term Facility was recorded net of $3.5 million in issuance costs. The issuance costs are amortized to interest expense over the term of the Term Facility using the effective interest method.</w:t>
      </w:r>
    </w:p>
    <w:p>
      <w:pPr>
        <w:spacing w:after="0" w:line="119" w:lineRule="exact"/>
        <w:rPr>
          <w:sz w:val="20"/>
          <w:szCs w:val="20"/>
          <w:color w:val="auto"/>
        </w:rPr>
      </w:pPr>
    </w:p>
    <w:p>
      <w:pPr>
        <w:ind w:left="460" w:right="300" w:firstLine="413"/>
        <w:spacing w:after="0" w:line="274" w:lineRule="auto"/>
        <w:rPr>
          <w:sz w:val="20"/>
          <w:szCs w:val="20"/>
          <w:color w:val="auto"/>
        </w:rPr>
      </w:pPr>
      <w:r>
        <w:rPr>
          <w:rFonts w:ascii="Arial" w:cs="Arial" w:eastAsia="Arial" w:hAnsi="Arial"/>
          <w:sz w:val="16"/>
          <w:szCs w:val="16"/>
          <w:color w:val="auto"/>
        </w:rPr>
        <w:t>The Term Facility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Term Facility. There was $275.0 million outstanding on the Term Facility at September 30, 2021.</w:t>
      </w:r>
    </w:p>
    <w:p>
      <w:pPr>
        <w:spacing w:after="0" w:line="16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Revolving Credit Facility is committed for $75.0 million and has a maturity date of September 17, 2026. There was no outstanding balance on the Revolving Credit Facility as of September 30, 2021.</w:t>
      </w:r>
    </w:p>
    <w:p>
      <w:pPr>
        <w:spacing w:after="0" w:line="165"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On September 17, 2021, DH Holdings repaid the outstanding principal balances of the 2019 Term Loan of $442.1 million and the Delayed Draw Term Loan of $17.9 million.</w:t>
      </w:r>
    </w:p>
    <w:p>
      <w:pPr>
        <w:spacing w:after="0" w:line="165" w:lineRule="exact"/>
        <w:rPr>
          <w:sz w:val="20"/>
          <w:szCs w:val="20"/>
          <w:color w:val="auto"/>
        </w:rPr>
      </w:pPr>
    </w:p>
    <w:p>
      <w:pPr>
        <w:ind w:left="460" w:right="460" w:firstLine="413"/>
        <w:spacing w:after="0" w:line="272" w:lineRule="auto"/>
        <w:rPr>
          <w:sz w:val="20"/>
          <w:szCs w:val="20"/>
          <w:color w:val="auto"/>
        </w:rPr>
      </w:pPr>
      <w:r>
        <w:rPr>
          <w:rFonts w:ascii="Arial" w:cs="Arial" w:eastAsia="Arial" w:hAnsi="Arial"/>
          <w:sz w:val="17"/>
          <w:szCs w:val="17"/>
          <w:color w:val="auto"/>
        </w:rPr>
        <w:t>DH Holdings was compliant with its financial covenants under the 2019 Credit Agreement. The financial covenants under the Senior Credit Facilities will apply to the Test Periods ending December 31, 2021 and thereafter.</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Capital Expenditures</w:t>
      </w:r>
    </w:p>
    <w:p>
      <w:pPr>
        <w:spacing w:after="0" w:line="112" w:lineRule="exact"/>
        <w:rPr>
          <w:sz w:val="20"/>
          <w:szCs w:val="20"/>
          <w:color w:val="auto"/>
        </w:rPr>
      </w:pPr>
    </w:p>
    <w:p>
      <w:pPr>
        <w:ind w:left="460" w:right="280" w:firstLine="413"/>
        <w:spacing w:after="0" w:line="340" w:lineRule="auto"/>
        <w:rPr>
          <w:sz w:val="20"/>
          <w:szCs w:val="20"/>
          <w:color w:val="auto"/>
        </w:rPr>
      </w:pPr>
      <w:r>
        <w:rPr>
          <w:rFonts w:ascii="Arial" w:cs="Arial" w:eastAsia="Arial" w:hAnsi="Arial"/>
          <w:sz w:val="15"/>
          <w:szCs w:val="15"/>
          <w:color w:val="auto"/>
        </w:rPr>
        <w:t>Capital expenditures increased by $4.6 million to $5.7 million for the nine months ended September 30, 2021 compared to $1.1 million for the same period in the prior year, primarily due to the purchases of data and expenditures related to the buildout of one of our office facilities.</w:t>
      </w:r>
    </w:p>
    <w:p>
      <w:pPr>
        <w:spacing w:after="0" w:line="119"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Capital expenditures decreased by $0.5 million, or 26%, to $1.4 million for the twelve months ended December 31, 2020 compared to $1.9 million in 2019 for the combined Predecessor Company and Successor Company period. The decrease was due to higher expenditures in 2019 due to office leasehold improvements made in 2019.</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780"/>
          </w:cols>
          <w:pgMar w:left="320" w:top="465" w:right="79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08"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The following table sets forth certain contractual obligations, debt obligations and commitments as of September 30, 2021, and December 31, 2020,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September 30, 2021</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11"/>
          </w:tcPr>
          <w:p>
            <w:pPr>
              <w:jc w:val="right"/>
              <w:ind w:right="880"/>
              <w:spacing w:after="0"/>
              <w:rPr>
                <w:sz w:val="20"/>
                <w:szCs w:val="20"/>
                <w:color w:val="auto"/>
              </w:rPr>
            </w:pPr>
            <w:r>
              <w:rPr>
                <w:rFonts w:ascii="Arial" w:cs="Arial" w:eastAsia="Arial" w:hAnsi="Arial"/>
                <w:sz w:val="13"/>
                <w:szCs w:val="13"/>
                <w:b w:val="1"/>
                <w:bCs w:val="1"/>
                <w:color w:val="auto"/>
                <w:w w:val="98"/>
              </w:rPr>
              <w:t>Payments Due by Period</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576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960" w:type="dxa"/>
            <w:vAlign w:val="bottom"/>
            <w:gridSpan w:val="3"/>
            <w:vMerge w:val="restart"/>
          </w:tcPr>
          <w:p>
            <w:pPr>
              <w:jc w:val="right"/>
              <w:ind w:right="50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9"/>
                <w:szCs w:val="9"/>
                <w:color w:val="auto"/>
              </w:rPr>
            </w:pPr>
          </w:p>
        </w:tc>
        <w:tc>
          <w:tcPr>
            <w:tcW w:w="940" w:type="dxa"/>
            <w:vAlign w:val="bottom"/>
            <w:gridSpan w:val="6"/>
          </w:tcPr>
          <w:p>
            <w:pPr>
              <w:spacing w:after="0" w:line="112" w:lineRule="exact"/>
              <w:rPr>
                <w:sz w:val="20"/>
                <w:szCs w:val="20"/>
                <w:color w:val="auto"/>
              </w:rPr>
            </w:pPr>
            <w:r>
              <w:rPr>
                <w:rFonts w:ascii="Arial" w:cs="Arial" w:eastAsia="Arial" w:hAnsi="Arial"/>
                <w:sz w:val="12"/>
                <w:szCs w:val="12"/>
                <w:b w:val="1"/>
                <w:bCs w:val="1"/>
                <w:color w:val="auto"/>
              </w:rPr>
              <w:t>Less Than</w:t>
            </w:r>
          </w:p>
        </w:tc>
        <w:tc>
          <w:tcPr>
            <w:tcW w:w="20" w:type="dxa"/>
            <w:vAlign w:val="bottom"/>
          </w:tcPr>
          <w:p>
            <w:pPr>
              <w:spacing w:after="0"/>
              <w:rPr>
                <w:sz w:val="9"/>
                <w:szCs w:val="9"/>
                <w:color w:val="auto"/>
              </w:rPr>
            </w:pPr>
          </w:p>
        </w:tc>
        <w:tc>
          <w:tcPr>
            <w:tcW w:w="900" w:type="dxa"/>
            <w:vAlign w:val="bottom"/>
            <w:gridSpan w:val="4"/>
            <w:vMerge w:val="restart"/>
          </w:tcPr>
          <w:p>
            <w:pPr>
              <w:jc w:val="right"/>
              <w:ind w:right="360"/>
              <w:spacing w:after="0"/>
              <w:rPr>
                <w:sz w:val="20"/>
                <w:szCs w:val="20"/>
                <w:color w:val="auto"/>
              </w:rPr>
            </w:pPr>
            <w:r>
              <w:rPr>
                <w:rFonts w:ascii="Arial" w:cs="Arial" w:eastAsia="Arial" w:hAnsi="Arial"/>
                <w:sz w:val="13"/>
                <w:szCs w:val="13"/>
                <w:b w:val="1"/>
                <w:bCs w:val="1"/>
                <w:color w:val="auto"/>
                <w:w w:val="89"/>
              </w:rPr>
              <w:t>1-3 Years</w:t>
            </w:r>
          </w:p>
        </w:tc>
        <w:tc>
          <w:tcPr>
            <w:tcW w:w="98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w w:val="96"/>
              </w:rPr>
              <w:t>3-5 Years</w:t>
            </w:r>
          </w:p>
        </w:tc>
        <w:tc>
          <w:tcPr>
            <w:tcW w:w="20" w:type="dxa"/>
            <w:vAlign w:val="bottom"/>
          </w:tcPr>
          <w:p>
            <w:pPr>
              <w:spacing w:after="0"/>
              <w:rPr>
                <w:sz w:val="9"/>
                <w:szCs w:val="9"/>
                <w:color w:val="auto"/>
              </w:rPr>
            </w:pPr>
          </w:p>
        </w:tc>
        <w:tc>
          <w:tcPr>
            <w:tcW w:w="660" w:type="dxa"/>
            <w:vAlign w:val="bottom"/>
            <w:gridSpan w:val="2"/>
          </w:tcPr>
          <w:p>
            <w:pPr>
              <w:spacing w:after="0" w:line="112" w:lineRule="exact"/>
              <w:rPr>
                <w:sz w:val="20"/>
                <w:szCs w:val="20"/>
                <w:color w:val="auto"/>
              </w:rPr>
            </w:pPr>
            <w:r>
              <w:rPr>
                <w:rFonts w:ascii="Arial" w:cs="Arial" w:eastAsia="Arial" w:hAnsi="Arial"/>
                <w:sz w:val="12"/>
                <w:szCs w:val="12"/>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5760" w:type="dxa"/>
            <w:vAlign w:val="bottom"/>
            <w:gridSpan w:val="3"/>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6"/>
          </w:tcPr>
          <w:p>
            <w:pPr>
              <w:jc w:val="right"/>
              <w:ind w:right="313"/>
              <w:spacing w:after="0" w:line="114" w:lineRule="exact"/>
              <w:rPr>
                <w:sz w:val="20"/>
                <w:szCs w:val="20"/>
                <w:color w:val="auto"/>
              </w:rPr>
            </w:pPr>
            <w:r>
              <w:rPr>
                <w:rFonts w:ascii="Arial" w:cs="Arial" w:eastAsia="Arial" w:hAnsi="Arial"/>
                <w:sz w:val="13"/>
                <w:szCs w:val="13"/>
                <w:b w:val="1"/>
                <w:bCs w:val="1"/>
                <w:color w:val="auto"/>
                <w:w w:val="94"/>
              </w:rPr>
              <w:t>One Year</w:t>
            </w:r>
          </w:p>
        </w:tc>
        <w:tc>
          <w:tcPr>
            <w:tcW w:w="2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14" w:lineRule="exact"/>
              <w:rPr>
                <w:sz w:val="20"/>
                <w:szCs w:val="20"/>
                <w:color w:val="auto"/>
              </w:rPr>
            </w:pPr>
            <w:r>
              <w:rPr>
                <w:rFonts w:ascii="Arial" w:cs="Arial" w:eastAsia="Arial" w:hAnsi="Arial"/>
                <w:sz w:val="13"/>
                <w:szCs w:val="13"/>
                <w:b w:val="1"/>
                <w:bCs w:val="1"/>
                <w:color w:val="auto"/>
              </w:rPr>
              <w:t>Five Years</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6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color w:val="auto"/>
              </w:rPr>
              <w:t>Long-term Debt Obligations</w:t>
            </w:r>
          </w:p>
        </w:tc>
        <w:tc>
          <w:tcPr>
            <w:tcW w:w="6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w w:val="87"/>
              </w:rPr>
              <w:t>$275,000</w:t>
            </w: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spacing w:after="0" w:line="180" w:lineRule="exact"/>
              <w:rPr>
                <w:sz w:val="20"/>
                <w:szCs w:val="20"/>
                <w:color w:val="auto"/>
              </w:rPr>
            </w:pPr>
            <w:r>
              <w:rPr>
                <w:rFonts w:ascii="Arial" w:cs="Arial" w:eastAsia="Arial" w:hAnsi="Arial"/>
                <w:sz w:val="17"/>
                <w:szCs w:val="17"/>
                <w:color w:val="auto"/>
              </w:rPr>
              <w:t>6,875</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$20,625</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w w:val="87"/>
              </w:rPr>
              <w:t>$247,500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480" w:type="dxa"/>
            <w:vAlign w:val="bottom"/>
            <w:tcBorders>
              <w:right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gridSpan w:val="3"/>
          </w:tcPr>
          <w:p>
            <w:pPr>
              <w:spacing w:after="0" w:line="202"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3"/>
                <w:szCs w:val="23"/>
                <w:color w:val="auto"/>
                <w:vertAlign w:val="superscript"/>
              </w:rPr>
              <w:t>(1)</w:t>
            </w:r>
          </w:p>
        </w:tc>
        <w:tc>
          <w:tcPr>
            <w:tcW w:w="960" w:type="dxa"/>
            <w:vAlign w:val="bottom"/>
            <w:gridSpan w:val="3"/>
          </w:tcPr>
          <w:p>
            <w:pPr>
              <w:jc w:val="right"/>
              <w:ind w:right="320"/>
              <w:spacing w:after="0"/>
              <w:rPr>
                <w:sz w:val="20"/>
                <w:szCs w:val="20"/>
                <w:color w:val="auto"/>
              </w:rPr>
            </w:pPr>
            <w:r>
              <w:rPr>
                <w:rFonts w:ascii="Arial" w:cs="Arial" w:eastAsia="Arial" w:hAnsi="Arial"/>
                <w:sz w:val="17"/>
                <w:szCs w:val="17"/>
                <w:color w:val="auto"/>
              </w:rPr>
              <w:t>17,171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3,100</w:t>
            </w:r>
          </w:p>
        </w:tc>
        <w:tc>
          <w:tcPr>
            <w:tcW w:w="3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4,359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4,358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5,354</w:t>
            </w:r>
          </w:p>
        </w:tc>
        <w:tc>
          <w:tcPr>
            <w:tcW w:w="0" w:type="dxa"/>
            <w:vAlign w:val="bottom"/>
          </w:tcPr>
          <w:p>
            <w:pPr>
              <w:spacing w:after="0"/>
              <w:rPr>
                <w:sz w:val="1"/>
                <w:szCs w:val="1"/>
                <w:color w:val="auto"/>
              </w:rPr>
            </w:pPr>
          </w:p>
        </w:tc>
      </w:tr>
      <w:tr>
        <w:trPr>
          <w:trHeight w:val="203"/>
        </w:trPr>
        <w:tc>
          <w:tcPr>
            <w:tcW w:w="5760" w:type="dxa"/>
            <w:vAlign w:val="bottom"/>
            <w:gridSpan w:val="3"/>
            <w:shd w:val="clear" w:color="auto" w:fill="CCEEFF"/>
          </w:tcPr>
          <w:p>
            <w:pPr>
              <w:spacing w:after="0" w:line="202"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3"/>
                <w:szCs w:val="23"/>
                <w:color w:val="auto"/>
                <w:vertAlign w:val="superscript"/>
              </w:rPr>
              <w:t>(2)</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22,426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5,672</w:t>
            </w:r>
          </w:p>
        </w:tc>
        <w:tc>
          <w:tcPr>
            <w:tcW w:w="34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12,328</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4,426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spacing w:after="0"/>
              <w:rPr>
                <w:sz w:val="20"/>
                <w:szCs w:val="20"/>
                <w:color w:val="auto"/>
              </w:rPr>
            </w:pPr>
            <w:r>
              <w:rPr>
                <w:rFonts w:ascii="Arial" w:cs="Arial" w:eastAsia="Arial" w:hAnsi="Arial"/>
                <w:sz w:val="17"/>
                <w:szCs w:val="17"/>
                <w:color w:val="auto"/>
              </w:rPr>
              <w:t>Total</w:t>
            </w: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gridSpan w:val="3"/>
            <w:vMerge w:val="continue"/>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314,597</w:t>
            </w:r>
          </w:p>
        </w:tc>
        <w:tc>
          <w:tcPr>
            <w:tcW w:w="980" w:type="dxa"/>
            <w:vAlign w:val="bottom"/>
            <w:gridSpan w:val="7"/>
          </w:tcPr>
          <w:p>
            <w:pPr>
              <w:jc w:val="right"/>
              <w:ind w:right="273"/>
              <w:spacing w:after="0"/>
              <w:rPr>
                <w:sz w:val="20"/>
                <w:szCs w:val="20"/>
                <w:color w:val="auto"/>
              </w:rPr>
            </w:pPr>
            <w:r>
              <w:rPr>
                <w:rFonts w:ascii="Arial" w:cs="Arial" w:eastAsia="Arial" w:hAnsi="Arial"/>
                <w:sz w:val="17"/>
                <w:szCs w:val="17"/>
                <w:color w:val="auto"/>
                <w:w w:val="93"/>
              </w:rPr>
              <w:t>$ 15,647</w:t>
            </w:r>
          </w:p>
        </w:tc>
        <w:tc>
          <w:tcPr>
            <w:tcW w:w="820" w:type="dxa"/>
            <w:vAlign w:val="bottom"/>
            <w:gridSpan w:val="4"/>
          </w:tcPr>
          <w:p>
            <w:pPr>
              <w:jc w:val="right"/>
              <w:ind w:right="26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37,312</w:t>
            </w: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256,284</w:t>
            </w:r>
          </w:p>
        </w:tc>
        <w:tc>
          <w:tcPr>
            <w:tcW w:w="26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5,354</w:t>
            </w: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spacing w:after="0"/>
              <w:rPr>
                <w:sz w:val="20"/>
                <w:szCs w:val="20"/>
                <w:color w:val="auto"/>
              </w:rPr>
            </w:pPr>
            <w:r>
              <w:rPr>
                <w:rFonts w:ascii="Arial" w:cs="Arial" w:eastAsia="Arial" w:hAnsi="Arial"/>
                <w:sz w:val="17"/>
                <w:szCs w:val="17"/>
                <w:color w:val="auto"/>
              </w:rPr>
              <w:t>At December 31, 2020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7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3"/>
                <w:szCs w:val="13"/>
                <w:b w:val="1"/>
                <w:bCs w:val="1"/>
                <w:color w:val="auto"/>
              </w:rPr>
              <w:t>Payments Due by Period</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760" w:type="dxa"/>
            <w:vAlign w:val="bottom"/>
            <w:gridSpan w:val="3"/>
            <w:vMerge w:val="restart"/>
          </w:tcPr>
          <w:p>
            <w:pPr>
              <w:spacing w:after="0"/>
              <w:rPr>
                <w:sz w:val="20"/>
                <w:szCs w:val="20"/>
                <w:color w:val="auto"/>
              </w:rPr>
            </w:pPr>
            <w:r>
              <w:rPr>
                <w:rFonts w:ascii="Arial" w:cs="Arial" w:eastAsia="Arial" w:hAnsi="Arial"/>
                <w:sz w:val="13"/>
                <w:szCs w:val="13"/>
                <w:color w:val="auto"/>
              </w:rPr>
              <w:t>(in thousands)</w:t>
            </w:r>
          </w:p>
        </w:tc>
        <w:tc>
          <w:tcPr>
            <w:tcW w:w="420" w:type="dxa"/>
            <w:vAlign w:val="bottom"/>
          </w:tcPr>
          <w:p>
            <w:pPr>
              <w:spacing w:after="0"/>
              <w:rPr>
                <w:sz w:val="9"/>
                <w:szCs w:val="9"/>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3"/>
          </w:tcPr>
          <w:p>
            <w:pPr>
              <w:ind w:left="20"/>
              <w:spacing w:after="0" w:line="112" w:lineRule="exact"/>
              <w:rPr>
                <w:sz w:val="20"/>
                <w:szCs w:val="20"/>
                <w:color w:val="auto"/>
              </w:rPr>
            </w:pPr>
            <w:r>
              <w:rPr>
                <w:rFonts w:ascii="Arial" w:cs="Arial" w:eastAsia="Arial" w:hAnsi="Arial"/>
                <w:sz w:val="12"/>
                <w:szCs w:val="12"/>
                <w:b w:val="1"/>
                <w:bCs w:val="1"/>
                <w:color w:val="auto"/>
                <w:w w:val="97"/>
              </w:rPr>
              <w:t>Less Than</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89"/>
              </w:rPr>
              <w:t>1-3 Years</w:t>
            </w:r>
          </w:p>
        </w:tc>
        <w:tc>
          <w:tcPr>
            <w:tcW w:w="160" w:type="dxa"/>
            <w:vAlign w:val="bottom"/>
          </w:tcPr>
          <w:p>
            <w:pPr>
              <w:spacing w:after="0"/>
              <w:rPr>
                <w:sz w:val="9"/>
                <w:szCs w:val="9"/>
                <w:color w:val="auto"/>
              </w:rPr>
            </w:pP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w w:val="89"/>
              </w:rPr>
              <w:t>3-5 Years</w:t>
            </w:r>
          </w:p>
        </w:tc>
        <w:tc>
          <w:tcPr>
            <w:tcW w:w="680" w:type="dxa"/>
            <w:vAlign w:val="bottom"/>
            <w:gridSpan w:val="3"/>
          </w:tcPr>
          <w:p>
            <w:pPr>
              <w:spacing w:after="0" w:line="112" w:lineRule="exact"/>
              <w:rPr>
                <w:sz w:val="20"/>
                <w:szCs w:val="20"/>
                <w:color w:val="auto"/>
              </w:rPr>
            </w:pPr>
            <w:r>
              <w:rPr>
                <w:rFonts w:ascii="Arial" w:cs="Arial" w:eastAsia="Arial" w:hAnsi="Arial"/>
                <w:sz w:val="12"/>
                <w:szCs w:val="12"/>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576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spacing w:after="0" w:line="114" w:lineRule="exact"/>
              <w:rPr>
                <w:sz w:val="20"/>
                <w:szCs w:val="20"/>
                <w:color w:val="auto"/>
              </w:rPr>
            </w:pPr>
            <w:r>
              <w:rPr>
                <w:rFonts w:ascii="Arial" w:cs="Arial" w:eastAsia="Arial" w:hAnsi="Arial"/>
                <w:sz w:val="13"/>
                <w:szCs w:val="13"/>
                <w:b w:val="1"/>
                <w:bCs w:val="1"/>
                <w:color w:val="auto"/>
                <w:w w:val="98"/>
              </w:rPr>
              <w:t>One Year</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14" w:lineRule="exact"/>
              <w:rPr>
                <w:sz w:val="20"/>
                <w:szCs w:val="20"/>
                <w:color w:val="auto"/>
              </w:rPr>
            </w:pPr>
            <w:r>
              <w:rPr>
                <w:rFonts w:ascii="Arial" w:cs="Arial" w:eastAsia="Arial" w:hAnsi="Arial"/>
                <w:sz w:val="13"/>
                <w:szCs w:val="13"/>
                <w:b w:val="1"/>
                <w:bCs w:val="1"/>
                <w:color w:val="auto"/>
              </w:rPr>
              <w:t>Five Years</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6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color w:val="auto"/>
              </w:rPr>
              <w:t>Long-term Debt Obligations</w:t>
            </w:r>
          </w:p>
        </w:tc>
        <w:tc>
          <w:tcPr>
            <w:tcW w:w="42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right"/>
              <w:spacing w:after="0" w:line="180" w:lineRule="exact"/>
              <w:rPr>
                <w:sz w:val="20"/>
                <w:szCs w:val="20"/>
                <w:color w:val="auto"/>
              </w:rPr>
            </w:pPr>
            <w:r>
              <w:rPr>
                <w:rFonts w:ascii="Arial" w:cs="Arial" w:eastAsia="Arial" w:hAnsi="Arial"/>
                <w:sz w:val="17"/>
                <w:szCs w:val="17"/>
                <w:color w:val="auto"/>
                <w:w w:val="90"/>
              </w:rPr>
              <w:t>$472,742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4,680</w:t>
            </w:r>
          </w:p>
        </w:tc>
        <w:tc>
          <w:tcPr>
            <w:tcW w:w="260" w:type="dxa"/>
            <w:vAlign w:val="bottom"/>
            <w:gridSpan w:val="2"/>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w w:val="95"/>
              </w:rPr>
              <w:t>$ 9,360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w w:val="95"/>
              </w:rPr>
              <w:t>$ 9,360</w:t>
            </w:r>
          </w:p>
        </w:tc>
        <w:tc>
          <w:tcPr>
            <w:tcW w:w="26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3"/>
            <w:shd w:val="clear" w:color="auto" w:fill="CCEEFF"/>
          </w:tcPr>
          <w:p>
            <w:pPr>
              <w:spacing w:after="0" w:line="180" w:lineRule="exact"/>
              <w:rPr>
                <w:sz w:val="20"/>
                <w:szCs w:val="20"/>
                <w:color w:val="auto"/>
              </w:rPr>
            </w:pPr>
            <w:r>
              <w:rPr>
                <w:rFonts w:ascii="Arial" w:cs="Arial" w:eastAsia="Arial" w:hAnsi="Arial"/>
                <w:sz w:val="17"/>
                <w:szCs w:val="17"/>
                <w:color w:val="auto"/>
                <w:w w:val="84"/>
              </w:rPr>
              <w:t>$ 449,342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gridSpan w:val="3"/>
          </w:tcPr>
          <w:p>
            <w:pPr>
              <w:spacing w:after="0" w:line="202"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3"/>
                <w:szCs w:val="23"/>
                <w:color w:val="auto"/>
                <w:vertAlign w:val="superscript"/>
              </w:rPr>
              <w:t>(1)</w:t>
            </w:r>
          </w:p>
        </w:tc>
        <w:tc>
          <w:tcPr>
            <w:tcW w:w="1080" w:type="dxa"/>
            <w:vAlign w:val="bottom"/>
            <w:gridSpan w:val="5"/>
          </w:tcPr>
          <w:p>
            <w:pPr>
              <w:jc w:val="right"/>
              <w:spacing w:after="0"/>
              <w:rPr>
                <w:sz w:val="20"/>
                <w:szCs w:val="20"/>
                <w:color w:val="auto"/>
              </w:rPr>
            </w:pPr>
            <w:r>
              <w:rPr>
                <w:rFonts w:ascii="Arial" w:cs="Arial" w:eastAsia="Arial" w:hAnsi="Arial"/>
                <w:sz w:val="17"/>
                <w:szCs w:val="17"/>
                <w:color w:val="auto"/>
              </w:rPr>
              <w:t>17,072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3,035</w:t>
            </w:r>
          </w:p>
        </w:tc>
        <w:tc>
          <w:tcPr>
            <w:tcW w:w="920" w:type="dxa"/>
            <w:vAlign w:val="bottom"/>
            <w:gridSpan w:val="5"/>
          </w:tcPr>
          <w:p>
            <w:pPr>
              <w:jc w:val="right"/>
              <w:ind w:right="100"/>
              <w:spacing w:after="0"/>
              <w:rPr>
                <w:sz w:val="20"/>
                <w:szCs w:val="20"/>
                <w:color w:val="auto"/>
              </w:rPr>
            </w:pPr>
            <w:r>
              <w:rPr>
                <w:rFonts w:ascii="Arial" w:cs="Arial" w:eastAsia="Arial" w:hAnsi="Arial"/>
                <w:sz w:val="17"/>
                <w:szCs w:val="17"/>
                <w:color w:val="auto"/>
              </w:rPr>
              <w:t>4,716</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4,531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4,790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3"/>
            <w:shd w:val="clear" w:color="auto" w:fill="CCEEFF"/>
          </w:tcPr>
          <w:p>
            <w:pPr>
              <w:spacing w:after="0" w:line="202"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3"/>
                <w:szCs w:val="23"/>
                <w:color w:val="auto"/>
                <w:vertAlign w:val="superscript"/>
              </w:rPr>
              <w:t>(2)</w:t>
            </w:r>
          </w:p>
        </w:tc>
        <w:tc>
          <w:tcPr>
            <w:tcW w:w="420" w:type="dxa"/>
            <w:vAlign w:val="bottom"/>
            <w:shd w:val="clear" w:color="auto" w:fill="CCEEFF"/>
          </w:tcPr>
          <w:p>
            <w:pPr>
              <w:spacing w:after="0"/>
              <w:rPr>
                <w:sz w:val="17"/>
                <w:szCs w:val="17"/>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22,046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5,396</w:t>
            </w:r>
          </w:p>
        </w:tc>
        <w:tc>
          <w:tcPr>
            <w:tcW w:w="260" w:type="dxa"/>
            <w:vAlign w:val="bottom"/>
            <w:gridSpan w:val="2"/>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10,355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6,295</w:t>
            </w:r>
          </w:p>
        </w:tc>
        <w:tc>
          <w:tcPr>
            <w:tcW w:w="2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60" w:type="dxa"/>
            <w:vAlign w:val="bottom"/>
            <w:gridSpan w:val="3"/>
          </w:tcPr>
          <w:p>
            <w:pPr>
              <w:spacing w:after="0"/>
              <w:rPr>
                <w:sz w:val="20"/>
                <w:szCs w:val="20"/>
                <w:color w:val="auto"/>
              </w:rPr>
            </w:pPr>
            <w:r>
              <w:rPr>
                <w:rFonts w:ascii="Arial" w:cs="Arial" w:eastAsia="Arial" w:hAnsi="Arial"/>
                <w:sz w:val="17"/>
                <w:szCs w:val="17"/>
                <w:color w:val="auto"/>
              </w:rPr>
              <w:t>Total</w:t>
            </w:r>
          </w:p>
        </w:tc>
        <w:tc>
          <w:tcPr>
            <w:tcW w:w="1080" w:type="dxa"/>
            <w:vAlign w:val="bottom"/>
            <w:gridSpan w:val="5"/>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511,860</w:t>
            </w:r>
          </w:p>
        </w:tc>
        <w:tc>
          <w:tcPr>
            <w:tcW w:w="6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13,111</w:t>
            </w:r>
          </w:p>
        </w:tc>
        <w:tc>
          <w:tcPr>
            <w:tcW w:w="920" w:type="dxa"/>
            <w:vAlign w:val="bottom"/>
            <w:gridSpan w:val="5"/>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24,431</w:t>
            </w:r>
          </w:p>
        </w:tc>
        <w:tc>
          <w:tcPr>
            <w:tcW w:w="980" w:type="dxa"/>
            <w:vAlign w:val="bottom"/>
            <w:gridSpan w:val="4"/>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20,186</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w w:val="84"/>
              </w:rPr>
              <w:t>$ 454,132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60" w:right="540" w:hanging="403"/>
        <w:spacing w:after="0" w:line="290" w:lineRule="auto"/>
        <w:tabs>
          <w:tab w:leader="none" w:pos="8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Operating lease obligations consist of minimum rental payments under noncancelable operating leases of office space as shown in Note 11. Commitments and Contingencies to the audited consolidated financial statements are included elsewhere in this prospectus.</w:t>
      </w:r>
    </w:p>
    <w:p>
      <w:pPr>
        <w:ind w:left="860" w:hanging="403"/>
        <w:spacing w:after="0"/>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Minimum purchase obligations are legally binding agreements entered into in the normal course of business.</w:t>
      </w:r>
    </w:p>
    <w:p>
      <w:pPr>
        <w:spacing w:after="0" w:line="198"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Other contractual obligations recorded on the balance sheet include the Monocl acquisition earn-out liability of $6.9 million and $5.2 million as of September 30, 2021 and December 31, 2020, respectively. The Company had the potential to make a maximum of $10.0 million and a minimum of $0.0 million (undiscounted) in earn-out payments at September 30, 2021. In April 2021, a first payment of $1.5 million was made. Assuming the achievement of the applicable performance criteria, the second and last earn-out payment of $10 million or less will be made in April 2022.</w:t>
      </w:r>
    </w:p>
    <w:p>
      <w:pPr>
        <w:spacing w:after="0" w:line="148" w:lineRule="exact"/>
        <w:rPr>
          <w:sz w:val="20"/>
          <w:szCs w:val="20"/>
          <w:color w:val="auto"/>
        </w:rPr>
      </w:pPr>
    </w:p>
    <w:p>
      <w:pPr>
        <w:jc w:val="both"/>
        <w:ind w:left="460" w:right="520" w:firstLine="413"/>
        <w:spacing w:after="0" w:line="284" w:lineRule="auto"/>
        <w:rPr>
          <w:sz w:val="20"/>
          <w:szCs w:val="20"/>
          <w:color w:val="auto"/>
        </w:rPr>
      </w:pPr>
      <w:r>
        <w:rPr>
          <w:rFonts w:ascii="Arial" w:cs="Arial" w:eastAsia="Arial" w:hAnsi="Arial"/>
          <w:sz w:val="16"/>
          <w:szCs w:val="16"/>
          <w:color w:val="auto"/>
        </w:rPr>
        <w:t>The payments we may be required to make under the Tax Receivable Agreement may be significant and are not reflected in the contractual obligations tables set forth above, as we are currently unable to estimate the amounts and timing of the payments that may be due thereunder. See “Prospectus Summary—Organizational Structure—Holding Company Structure and the Tax Receivable Agreement.”</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September 30, 2021 and December 31, 2020, we had no off-balance sheet arrangements.</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2"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We prepare our consolidated financial statements in accordance with GAAP in the U.S. While the majority of our revenue, expenses, assets and liabilities are not based on estimates, there are certain accounting principles that requires management to make judgement and estimates regarding matters that are uncertain and susceptible</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800"/>
          </w:cols>
          <w:pgMar w:left="320" w:top="466" w:right="77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spacing w:after="0" w:line="272" w:lineRule="auto"/>
        <w:rPr>
          <w:sz w:val="20"/>
          <w:szCs w:val="20"/>
          <w:color w:val="auto"/>
        </w:rPr>
      </w:pPr>
      <w:r>
        <w:rPr>
          <w:rFonts w:ascii="Arial" w:cs="Arial" w:eastAsia="Arial" w:hAnsi="Arial"/>
          <w:sz w:val="16"/>
          <w:szCs w:val="16"/>
          <w:color w:val="auto"/>
        </w:rPr>
        <w:t>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may be affected.</w:t>
      </w:r>
    </w:p>
    <w:p>
      <w:pPr>
        <w:spacing w:after="0" w:line="167"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Our significant accounting policies are discussed in Note 2. Summary of Significant Accounting Policies to our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8" w:lineRule="exact"/>
        <w:rPr>
          <w:sz w:val="20"/>
          <w:szCs w:val="20"/>
          <w:color w:val="auto"/>
        </w:rPr>
      </w:pPr>
    </w:p>
    <w:p>
      <w:pPr>
        <w:ind w:left="460" w:firstLine="413"/>
        <w:spacing w:after="0" w:line="311" w:lineRule="auto"/>
        <w:rPr>
          <w:sz w:val="20"/>
          <w:szCs w:val="20"/>
          <w:color w:val="auto"/>
        </w:rPr>
      </w:pPr>
      <w:r>
        <w:rPr>
          <w:rFonts w:ascii="Arial" w:cs="Arial" w:eastAsia="Arial" w:hAnsi="Arial"/>
          <w:sz w:val="15"/>
          <w:szCs w:val="15"/>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0"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We recognize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5"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175" w:lineRule="exact"/>
        <w:rPr>
          <w:sz w:val="20"/>
          <w:szCs w:val="20"/>
          <w:color w:val="auto"/>
        </w:rPr>
      </w:pPr>
    </w:p>
    <w:p>
      <w:pPr>
        <w:ind w:left="460" w:right="240" w:firstLine="413"/>
        <w:spacing w:after="0" w:line="256" w:lineRule="auto"/>
        <w:rPr>
          <w:sz w:val="20"/>
          <w:szCs w:val="20"/>
          <w:color w:val="auto"/>
        </w:rPr>
      </w:pPr>
      <w:r>
        <w:rPr>
          <w:rFonts w:ascii="Arial" w:cs="Arial" w:eastAsia="Arial" w:hAnsi="Arial"/>
          <w:sz w:val="17"/>
          <w:szCs w:val="17"/>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79"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79"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w:t>
      </w:r>
    </w:p>
    <w:p>
      <w:pPr>
        <w:spacing w:after="0" w:line="11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760"/>
          </w:cols>
          <w:pgMar w:left="320" w:top="465" w:right="81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80"/>
        <w:spacing w:after="0" w:line="256" w:lineRule="auto"/>
        <w:rPr>
          <w:sz w:val="20"/>
          <w:szCs w:val="20"/>
          <w:color w:val="auto"/>
        </w:rPr>
      </w:pPr>
      <w:r>
        <w:rPr>
          <w:rFonts w:ascii="Arial" w:cs="Arial" w:eastAsia="Arial" w:hAnsi="Arial"/>
          <w:sz w:val="17"/>
          <w:szCs w:val="17"/>
          <w:color w:val="auto"/>
        </w:rPr>
        <w:t>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79"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w:t>
      </w:r>
    </w:p>
    <w:p>
      <w:pPr>
        <w:spacing w:after="0" w:line="181"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The Company historically has not experienced any significant incidents that affected the defined levels of reliability and performance as required by the contracts.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8" w:lineRule="exact"/>
        <w:rPr>
          <w:sz w:val="20"/>
          <w:szCs w:val="20"/>
          <w:color w:val="auto"/>
        </w:rPr>
      </w:pPr>
    </w:p>
    <w:p>
      <w:pPr>
        <w:ind w:left="460" w:right="40" w:firstLine="413"/>
        <w:spacing w:after="0" w:line="289" w:lineRule="auto"/>
        <w:rPr>
          <w:sz w:val="20"/>
          <w:szCs w:val="20"/>
          <w:color w:val="auto"/>
        </w:rPr>
      </w:pPr>
      <w:r>
        <w:rPr>
          <w:rFonts w:ascii="Arial" w:cs="Arial" w:eastAsia="Arial" w:hAnsi="Arial"/>
          <w:sz w:val="15"/>
          <w:szCs w:val="15"/>
          <w:color w:val="auto"/>
        </w:rPr>
        <w:t>We account for business combinations using the acquisition method in accordance with ASC 805—</w:t>
      </w:r>
      <w:r>
        <w:rPr>
          <w:rFonts w:ascii="Arial" w:cs="Arial" w:eastAsia="Arial" w:hAnsi="Arial"/>
          <w:sz w:val="15"/>
          <w:szCs w:val="15"/>
          <w:i w:val="1"/>
          <w:iCs w:val="1"/>
          <w:color w:val="auto"/>
        </w:rPr>
        <w:t>Business Combinations</w:t>
      </w:r>
      <w:r>
        <w:rPr>
          <w:rFonts w:ascii="Arial" w:cs="Arial" w:eastAsia="Arial" w:hAnsi="Arial"/>
          <w:sz w:val="15"/>
          <w:szCs w:val="15"/>
          <w:color w:val="auto"/>
        </w:rPr>
        <w:t>.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57"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1"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64"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780"/>
          </w:cols>
          <w:pgMar w:left="320" w:top="466" w:right="79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Impairment of Goodwill</w:t>
      </w:r>
    </w:p>
    <w:p>
      <w:pPr>
        <w:spacing w:after="0" w:line="108" w:lineRule="exact"/>
        <w:rPr>
          <w:sz w:val="20"/>
          <w:szCs w:val="20"/>
          <w:color w:val="auto"/>
        </w:rPr>
      </w:pPr>
    </w:p>
    <w:p>
      <w:pPr>
        <w:ind w:left="460" w:right="40" w:firstLine="413"/>
        <w:spacing w:after="0" w:line="251" w:lineRule="auto"/>
        <w:rPr>
          <w:sz w:val="20"/>
          <w:szCs w:val="20"/>
          <w:color w:val="auto"/>
        </w:rPr>
      </w:pPr>
      <w:r>
        <w:rPr>
          <w:rFonts w:ascii="Arial" w:cs="Arial" w:eastAsia="Arial" w:hAnsi="Arial"/>
          <w:sz w:val="17"/>
          <w:szCs w:val="17"/>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08" w:lineRule="exact"/>
        <w:rPr>
          <w:sz w:val="20"/>
          <w:szCs w:val="20"/>
          <w:color w:val="auto"/>
        </w:rPr>
      </w:pPr>
    </w:p>
    <w:p>
      <w:pPr>
        <w:ind w:left="460" w:right="160" w:firstLine="413"/>
        <w:spacing w:after="0" w:line="311" w:lineRule="auto"/>
        <w:rPr>
          <w:sz w:val="20"/>
          <w:szCs w:val="20"/>
          <w:color w:val="auto"/>
        </w:rPr>
      </w:pPr>
      <w:r>
        <w:rPr>
          <w:rFonts w:ascii="Arial" w:cs="Arial" w:eastAsia="Arial" w:hAnsi="Arial"/>
          <w:sz w:val="15"/>
          <w:szCs w:val="15"/>
          <w:color w:val="auto"/>
        </w:rPr>
        <w:t>We periodically grant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0" w:lineRule="exact"/>
        <w:rPr>
          <w:sz w:val="20"/>
          <w:szCs w:val="20"/>
          <w:color w:val="auto"/>
        </w:rPr>
      </w:pPr>
    </w:p>
    <w:p>
      <w:pPr>
        <w:ind w:left="460" w:right="20" w:firstLine="413"/>
        <w:spacing w:after="0" w:line="289" w:lineRule="auto"/>
        <w:rPr>
          <w:sz w:val="20"/>
          <w:szCs w:val="20"/>
          <w:color w:val="auto"/>
        </w:rPr>
      </w:pPr>
      <w:r>
        <w:rPr>
          <w:rFonts w:ascii="Arial" w:cs="Arial" w:eastAsia="Arial" w:hAnsi="Arial"/>
          <w:sz w:val="15"/>
          <w:szCs w:val="15"/>
          <w:color w:val="auto"/>
        </w:rPr>
        <w:t>In June 2018, the FASB issued ASU No. 2018-07—</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which is required to be applied prospectively for fiscal years beginning after December 15, 2019 and interim periods within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years beginning after December 15, 2020, with early adoption permitted, and aligns most of the guidance on share- based payments to nonemployees with share-based payments to employees. Effective January 1, 2020, we adopted the guidance in its 2020 consolidated financial statements with no impact. We account for these profit interest units in accordance with ASC 718—</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Equity-based compensation is recognized on a straight-line basis over the requisite service period of the award, which is generally the vesting period of the respective award, based on their grant-date fair value. For the units which have a performance condition, we recognize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57" w:lineRule="exact"/>
        <w:rPr>
          <w:sz w:val="20"/>
          <w:szCs w:val="20"/>
          <w:color w:val="auto"/>
        </w:rPr>
      </w:pPr>
    </w:p>
    <w:p>
      <w:pPr>
        <w:ind w:left="460" w:right="160" w:firstLine="413"/>
        <w:spacing w:after="0" w:line="293" w:lineRule="auto"/>
        <w:rPr>
          <w:sz w:val="20"/>
          <w:szCs w:val="20"/>
          <w:color w:val="auto"/>
        </w:rPr>
      </w:pPr>
      <w:r>
        <w:rPr>
          <w:rFonts w:ascii="Arial" w:cs="Arial" w:eastAsia="Arial" w:hAnsi="Arial"/>
          <w:sz w:val="15"/>
          <w:szCs w:val="15"/>
          <w:color w:val="auto"/>
        </w:rPr>
        <w:t>We assess the fair value of the awards as of the grant date. The fair value of the units is estimated using a two-step process. First, our enterprise value is established using generally accepted valuation methodologies, including discounted cash flow analysis, guideline comparable public company analysis, and comparable transaction method. Second, the enterprise value is then allocated among the securities that comprise our capital structure using an option-pricing method based on the Black-Scholes model. For performance-based units, we used a Monte Carlo simulation analysis, which captures the impact of the performance vesting conditions to value the performance-based units. The use of the Black-Scholes model and the Monte Carlo simulation requires us to make estimates and assumptions, such as expected volatility, expected term and expected risk-free interest rate.</w:t>
      </w:r>
    </w:p>
    <w:p>
      <w:pPr>
        <w:spacing w:after="0" w:line="9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780"/>
          </w:cols>
          <w:pgMar w:left="320" w:top="465" w:right="79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nine months ended September 30, 2021, or the tax years ended December 31, 2020 and 2019, nor was it subject to state income taxes in certain jurisdictions for the tax years ended December 31, 2020 and 2019.</w:t>
      </w:r>
    </w:p>
    <w:p>
      <w:pPr>
        <w:spacing w:after="0" w:line="182" w:lineRule="exact"/>
        <w:rPr>
          <w:sz w:val="20"/>
          <w:szCs w:val="20"/>
          <w:color w:val="auto"/>
        </w:rPr>
      </w:pPr>
    </w:p>
    <w:p>
      <w:pPr>
        <w:ind w:left="460" w:right="40" w:firstLine="413"/>
        <w:spacing w:after="0" w:line="270"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We have provided for these taxes. The aggregate of such taxes is not material and is included in general and administrative expenses in the accompanied statement of operations.</w:t>
      </w:r>
    </w:p>
    <w:p>
      <w:pPr>
        <w:spacing w:after="0" w:line="172" w:lineRule="exact"/>
        <w:rPr>
          <w:sz w:val="20"/>
          <w:szCs w:val="20"/>
          <w:color w:val="auto"/>
        </w:rPr>
      </w:pPr>
    </w:p>
    <w:p>
      <w:pPr>
        <w:ind w:left="460" w:right="340" w:firstLine="413"/>
        <w:spacing w:after="0" w:line="274" w:lineRule="auto"/>
        <w:rPr>
          <w:sz w:val="20"/>
          <w:szCs w:val="20"/>
          <w:color w:val="auto"/>
        </w:rPr>
      </w:pPr>
      <w:r>
        <w:rPr>
          <w:rFonts w:ascii="Arial" w:cs="Arial" w:eastAsia="Arial" w:hAnsi="Arial"/>
          <w:sz w:val="16"/>
          <w:szCs w:val="16"/>
          <w:color w:val="auto"/>
        </w:rPr>
        <w:t>Definitive Healthcare Corp. is subject to U.S. federal, state and local income taxes with respect to its allocable share of any taxable income of Definitive OpCo and will be taxed at the prevailing corporate tax rates. In addition to tax expenses, we will also make payments under the Tax Receivable Agreement, which we expect to be significant. We anticipate that we will account for the income tax effects and corresponding Tax Receivable Agreement’s effects resulting from future taxable exchanges of LLC Units of Unitholders by us or Definitive OpCo by recognizing an increase in our deferred tax assets, based on enacted tax rates at the date of the purchase or exchange.</w:t>
      </w:r>
    </w:p>
    <w:p>
      <w:pPr>
        <w:spacing w:after="0" w:line="165"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57" w:lineRule="exact"/>
        <w:rPr>
          <w:sz w:val="20"/>
          <w:szCs w:val="20"/>
          <w:color w:val="auto"/>
        </w:rPr>
      </w:pPr>
    </w:p>
    <w:p>
      <w:pPr>
        <w:jc w:val="both"/>
        <w:ind w:left="460" w:right="100" w:firstLine="413"/>
        <w:spacing w:after="0" w:line="256"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Income Taxes</w:t>
      </w:r>
      <w:r>
        <w:rPr>
          <w:rFonts w:ascii="Arial" w:cs="Arial" w:eastAsia="Arial" w:hAnsi="Arial"/>
          <w:sz w:val="17"/>
          <w:szCs w:val="17"/>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we did not have any uncertain tax positions.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JOBS Act Accounting Election</w:t>
      </w:r>
    </w:p>
    <w:p>
      <w:pPr>
        <w:spacing w:after="0" w:line="108"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780"/>
          </w:cols>
          <w:pgMar w:left="320" w:top="466" w:right="79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0"/>
        <w:spacing w:after="0" w:line="256" w:lineRule="auto"/>
        <w:rPr>
          <w:sz w:val="20"/>
          <w:szCs w:val="20"/>
          <w:color w:val="auto"/>
        </w:rPr>
      </w:pPr>
      <w:r>
        <w:rPr>
          <w:rFonts w:ascii="Arial" w:cs="Arial" w:eastAsia="Arial" w:hAnsi="Arial"/>
          <w:sz w:val="17"/>
          <w:szCs w:val="17"/>
          <w:color w:val="auto"/>
        </w:rPr>
        <w:t>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08"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For a summary of recent accounting pronouncements applicable to our consolidated financial statements, see Note 2 to our historical consolidated financial statements included elsewhere in this prospectus.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12" w:lineRule="exact"/>
        <w:rPr>
          <w:sz w:val="20"/>
          <w:szCs w:val="20"/>
          <w:color w:val="auto"/>
        </w:rPr>
      </w:pPr>
    </w:p>
    <w:p>
      <w:pPr>
        <w:ind w:left="460" w:right="300" w:firstLine="413"/>
        <w:spacing w:after="0" w:line="303" w:lineRule="auto"/>
        <w:rPr>
          <w:sz w:val="20"/>
          <w:szCs w:val="20"/>
          <w:color w:val="auto"/>
        </w:rPr>
      </w:pPr>
      <w:r>
        <w:rPr>
          <w:rFonts w:ascii="Arial" w:cs="Arial" w:eastAsia="Arial" w:hAnsi="Arial"/>
          <w:sz w:val="16"/>
          <w:szCs w:val="16"/>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08"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Our cash, cash equivalents, and marketable securities primarily consist of cash on hand and highly liquid investments in money market funds and U.S. government securities. As of September 30, 2021 and December 31, 2020 we had cash and cash equivalents of $189.7 million and $24.8 million, respectively.</w:t>
      </w:r>
    </w:p>
    <w:p>
      <w:pPr>
        <w:spacing w:after="0" w:line="175"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Our operating results are subject to market risk from interest rate fluctuations on our Term Loans, which bears a variable interest rate based on the Eurodollar Rate. As of December 31, 2020, the total principal balance outstanding was $472.7 million. At September 30, 2021, the total principal balance outstanding was $275 million. A hypothetical 1.0% increase or decrease in the interest rate associated with borrowings under the Credit Agreement would have resulted in a $4.8 million impact to interest expense for the year ended December 31, 2020, and a $4.2 million impact for the nine months ended September 30, 2021.</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08"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Impact of Inflation</w:t>
      </w:r>
    </w:p>
    <w:p>
      <w:pPr>
        <w:spacing w:after="0" w:line="108"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780"/>
          </w:cols>
          <w:pgMar w:left="320" w:top="465" w:right="79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Credit Risk</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1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740"/>
          </w:cols>
          <w:pgMar w:left="320" w:top="466" w:right="8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BUSINESS</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Mission</w:t>
      </w:r>
    </w:p>
    <w:p>
      <w:pPr>
        <w:spacing w:after="0" w:line="112"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Our mission is to make the complex healthcare ecosystem easier to analyze, navigate and sell into by providing a comprehensive, cloud-based healthcare commercial intelligence platform.</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Overview</w:t>
      </w:r>
    </w:p>
    <w:p>
      <w:pPr>
        <w:spacing w:after="0" w:line="112" w:lineRule="exact"/>
        <w:rPr>
          <w:sz w:val="20"/>
          <w:szCs w:val="20"/>
          <w:color w:val="auto"/>
        </w:rPr>
      </w:pPr>
    </w:p>
    <w:p>
      <w:pPr>
        <w:jc w:val="both"/>
        <w:ind w:left="460" w:right="40" w:firstLine="413"/>
        <w:spacing w:after="0" w:line="256" w:lineRule="auto"/>
        <w:rPr>
          <w:sz w:val="20"/>
          <w:szCs w:val="20"/>
          <w:color w:val="auto"/>
        </w:rPr>
      </w:pPr>
      <w:r>
        <w:rPr>
          <w:rFonts w:ascii="Arial" w:cs="Arial" w:eastAsia="Arial" w:hAnsi="Arial"/>
          <w:sz w:val="17"/>
          <w:szCs w:val="17"/>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2,700 customers as of September 30, 2021.</w:t>
      </w:r>
    </w:p>
    <w:p>
      <w:pPr>
        <w:spacing w:after="0" w:line="179" w:lineRule="exact"/>
        <w:rPr>
          <w:sz w:val="20"/>
          <w:szCs w:val="20"/>
          <w:color w:val="auto"/>
        </w:rPr>
      </w:pPr>
    </w:p>
    <w:p>
      <w:pPr>
        <w:ind w:left="460" w:right="40" w:firstLine="413"/>
        <w:spacing w:after="0" w:line="293" w:lineRule="auto"/>
        <w:rPr>
          <w:sz w:val="20"/>
          <w:szCs w:val="20"/>
          <w:color w:val="auto"/>
        </w:rPr>
      </w:pPr>
      <w:r>
        <w:rPr>
          <w:rFonts w:ascii="Arial" w:cs="Arial" w:eastAsia="Arial" w:hAnsi="Arial"/>
          <w:sz w:val="15"/>
          <w:szCs w:val="15"/>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55" w:lineRule="exact"/>
        <w:rPr>
          <w:sz w:val="20"/>
          <w:szCs w:val="20"/>
          <w:color w:val="auto"/>
        </w:rPr>
      </w:pPr>
    </w:p>
    <w:p>
      <w:pPr>
        <w:ind w:left="460" w:right="180" w:firstLine="413"/>
        <w:spacing w:after="0" w:line="277" w:lineRule="auto"/>
        <w:rPr>
          <w:sz w:val="20"/>
          <w:szCs w:val="20"/>
          <w:color w:val="auto"/>
        </w:rPr>
      </w:pPr>
      <w:r>
        <w:rPr>
          <w:rFonts w:ascii="Arial" w:cs="Arial" w:eastAsia="Arial" w:hAnsi="Arial"/>
          <w:sz w:val="16"/>
          <w:szCs w:val="16"/>
          <w:color w:val="auto"/>
        </w:rPr>
        <w:t>Our customers include Life Sciences companies,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customers use the Definitive Healthcare platform in many ways to drive commercial success, including:</w:t>
      </w:r>
    </w:p>
    <w:p>
      <w:pPr>
        <w:spacing w:after="0" w:line="121" w:lineRule="exact"/>
        <w:rPr>
          <w:sz w:val="20"/>
          <w:szCs w:val="20"/>
          <w:color w:val="auto"/>
        </w:rPr>
      </w:pPr>
    </w:p>
    <w:p>
      <w:pPr>
        <w:ind w:left="860" w:hanging="301"/>
        <w:spacing w:after="0"/>
        <w:tabs>
          <w:tab w:leader="none" w:pos="860"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Sales: </w:t>
      </w:r>
      <w:r>
        <w:rPr>
          <w:rFonts w:ascii="Arial" w:cs="Arial" w:eastAsia="Arial" w:hAnsi="Arial"/>
          <w:sz w:val="15"/>
          <w:szCs w:val="15"/>
          <w:color w:val="auto"/>
        </w:rPr>
        <w:t>Size markets, build efficient go-to-market strategies and generate actionable intelligence including prospect and decision maker intelligence</w:t>
      </w:r>
    </w:p>
    <w:p>
      <w:pPr>
        <w:spacing w:after="0" w:line="144" w:lineRule="exact"/>
        <w:rPr>
          <w:rFonts w:ascii="Arial" w:cs="Arial" w:eastAsia="Arial" w:hAnsi="Arial"/>
          <w:sz w:val="15"/>
          <w:szCs w:val="15"/>
          <w:color w:val="auto"/>
        </w:rPr>
      </w:pPr>
    </w:p>
    <w:p>
      <w:pPr>
        <w:ind w:left="860" w:hanging="301"/>
        <w:spacing w:after="0"/>
        <w:tabs>
          <w:tab w:leader="none" w:pos="86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Marketing: </w:t>
      </w:r>
      <w:r>
        <w:rPr>
          <w:rFonts w:ascii="Arial" w:cs="Arial" w:eastAsia="Arial" w:hAnsi="Arial"/>
          <w:sz w:val="16"/>
          <w:szCs w:val="16"/>
          <w:color w:val="auto"/>
        </w:rPr>
        <w:t>Develop highly targeted marketing campaigns and gain contextual intelligence to quantify ROI for their products and services</w:t>
      </w:r>
    </w:p>
    <w:p>
      <w:pPr>
        <w:spacing w:after="0" w:line="132" w:lineRule="exact"/>
        <w:rPr>
          <w:rFonts w:ascii="Arial" w:cs="Arial" w:eastAsia="Arial" w:hAnsi="Arial"/>
          <w:sz w:val="16"/>
          <w:szCs w:val="16"/>
          <w:color w:val="auto"/>
        </w:rPr>
      </w:pPr>
    </w:p>
    <w:p>
      <w:pPr>
        <w:ind w:left="860" w:right="20" w:hanging="301"/>
        <w:spacing w:after="0" w:line="272" w:lineRule="auto"/>
        <w:tabs>
          <w:tab w:leader="none" w:pos="8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Clinical Research &amp; Product Development: </w:t>
      </w:r>
      <w:r>
        <w:rPr>
          <w:rFonts w:ascii="Arial" w:cs="Arial" w:eastAsia="Arial" w:hAnsi="Arial"/>
          <w:sz w:val="17"/>
          <w:szCs w:val="17"/>
          <w:color w:val="auto"/>
        </w:rPr>
        <w:t>Identify experts within a specific disease area to find important sites for clinical trials and make data-driven investment decisions</w:t>
      </w:r>
    </w:p>
    <w:p>
      <w:pPr>
        <w:spacing w:after="0" w:line="76" w:lineRule="exact"/>
        <w:rPr>
          <w:rFonts w:ascii="Arial" w:cs="Arial" w:eastAsia="Arial" w:hAnsi="Arial"/>
          <w:sz w:val="17"/>
          <w:szCs w:val="17"/>
          <w:color w:val="auto"/>
        </w:rPr>
      </w:pPr>
    </w:p>
    <w:p>
      <w:pPr>
        <w:ind w:left="860" w:hanging="301"/>
        <w:spacing w:after="0"/>
        <w:tabs>
          <w:tab w:leader="none" w:pos="8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Strategy: </w:t>
      </w:r>
      <w:r>
        <w:rPr>
          <w:rFonts w:ascii="Arial" w:cs="Arial" w:eastAsia="Arial" w:hAnsi="Arial"/>
          <w:sz w:val="17"/>
          <w:szCs w:val="17"/>
          <w:color w:val="auto"/>
        </w:rPr>
        <w:t>Size patient populations and identify market opportunities for new therapeutics, diagnostics and medical devices</w:t>
      </w:r>
    </w:p>
    <w:p>
      <w:pPr>
        <w:spacing w:after="0" w:line="121" w:lineRule="exact"/>
        <w:rPr>
          <w:rFonts w:ascii="Arial" w:cs="Arial" w:eastAsia="Arial" w:hAnsi="Arial"/>
          <w:sz w:val="17"/>
          <w:szCs w:val="17"/>
          <w:color w:val="auto"/>
        </w:rPr>
      </w:pPr>
    </w:p>
    <w:p>
      <w:pPr>
        <w:ind w:left="860" w:hanging="301"/>
        <w:spacing w:after="0"/>
        <w:tabs>
          <w:tab w:leader="none" w:pos="860"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Talent Acquisition: </w:t>
      </w:r>
      <w:r>
        <w:rPr>
          <w:rFonts w:ascii="Arial" w:cs="Arial" w:eastAsia="Arial" w:hAnsi="Arial"/>
          <w:sz w:val="15"/>
          <w:szCs w:val="15"/>
          <w:color w:val="auto"/>
        </w:rPr>
        <w:t>Identify and conduct outreach to candidates for healthcare-specific roles including physicians, nurses and hospital executives</w:t>
      </w:r>
    </w:p>
    <w:p>
      <w:pPr>
        <w:spacing w:after="0" w:line="144" w:lineRule="exact"/>
        <w:rPr>
          <w:rFonts w:ascii="Arial" w:cs="Arial" w:eastAsia="Arial" w:hAnsi="Arial"/>
          <w:sz w:val="15"/>
          <w:szCs w:val="15"/>
          <w:color w:val="auto"/>
        </w:rPr>
      </w:pPr>
    </w:p>
    <w:p>
      <w:pPr>
        <w:ind w:left="860" w:right="380" w:hanging="301"/>
        <w:spacing w:after="0" w:line="272" w:lineRule="auto"/>
        <w:tabs>
          <w:tab w:leader="none" w:pos="8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Physician Network Management: </w:t>
      </w:r>
      <w:r>
        <w:rPr>
          <w:rFonts w:ascii="Arial" w:cs="Arial" w:eastAsia="Arial" w:hAnsi="Arial"/>
          <w:sz w:val="17"/>
          <w:szCs w:val="17"/>
          <w:color w:val="auto"/>
        </w:rPr>
        <w:t>Analyze opportunities to keep patients within a healthcare network and identify attractive physicians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to source patient referrals</w:t>
      </w:r>
    </w:p>
    <w:p>
      <w:pPr>
        <w:spacing w:after="0" w:line="165"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7"/>
          <w:szCs w:val="17"/>
          <w:color w:val="auto"/>
        </w:rPr>
        <w:t>Our healthcare commercial intelligence platform brings together three powerful elements, which have been built, modified and improved upon over the last 11 years, to create a highly differentiated offering.</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These three elements are:</w:t>
      </w:r>
    </w:p>
    <w:p>
      <w:pPr>
        <w:spacing w:after="0" w:line="121" w:lineRule="exact"/>
        <w:rPr>
          <w:sz w:val="20"/>
          <w:szCs w:val="20"/>
          <w:color w:val="auto"/>
        </w:rPr>
      </w:pPr>
    </w:p>
    <w:p>
      <w:pPr>
        <w:ind w:left="5500" w:right="2820" w:hanging="4638"/>
        <w:spacing w:after="0" w:line="443" w:lineRule="auto"/>
        <w:tabs>
          <w:tab w:leader="none" w:pos="1368"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In-depth and High-quality Intelligence </w:t>
      </w:r>
      <w:r>
        <w:rPr>
          <w:rFonts w:ascii="Arial" w:cs="Arial" w:eastAsia="Arial" w:hAnsi="Arial"/>
          <w:sz w:val="17"/>
          <w:szCs w:val="17"/>
          <w:color w:val="auto"/>
        </w:rPr>
        <w:t>on healthcare providers across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110</w:t>
      </w:r>
    </w:p>
    <w:p>
      <w:pPr>
        <w:sectPr>
          <w:pgSz w:w="11900" w:h="16838" w:orient="portrait"/>
          <w:cols w:equalWidth="0" w:num="1">
            <w:col w:w="10780"/>
          </w:cols>
          <w:pgMar w:left="320" w:top="465" w:right="79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hanging="498"/>
        <w:spacing w:after="0"/>
        <w:tabs>
          <w:tab w:leader="none" w:pos="136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A.I. Engine, </w:t>
      </w:r>
      <w:r>
        <w:rPr>
          <w:rFonts w:ascii="Arial" w:cs="Arial" w:eastAsia="Arial" w:hAnsi="Arial"/>
          <w:sz w:val="17"/>
          <w:szCs w:val="17"/>
          <w:color w:val="auto"/>
        </w:rPr>
        <w:t>built by our team of data scientists, that cleanses, links and creates new information and intelligence; and</w:t>
      </w:r>
    </w:p>
    <w:p>
      <w:pPr>
        <w:spacing w:after="0" w:line="121" w:lineRule="exact"/>
        <w:rPr>
          <w:rFonts w:ascii="Arial" w:cs="Arial" w:eastAsia="Arial" w:hAnsi="Arial"/>
          <w:sz w:val="17"/>
          <w:szCs w:val="17"/>
          <w:color w:val="auto"/>
        </w:rPr>
      </w:pPr>
    </w:p>
    <w:p>
      <w:pPr>
        <w:ind w:left="1360" w:right="200" w:hanging="498"/>
        <w:spacing w:after="0" w:line="272" w:lineRule="auto"/>
        <w:tabs>
          <w:tab w:leader="none" w:pos="136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Intuitive Front-end SaaS Platform </w:t>
      </w:r>
      <w:r>
        <w:rPr>
          <w:rFonts w:ascii="Arial" w:cs="Arial" w:eastAsia="Arial" w:hAnsi="Arial"/>
          <w:sz w:val="17"/>
          <w:szCs w:val="17"/>
          <w:color w:val="auto"/>
        </w:rPr>
        <w:t>that provides customers with the ability to analyze the healthcare ecosystem, generate actionable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insights and create a path to commercial success.</w:t>
      </w:r>
    </w:p>
    <w:p>
      <w:pPr>
        <w:spacing w:after="0" w:line="165"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Any company selling or competing within the healthcare ecosystem is a potential customer for us and contributes to our estimated current TAM of over $10 billion. In total, we have identified over 100,000 companies in our primary target markets - a number that continues to grow as more companies seek to compete within the attractive healthcare ecosystem and we develop new and innovative analytics that appeal to a broader number of companies and use cases.</w:t>
      </w:r>
    </w:p>
    <w:p>
      <w:pPr>
        <w:spacing w:after="0" w:line="179"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We reach these customers through a highly efficient sales and marketing engine as demonstrated by our 2020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75"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We were founded in 2011 by our CEO, Jason Krantz, who has cultivated a culture of innovation that attracts and retains a highly talented team. Our seasoned executive team and over 640 employees are committed to growing a platform that delivers meaningful insights to our customers. This has resulted in a highly scalable business model and strong financial performance, including:</w:t>
      </w:r>
    </w:p>
    <w:p>
      <w:pPr>
        <w:spacing w:after="0" w:line="87" w:lineRule="exact"/>
        <w:rPr>
          <w:sz w:val="20"/>
          <w:szCs w:val="20"/>
          <w:color w:val="auto"/>
        </w:rPr>
      </w:pPr>
    </w:p>
    <w:p>
      <w:pPr>
        <w:ind w:left="1360" w:right="260" w:hanging="498"/>
        <w:spacing w:after="0" w:line="284" w:lineRule="auto"/>
        <w:tabs>
          <w:tab w:leader="none" w:pos="136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Significant Revenue Growth at Scale. </w:t>
      </w:r>
      <w:r>
        <w:rPr>
          <w:rFonts w:ascii="Arial" w:cs="Arial" w:eastAsia="Arial" w:hAnsi="Arial"/>
          <w:sz w:val="16"/>
          <w:szCs w:val="16"/>
          <w:color w:val="auto"/>
        </w:rPr>
        <w:t>We generated revenue of $118.3 million and $85.5 million in the years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and December 31, 2019, respectively, representing 38% growth. We generated revenue of $119.8 million and $84.7 million in the nine months ended September 30, 2021 and 2020, respectively, representing 41% growth.</w:t>
      </w:r>
    </w:p>
    <w:p>
      <w:pPr>
        <w:spacing w:after="0" w:line="68" w:lineRule="exact"/>
        <w:rPr>
          <w:rFonts w:ascii="Arial" w:cs="Arial" w:eastAsia="Arial" w:hAnsi="Arial"/>
          <w:sz w:val="16"/>
          <w:szCs w:val="16"/>
          <w:color w:val="auto"/>
        </w:rPr>
      </w:pPr>
    </w:p>
    <w:p>
      <w:pPr>
        <w:ind w:left="1360" w:right="40" w:hanging="498"/>
        <w:spacing w:after="0" w:line="340" w:lineRule="auto"/>
        <w:tabs>
          <w:tab w:leader="none" w:pos="1360" w:val="left"/>
        </w:tabs>
        <w:numPr>
          <w:ilvl w:val="0"/>
          <w:numId w:val="9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Subscription-based Business Model with Significant Visibility. </w:t>
      </w:r>
      <w:r>
        <w:rPr>
          <w:rFonts w:ascii="Arial" w:cs="Arial" w:eastAsia="Arial" w:hAnsi="Arial"/>
          <w:sz w:val="15"/>
          <w:szCs w:val="15"/>
          <w:color w:val="auto"/>
        </w:rPr>
        <w:t>We generate substantially all of our revenue from subscription fees,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accounted for 99% of our revenue for the year ended December 31, 2020 and the nine months ended September 30, 2021.</w:t>
      </w:r>
    </w:p>
    <w:p>
      <w:pPr>
        <w:spacing w:after="0" w:line="26" w:lineRule="exact"/>
        <w:rPr>
          <w:rFonts w:ascii="Arial" w:cs="Arial" w:eastAsia="Arial" w:hAnsi="Arial"/>
          <w:sz w:val="15"/>
          <w:szCs w:val="15"/>
          <w:color w:val="auto"/>
        </w:rPr>
      </w:pPr>
    </w:p>
    <w:p>
      <w:pPr>
        <w:ind w:left="1360" w:right="60" w:hanging="498"/>
        <w:spacing w:after="0" w:line="262" w:lineRule="auto"/>
        <w:tabs>
          <w:tab w:leader="none" w:pos="136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Diversified Customer Base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2,700 companies use our platform to help sell into or compete in the healthcare ecosystem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2021. No single customer made up more than 2% of our revenue for the nine months ended September 30, 2021 or the year ended December 31, 2020.</w:t>
      </w:r>
    </w:p>
    <w:p>
      <w:pPr>
        <w:spacing w:after="0" w:line="85" w:lineRule="exact"/>
        <w:rPr>
          <w:rFonts w:ascii="Arial" w:cs="Arial" w:eastAsia="Arial" w:hAnsi="Arial"/>
          <w:sz w:val="17"/>
          <w:szCs w:val="17"/>
          <w:color w:val="auto"/>
        </w:rPr>
      </w:pPr>
    </w:p>
    <w:p>
      <w:pPr>
        <w:ind w:left="1360" w:right="220" w:hanging="498"/>
        <w:spacing w:after="0" w:line="277" w:lineRule="auto"/>
        <w:tabs>
          <w:tab w:leader="none" w:pos="136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Retention and Growth of Existing Customers. </w:t>
      </w:r>
      <w:r>
        <w:rPr>
          <w:rFonts w:ascii="Arial" w:cs="Arial" w:eastAsia="Arial" w:hAnsi="Arial"/>
          <w:sz w:val="16"/>
          <w:szCs w:val="16"/>
          <w:color w:val="auto"/>
        </w:rPr>
        <w:t>Our ability to retain and grow existing customer relationships is reflected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number of Enterprise Customers, of which we had 292 for the year ended December 31, 2020 and 377 for the trailing twelve months ended September 30, 2021. Our NDR for Enterprise Customers for the year ended December 31, 2020 was 124%. Our NDR for Enterprise Customers for the trailing 12 months ended June 30, 2021 was 125%.</w:t>
      </w:r>
    </w:p>
    <w:p>
      <w:pPr>
        <w:spacing w:after="0" w:line="75" w:lineRule="exact"/>
        <w:rPr>
          <w:rFonts w:ascii="Arial" w:cs="Arial" w:eastAsia="Arial" w:hAnsi="Arial"/>
          <w:sz w:val="16"/>
          <w:szCs w:val="16"/>
          <w:color w:val="auto"/>
        </w:rPr>
      </w:pPr>
    </w:p>
    <w:p>
      <w:pPr>
        <w:ind w:left="1360" w:hanging="498"/>
        <w:spacing w:after="0" w:line="268" w:lineRule="auto"/>
        <w:tabs>
          <w:tab w:leader="none" w:pos="136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net loss was $51.2 million for the year ended December 31, 2020 as compared to a net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$49.3 million for the period from July 16, 2019 to December 31, 2019 and net income of $12.9 million for the period from January 1, 2019 to July 15, 2019. Our net loss was $46.5 million and $35.3 million for the nine months ended September 30, 2021 and 2020, respectively. Our business model generates strong financial performance and cash flows. For the year ended December 31, 2020, our Net Loss Margin was (43)% and our Gross Margin was 74%. For the nine months ended September 30, 2021, our Net Loss Margin was (39)% and our Gross Margin was 75%. For the year ended December 31, 2020, our Adjusted Gross Margin was 91% and our Adjusted EBITDA was $53.5 million reflecting Adjusted EBITDA Margins of 45%. For the nine months ended September 30, 2021, our Adjusted Gross Margin was 88% and our Adjusted EBITDA was $42.9 million, reflecting an Adjusted EBITDA Margin of 36%.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780"/>
          </w:cols>
          <w:pgMar w:left="320" w:top="465" w:right="79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Industry Background</w:t>
      </w:r>
    </w:p>
    <w:p>
      <w:pPr>
        <w:spacing w:after="0" w:line="112"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Commercializing and selling solutions in healthcare is difficult</w:t>
      </w:r>
    </w:p>
    <w:p>
      <w:pPr>
        <w:spacing w:after="0" w:line="108"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ind w:left="1360" w:hanging="498"/>
        <w:spacing w:after="0" w:line="311" w:lineRule="auto"/>
        <w:tabs>
          <w:tab w:leader="none" w:pos="13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Companies are selling to an entire ecosystem, not a single company. </w:t>
      </w:r>
      <w:r>
        <w:rPr>
          <w:rFonts w:ascii="Arial" w:cs="Arial" w:eastAsia="Arial" w:hAnsi="Arial"/>
          <w:sz w:val="15"/>
          <w:szCs w:val="15"/>
          <w:color w:val="auto"/>
        </w:rPr>
        <w:t>There are a large number of stakeholders including providers,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payers, government agencies and regulators that are intermingled in meeting the needs of over 300 million potential patients in the U.S. as of May 1, 2021. These stakeholders often have different goals and incentives, which further complicates the sales and commercial process.</w:t>
      </w:r>
    </w:p>
    <w:p>
      <w:pPr>
        <w:spacing w:after="0" w:line="51" w:lineRule="exact"/>
        <w:rPr>
          <w:rFonts w:ascii="Arial" w:cs="Arial" w:eastAsia="Arial" w:hAnsi="Arial"/>
          <w:sz w:val="15"/>
          <w:szCs w:val="15"/>
          <w:color w:val="auto"/>
        </w:rPr>
      </w:pPr>
    </w:p>
    <w:p>
      <w:pPr>
        <w:ind w:left="1360" w:right="80" w:hanging="498"/>
        <w:spacing w:after="0" w:line="256" w:lineRule="auto"/>
        <w:tabs>
          <w:tab w:leader="none" w:pos="136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is challenging to identify the true decision maker. </w:t>
      </w:r>
      <w:r>
        <w:rPr>
          <w:rFonts w:ascii="Arial" w:cs="Arial" w:eastAsia="Arial" w:hAnsi="Arial"/>
          <w:sz w:val="17"/>
          <w:szCs w:val="17"/>
          <w:color w:val="auto"/>
        </w:rPr>
        <w:t>The healthcare ecosystem is highly interconnected, and a patient undergoing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may receive care from multiple facilities or physicians. For example, a cancer patient will likely interact with a primary care physician, multiple oncologists, a surgeon and multiple facilities over the course of his or her care. Understanding how these stakeholders are affiliated and related is critical to properly identifying true decision makers.</w:t>
      </w:r>
    </w:p>
    <w:p>
      <w:pPr>
        <w:spacing w:after="0" w:line="90" w:lineRule="exact"/>
        <w:rPr>
          <w:rFonts w:ascii="Arial" w:cs="Arial" w:eastAsia="Arial" w:hAnsi="Arial"/>
          <w:sz w:val="17"/>
          <w:szCs w:val="17"/>
          <w:color w:val="auto"/>
        </w:rPr>
      </w:pPr>
    </w:p>
    <w:p>
      <w:pPr>
        <w:ind w:left="1360" w:right="60" w:hanging="498"/>
        <w:spacing w:after="0" w:line="277" w:lineRule="auto"/>
        <w:tabs>
          <w:tab w:leader="none" w:pos="136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To differentiate, companies need to tailor their product or service to specific pain points. </w:t>
      </w:r>
      <w:r>
        <w:rPr>
          <w:rFonts w:ascii="Arial" w:cs="Arial" w:eastAsia="Arial" w:hAnsi="Arial"/>
          <w:sz w:val="16"/>
          <w:szCs w:val="16"/>
          <w:color w:val="auto"/>
        </w:rPr>
        <w:t>Healthcare providers have a wide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pain points to address. For example, one healthcare provider may have a readmission problem, another provider may have a problem with low quality of care and a third may have operational inefficiencies. Understanding these pain points can help companies selling into healthcare target these pain points and allow them to derive value from our platform.</w:t>
      </w:r>
    </w:p>
    <w:p>
      <w:pPr>
        <w:spacing w:after="0" w:line="75" w:lineRule="exact"/>
        <w:rPr>
          <w:rFonts w:ascii="Arial" w:cs="Arial" w:eastAsia="Arial" w:hAnsi="Arial"/>
          <w:sz w:val="16"/>
          <w:szCs w:val="16"/>
          <w:color w:val="auto"/>
        </w:rPr>
      </w:pPr>
    </w:p>
    <w:p>
      <w:pPr>
        <w:ind w:left="1360" w:right="260" w:hanging="498"/>
        <w:spacing w:after="0" w:line="311" w:lineRule="auto"/>
        <w:tabs>
          <w:tab w:leader="none" w:pos="13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Constant change. </w:t>
      </w:r>
      <w:r>
        <w:rPr>
          <w:rFonts w:ascii="Arial" w:cs="Arial" w:eastAsia="Arial" w:hAnsi="Arial"/>
          <w:sz w:val="15"/>
          <w:szCs w:val="15"/>
          <w:color w:val="auto"/>
        </w:rPr>
        <w:t>The healthcare industry is in a constant state of change, including continuously increasing and changing regulations,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adoption of new patient care technologies such as telemedicine, and clinical advancement such as precision medicine. These changes require companies who compete in the space to be nimble and able to adjust their strategies and tactics with real time intelligence.</w:t>
      </w:r>
    </w:p>
    <w:p>
      <w:pPr>
        <w:spacing w:after="0" w:line="51" w:lineRule="exact"/>
        <w:rPr>
          <w:rFonts w:ascii="Arial" w:cs="Arial" w:eastAsia="Arial" w:hAnsi="Arial"/>
          <w:sz w:val="15"/>
          <w:szCs w:val="15"/>
          <w:color w:val="auto"/>
        </w:rPr>
      </w:pPr>
    </w:p>
    <w:p>
      <w:pPr>
        <w:ind w:left="1360" w:right="100" w:hanging="498"/>
        <w:spacing w:after="0" w:line="256" w:lineRule="auto"/>
        <w:tabs>
          <w:tab w:leader="none" w:pos="136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Healthcare is a high-stakes industry where success is difficult to achieve</w:t>
      </w:r>
      <w:r>
        <w:rPr>
          <w:rFonts w:ascii="Arial" w:cs="Arial" w:eastAsia="Arial" w:hAnsi="Arial"/>
          <w:sz w:val="17"/>
          <w:szCs w:val="17"/>
          <w:color w:val="auto"/>
        </w:rPr>
        <w:t>. 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Approximately 50% of drug launches underperform expectations. The high-stakes of the industry puts a premium on any product or service that can increase the likelihood of success.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Alternative solutions do not provide the intelligence customers most benefit from</w:t>
      </w:r>
    </w:p>
    <w:p>
      <w:pPr>
        <w:spacing w:after="0" w:line="108" w:lineRule="exact"/>
        <w:rPr>
          <w:sz w:val="20"/>
          <w:szCs w:val="20"/>
          <w:color w:val="auto"/>
        </w:rPr>
      </w:pPr>
    </w:p>
    <w:p>
      <w:pPr>
        <w:ind w:left="460" w:right="80" w:firstLine="413"/>
        <w:spacing w:after="0" w:line="284" w:lineRule="auto"/>
        <w:rPr>
          <w:sz w:val="20"/>
          <w:szCs w:val="20"/>
          <w:color w:val="auto"/>
        </w:rPr>
      </w:pPr>
      <w:r>
        <w:rPr>
          <w:rFonts w:ascii="Arial" w:cs="Arial" w:eastAsia="Arial" w:hAnsi="Arial"/>
          <w:sz w:val="16"/>
          <w:szCs w:val="16"/>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Alternative solutions available today fall short in three ways:</w:t>
      </w:r>
    </w:p>
    <w:p>
      <w:pPr>
        <w:spacing w:after="0" w:line="117" w:lineRule="exact"/>
        <w:rPr>
          <w:sz w:val="20"/>
          <w:szCs w:val="20"/>
          <w:color w:val="auto"/>
        </w:rPr>
      </w:pPr>
    </w:p>
    <w:p>
      <w:pPr>
        <w:ind w:left="1360" w:right="20" w:hanging="498"/>
        <w:spacing w:after="0" w:line="276" w:lineRule="auto"/>
        <w:tabs>
          <w:tab w:leader="none" w:pos="1360"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Lack of Healthcare Depth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Generalized Sales and Marketing intelligence providers do not provide the healthcare specific intelligence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critical to success in the healthcare industry. This healthcare</w:t>
      </w:r>
    </w:p>
    <w:p>
      <w:pPr>
        <w:spacing w:after="0" w:line="9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740"/>
          </w:cols>
          <w:pgMar w:left="320" w:top="465" w:right="8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120"/>
        <w:spacing w:after="0" w:line="260" w:lineRule="auto"/>
        <w:rPr>
          <w:sz w:val="20"/>
          <w:szCs w:val="20"/>
          <w:color w:val="auto"/>
        </w:rPr>
      </w:pPr>
      <w:r>
        <w:rPr>
          <w:rFonts w:ascii="Arial" w:cs="Arial" w:eastAsia="Arial" w:hAnsi="Arial"/>
          <w:sz w:val="17"/>
          <w:szCs w:val="17"/>
          <w:color w:val="auto"/>
        </w:rPr>
        <w:t>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83" w:lineRule="exact"/>
        <w:rPr>
          <w:sz w:val="20"/>
          <w:szCs w:val="20"/>
          <w:color w:val="auto"/>
        </w:rPr>
      </w:pPr>
    </w:p>
    <w:p>
      <w:pPr>
        <w:ind w:left="1360" w:right="80" w:hanging="498"/>
        <w:spacing w:after="0" w:line="258" w:lineRule="auto"/>
        <w:tabs>
          <w:tab w:leader="none" w:pos="136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No Comprehensive and Integrated View of the Entire Healthcare Ecosystem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solutions typically provide only certain elements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healthcare ecosystem—to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3" w:lineRule="exact"/>
        <w:rPr>
          <w:rFonts w:ascii="Arial" w:cs="Arial" w:eastAsia="Arial" w:hAnsi="Arial"/>
          <w:sz w:val="17"/>
          <w:szCs w:val="17"/>
          <w:color w:val="auto"/>
        </w:rPr>
      </w:pPr>
    </w:p>
    <w:p>
      <w:pPr>
        <w:ind w:left="1360" w:hanging="498"/>
        <w:spacing w:after="0" w:line="255" w:lineRule="auto"/>
        <w:tabs>
          <w:tab w:leader="none" w:pos="136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Manual and Not Real-time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party consultants are often used to pull together various data sources and compile a view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The Definitive Healthcare Platform</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Industry Leading SaaS-based Healthcare Commercial Intelligence</w:t>
      </w:r>
    </w:p>
    <w:p>
      <w:pPr>
        <w:spacing w:after="0" w:line="108" w:lineRule="exact"/>
        <w:rPr>
          <w:sz w:val="20"/>
          <w:szCs w:val="20"/>
          <w:color w:val="auto"/>
        </w:rPr>
      </w:pPr>
    </w:p>
    <w:p>
      <w:pPr>
        <w:ind w:left="460" w:right="200" w:firstLine="413"/>
        <w:spacing w:after="0" w:line="277" w:lineRule="auto"/>
        <w:rPr>
          <w:sz w:val="20"/>
          <w:szCs w:val="20"/>
          <w:color w:val="auto"/>
        </w:rPr>
      </w:pPr>
      <w:r>
        <w:rPr>
          <w:rFonts w:ascii="Arial" w:cs="Arial" w:eastAsia="Arial" w:hAnsi="Arial"/>
          <w:sz w:val="16"/>
          <w:szCs w:val="16"/>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platform provides the following benefits to customers:</w:t>
      </w:r>
    </w:p>
    <w:p>
      <w:pPr>
        <w:spacing w:after="0" w:line="121" w:lineRule="exact"/>
        <w:rPr>
          <w:sz w:val="20"/>
          <w:szCs w:val="20"/>
          <w:color w:val="auto"/>
        </w:rPr>
      </w:pPr>
    </w:p>
    <w:p>
      <w:pPr>
        <w:ind w:left="1360" w:right="460" w:hanging="498"/>
        <w:spacing w:after="0" w:line="340" w:lineRule="auto"/>
        <w:tabs>
          <w:tab w:leader="none" w:pos="1360"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 comprehensive view of the entire healthcare ecosystem, </w:t>
      </w:r>
      <w:r>
        <w:rPr>
          <w:rFonts w:ascii="Arial" w:cs="Arial" w:eastAsia="Arial" w:hAnsi="Arial"/>
          <w:sz w:val="15"/>
          <w:szCs w:val="15"/>
          <w:color w:val="auto"/>
        </w:rPr>
        <w:t>including intelligence on hospitals, physicians, physician groups, clinics,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imaging centers, long-term care facilities, ambulatory surgery centers, payers, virtual care providers, GPOs and others.</w:t>
      </w:r>
    </w:p>
    <w:p>
      <w:pPr>
        <w:spacing w:after="0" w:line="30" w:lineRule="exact"/>
        <w:rPr>
          <w:rFonts w:ascii="Arial" w:cs="Arial" w:eastAsia="Arial" w:hAnsi="Arial"/>
          <w:sz w:val="15"/>
          <w:szCs w:val="15"/>
          <w:color w:val="auto"/>
        </w:rPr>
      </w:pPr>
    </w:p>
    <w:p>
      <w:pPr>
        <w:ind w:left="1360" w:right="440" w:hanging="498"/>
        <w:spacing w:after="0" w:line="272" w:lineRule="auto"/>
        <w:tabs>
          <w:tab w:leader="none" w:pos="136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Detailed analytics and insight on how these companies and physicians are interconnected </w:t>
      </w:r>
      <w:r>
        <w:rPr>
          <w:rFonts w:ascii="Arial" w:cs="Arial" w:eastAsia="Arial" w:hAnsi="Arial"/>
          <w:sz w:val="17"/>
          <w:szCs w:val="17"/>
          <w:color w:val="auto"/>
        </w:rPr>
        <w:t>through affiliations, referrals and shared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analytics all linked together through the proprietary Definitive ID.</w:t>
      </w:r>
    </w:p>
    <w:p>
      <w:pPr>
        <w:spacing w:after="0" w:line="76" w:lineRule="exact"/>
        <w:rPr>
          <w:rFonts w:ascii="Arial" w:cs="Arial" w:eastAsia="Arial" w:hAnsi="Arial"/>
          <w:sz w:val="17"/>
          <w:szCs w:val="17"/>
          <w:color w:val="auto"/>
        </w:rPr>
      </w:pPr>
    </w:p>
    <w:p>
      <w:pPr>
        <w:ind w:left="1360" w:right="160" w:hanging="498"/>
        <w:spacing w:after="0" w:line="260" w:lineRule="auto"/>
        <w:tabs>
          <w:tab w:leader="none" w:pos="136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Healthcare-specific intelligence </w:t>
      </w:r>
      <w:r>
        <w:rPr>
          <w:rFonts w:ascii="Arial" w:cs="Arial" w:eastAsia="Arial" w:hAnsi="Arial"/>
          <w:sz w:val="17"/>
          <w:szCs w:val="17"/>
          <w:color w:val="auto"/>
        </w:rPr>
        <w:t>including daily opportunities such as new patient starts and RFPs, procedure and diagnosis volumes,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leakage, quality of care analytics, financial metrics, technology infrastructure of providers and healthcare stakeholder intelligence with detailed contact information.</w:t>
      </w:r>
    </w:p>
    <w:p>
      <w:pPr>
        <w:spacing w:after="0" w:line="86" w:lineRule="exact"/>
        <w:rPr>
          <w:rFonts w:ascii="Arial" w:cs="Arial" w:eastAsia="Arial" w:hAnsi="Arial"/>
          <w:sz w:val="17"/>
          <w:szCs w:val="17"/>
          <w:color w:val="auto"/>
        </w:rPr>
      </w:pPr>
    </w:p>
    <w:p>
      <w:pPr>
        <w:ind w:left="1360" w:hanging="498"/>
        <w:spacing w:after="0"/>
        <w:tabs>
          <w:tab w:leader="none" w:pos="1360"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Answers, not just raw data </w:t>
      </w:r>
      <w:r>
        <w:rPr>
          <w:rFonts w:ascii="Arial" w:cs="Arial" w:eastAsia="Arial" w:hAnsi="Arial"/>
          <w:sz w:val="15"/>
          <w:szCs w:val="15"/>
          <w:color w:val="auto"/>
        </w:rPr>
        <w:t>to ensure our customers spend their time developing and executing on their vision rather than analyzing data.</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Commercial success using the Definitive Healthcare platform can be demonstrated through the following hypothetical examples:</w:t>
      </w:r>
    </w:p>
    <w:p>
      <w:pPr>
        <w:spacing w:after="0" w:line="121" w:lineRule="exact"/>
        <w:rPr>
          <w:sz w:val="20"/>
          <w:szCs w:val="20"/>
          <w:color w:val="auto"/>
        </w:rPr>
      </w:pPr>
    </w:p>
    <w:p>
      <w:pPr>
        <w:ind w:left="1360" w:right="1020" w:hanging="498"/>
        <w:spacing w:after="0" w:line="272" w:lineRule="auto"/>
        <w:tabs>
          <w:tab w:leader="none" w:pos="13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pharmaceutical giant introducing a new drug could utilize the Definitive Healthcare platform to find physicians caring for underdiagnosed patients with a rare disease.</w:t>
      </w:r>
    </w:p>
    <w:p>
      <w:pPr>
        <w:spacing w:after="0" w:line="76" w:lineRule="exact"/>
        <w:rPr>
          <w:rFonts w:ascii="Arial" w:cs="Arial" w:eastAsia="Arial" w:hAnsi="Arial"/>
          <w:sz w:val="17"/>
          <w:szCs w:val="17"/>
          <w:color w:val="auto"/>
        </w:rPr>
      </w:pPr>
    </w:p>
    <w:p>
      <w:pPr>
        <w:ind w:left="1360" w:right="100" w:hanging="498"/>
        <w:spacing w:after="0" w:line="272" w:lineRule="auto"/>
        <w:tabs>
          <w:tab w:leader="none" w:pos="13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fast-growing HCIT company could utilize the Definitive Healthcare platform to demonstrate the efficacy of their product by comparing knee replacement readmission rates for their hospital customers versus non-customers.</w:t>
      </w:r>
    </w:p>
    <w:p>
      <w:pPr>
        <w:spacing w:after="0" w:line="76" w:lineRule="exact"/>
        <w:rPr>
          <w:rFonts w:ascii="Arial" w:cs="Arial" w:eastAsia="Arial" w:hAnsi="Arial"/>
          <w:sz w:val="17"/>
          <w:szCs w:val="17"/>
          <w:color w:val="auto"/>
        </w:rPr>
      </w:pPr>
    </w:p>
    <w:p>
      <w:pPr>
        <w:ind w:left="1360" w:hanging="498"/>
        <w:spacing w:after="0" w:line="272" w:lineRule="auto"/>
        <w:tabs>
          <w:tab w:leader="none" w:pos="13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One of the world’s largest medical device companies could leverage our healthcare commercial intelligence to identify physicians referring patients with acute cardiovascular disease.</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780"/>
          </w:cols>
          <w:pgMar w:left="320" w:top="465" w:right="79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640" w:hanging="498"/>
        <w:spacing w:after="0" w:line="272" w:lineRule="auto"/>
        <w:tabs>
          <w:tab w:leader="none" w:pos="1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commercial real estate firm could use the Definitive Healthcare platform to help its health system customers build a geographic expansion strategy based on patient flow and affiliation data.</w:t>
      </w:r>
    </w:p>
    <w:p>
      <w:pPr>
        <w:spacing w:after="0" w:line="76" w:lineRule="exact"/>
        <w:rPr>
          <w:rFonts w:ascii="Arial" w:cs="Arial" w:eastAsia="Arial" w:hAnsi="Arial"/>
          <w:sz w:val="17"/>
          <w:szCs w:val="17"/>
          <w:color w:val="auto"/>
        </w:rPr>
      </w:pPr>
    </w:p>
    <w:p>
      <w:pPr>
        <w:ind w:left="1360" w:right="560" w:hanging="498"/>
        <w:spacing w:after="0" w:line="272" w:lineRule="auto"/>
        <w:tabs>
          <w:tab w:leader="none" w:pos="1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waste management company could price its solutions based on an estimate of the volume of hazardous waste compiled using the Definitive Healthcare platform.</w:t>
      </w:r>
    </w:p>
    <w:p>
      <w:pPr>
        <w:spacing w:after="0" w:line="76" w:lineRule="exact"/>
        <w:rPr>
          <w:rFonts w:ascii="Arial" w:cs="Arial" w:eastAsia="Arial" w:hAnsi="Arial"/>
          <w:sz w:val="17"/>
          <w:szCs w:val="17"/>
          <w:color w:val="auto"/>
        </w:rPr>
      </w:pPr>
    </w:p>
    <w:p>
      <w:pPr>
        <w:ind w:left="1360" w:right="100" w:hanging="498"/>
        <w:spacing w:after="0" w:line="272" w:lineRule="auto"/>
        <w:tabs>
          <w:tab w:leader="none" w:pos="1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public biotechnology company could utilize the Definitive Healthcare platform to identify experts in a specific disease mutation to help recruit patients and influence the market through speaking engagements.</w:t>
      </w:r>
    </w:p>
    <w:p>
      <w:pPr>
        <w:spacing w:after="0" w:line="262"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Our Data Sources and Data Engine</w:t>
      </w:r>
    </w:p>
    <w:p>
      <w:pPr>
        <w:spacing w:after="0" w:line="112"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Our comprehensive, high-quality intelligence is made up of thousands of data sources and billions of data points that enrich and power our platform. We transform this data into intelligence through A.I. and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59" w:lineRule="exact"/>
        <w:rPr>
          <w:sz w:val="20"/>
          <w:szCs w:val="20"/>
          <w:color w:val="auto"/>
        </w:rPr>
      </w:pPr>
    </w:p>
    <w:p>
      <w:pPr>
        <w:ind w:left="1360" w:hanging="498"/>
        <w:spacing w:after="0"/>
        <w:tabs>
          <w:tab w:leader="none" w:pos="1360" w:val="left"/>
        </w:tabs>
        <w:numPr>
          <w:ilvl w:val="0"/>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First party research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team conducts primary research via 650,000 annual research calls and 3.7 million e-mail outreaches per year.</w:t>
      </w:r>
    </w:p>
    <w:p>
      <w:pPr>
        <w:spacing w:after="0" w:line="144" w:lineRule="exact"/>
        <w:rPr>
          <w:rFonts w:ascii="Arial" w:cs="Arial" w:eastAsia="Arial" w:hAnsi="Arial"/>
          <w:sz w:val="15"/>
          <w:szCs w:val="15"/>
          <w:color w:val="auto"/>
        </w:rPr>
      </w:pPr>
    </w:p>
    <w:p>
      <w:pPr>
        <w:ind w:left="1360" w:right="100" w:hanging="498"/>
        <w:spacing w:after="0" w:line="276" w:lineRule="auto"/>
        <w:tabs>
          <w:tab w:leader="none" w:pos="1360"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Unstructured public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proprietary technologies to extract unstructured information found in over 250,000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journals, publications, news articles, job postings and other public information.</w:t>
      </w:r>
    </w:p>
    <w:p>
      <w:pPr>
        <w:spacing w:after="0" w:line="69" w:lineRule="exact"/>
        <w:rPr>
          <w:rFonts w:ascii="Arial" w:cs="Arial" w:eastAsia="Arial" w:hAnsi="Arial"/>
          <w:sz w:val="17"/>
          <w:szCs w:val="17"/>
          <w:color w:val="auto"/>
        </w:rPr>
      </w:pPr>
    </w:p>
    <w:p>
      <w:pPr>
        <w:ind w:left="1360" w:right="140" w:hanging="498"/>
        <w:spacing w:after="0" w:line="345" w:lineRule="auto"/>
        <w:tabs>
          <w:tab w:leader="none" w:pos="1360" w:val="left"/>
        </w:tabs>
        <w:numPr>
          <w:ilvl w:val="0"/>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Government and regulatory sources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developed automated processes for ingesting, updating and linking information from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20,000 governmental and regulatory sources, including the federal government, states, towns and municipalities across the U.S.</w:t>
      </w:r>
    </w:p>
    <w:p>
      <w:pPr>
        <w:spacing w:after="0" w:line="23" w:lineRule="exact"/>
        <w:rPr>
          <w:rFonts w:ascii="Arial" w:cs="Arial" w:eastAsia="Arial" w:hAnsi="Arial"/>
          <w:sz w:val="15"/>
          <w:szCs w:val="15"/>
          <w:color w:val="auto"/>
        </w:rPr>
      </w:pPr>
    </w:p>
    <w:p>
      <w:pPr>
        <w:ind w:left="1360" w:right="200" w:hanging="498"/>
        <w:spacing w:after="0" w:line="276" w:lineRule="auto"/>
        <w:tabs>
          <w:tab w:leader="none" w:pos="1360"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Third-party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integrate, cleanse and link raw claims data and other information from third- party vendors, which provide us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17 billion claims covering over 250 million patients as of May 2021.</w:t>
      </w:r>
    </w:p>
    <w:p>
      <w:pPr>
        <w:spacing w:after="0" w:line="69" w:lineRule="exact"/>
        <w:rPr>
          <w:rFonts w:ascii="Arial" w:cs="Arial" w:eastAsia="Arial" w:hAnsi="Arial"/>
          <w:sz w:val="17"/>
          <w:szCs w:val="17"/>
          <w:color w:val="auto"/>
        </w:rPr>
      </w:pPr>
    </w:p>
    <w:p>
      <w:pPr>
        <w:ind w:left="1360" w:right="360" w:hanging="498"/>
        <w:spacing w:after="0" w:line="276" w:lineRule="auto"/>
        <w:tabs>
          <w:tab w:leader="none" w:pos="1360"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Data science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create new intelligence that is proprietary to us, which includes buyer intent, market extrapolations, cost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other intelligence.</w:t>
      </w:r>
    </w:p>
    <w:p>
      <w:pPr>
        <w:spacing w:after="0" w:line="9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780"/>
          </w:cols>
          <w:pgMar w:left="320" w:top="465" w:right="79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As we continue to pull in new data sources and assets, we transform this raw information into highly integrated, high-quality intelligence by leveraging an A.I. and M.L. powered engine that cleans and standardizes raw data, then links the processed data within the platform to generate insights. Each new data source and each new algorithm created by our data science team makes our entire platform and the intelligence contained within more valuable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137795</wp:posOffset>
            </wp:positionV>
            <wp:extent cx="4607560" cy="20021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607560" cy="200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Delivery through a Cutting-edge SaaS Platform</w:t>
      </w:r>
    </w:p>
    <w:p>
      <w:pPr>
        <w:spacing w:after="0" w:line="108" w:lineRule="exact"/>
        <w:rPr>
          <w:sz w:val="20"/>
          <w:szCs w:val="20"/>
          <w:color w:val="auto"/>
        </w:rPr>
      </w:pPr>
    </w:p>
    <w:p>
      <w:pPr>
        <w:jc w:val="both"/>
        <w:ind w:left="460" w:right="500" w:firstLine="413"/>
        <w:spacing w:after="0" w:line="311" w:lineRule="auto"/>
        <w:rPr>
          <w:sz w:val="20"/>
          <w:szCs w:val="20"/>
          <w:color w:val="auto"/>
        </w:rPr>
      </w:pPr>
      <w:r>
        <w:rPr>
          <w:rFonts w:ascii="Arial" w:cs="Arial" w:eastAsia="Arial" w:hAnsi="Arial"/>
          <w:sz w:val="15"/>
          <w:szCs w:val="15"/>
          <w:color w:val="auto"/>
        </w:rPr>
        <w:t>Our healthcare commercial intelligence is delivered through a SaaS platform that combines our comprehensive intelligence with analytical capabilities. The platform helps our customers uncover actionable insights, makes decision making easier and simplifies trend identification. The integration of this intelligence into our customers’ daily workflow is demonstrated by the following statistics (statistics as of June 30, 2021):</w:t>
      </w:r>
    </w:p>
    <w:p>
      <w:pPr>
        <w:spacing w:after="0" w:line="51" w:lineRule="exact"/>
        <w:rPr>
          <w:sz w:val="20"/>
          <w:szCs w:val="20"/>
          <w:color w:val="auto"/>
        </w:rPr>
      </w:pPr>
    </w:p>
    <w:p>
      <w:pPr>
        <w:ind w:left="1360" w:hanging="498"/>
        <w:spacing w:after="0"/>
        <w:tabs>
          <w:tab w:leader="none" w:pos="13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Over 1.5 million reports are run every month by our customers.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Over 34,000 users actively utilize the platform. We define active utilization as accessing the platform directly in the last quarter.</w:t>
      </w:r>
    </w:p>
    <w:p>
      <w:pPr>
        <w:spacing w:after="0" w:line="132" w:lineRule="exact"/>
        <w:rPr>
          <w:rFonts w:ascii="Arial" w:cs="Arial" w:eastAsia="Arial" w:hAnsi="Arial"/>
          <w:sz w:val="16"/>
          <w:szCs w:val="16"/>
          <w:color w:val="auto"/>
        </w:rPr>
      </w:pPr>
    </w:p>
    <w:p>
      <w:pPr>
        <w:ind w:left="1360" w:right="80" w:hanging="498"/>
        <w:spacing w:after="0" w:line="205" w:lineRule="auto"/>
        <w:tabs>
          <w:tab w:leader="none" w:pos="13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Over 50% of our overall customers and approximately 70% of our Enterprise Customers measured by ARR integrate our intelligence into their internal systems. Such customer relationship management software includes Salesforce.com</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Veeva</w:t>
      </w:r>
      <w:r>
        <w:rPr>
          <w:rFonts w:ascii="Arial" w:cs="Arial" w:eastAsia="Arial" w:hAnsi="Arial"/>
          <w:sz w:val="23"/>
          <w:szCs w:val="23"/>
          <w:color w:val="auto"/>
          <w:vertAlign w:val="superscript"/>
        </w:rPr>
        <w:t>®</w:t>
      </w:r>
      <w:r>
        <w:rPr>
          <w:rFonts w:ascii="Arial" w:cs="Arial" w:eastAsia="Arial" w:hAnsi="Arial"/>
          <w:sz w:val="17"/>
          <w:szCs w:val="17"/>
          <w:color w:val="auto"/>
        </w:rPr>
        <w:t>, sales as well as other Marketing Automation and Business Intelligence platforms.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Competitive Strengths</w:t>
      </w:r>
    </w:p>
    <w:p>
      <w:pPr>
        <w:spacing w:after="0" w:line="125" w:lineRule="exact"/>
        <w:rPr>
          <w:sz w:val="20"/>
          <w:szCs w:val="20"/>
          <w:color w:val="auto"/>
        </w:rPr>
      </w:pPr>
    </w:p>
    <w:p>
      <w:pPr>
        <w:ind w:left="1360" w:right="40" w:hanging="498"/>
        <w:spacing w:after="0" w:line="274" w:lineRule="auto"/>
        <w:tabs>
          <w:tab w:leader="none" w:pos="136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Proprietary Healthcare-specific Intelligence</w:t>
      </w:r>
      <w:r>
        <w:rPr>
          <w:rFonts w:ascii="Arial" w:cs="Arial" w:eastAsia="Arial" w:hAnsi="Arial"/>
          <w:sz w:val="16"/>
          <w:szCs w:val="16"/>
          <w:color w:val="auto"/>
        </w:rPr>
        <w:t>. Over the last 11 years, we have built proprietary intelligence via first party research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a highly comprehensive healthcare commercial intelligence platform. During this time, we have sourced, aggregated, linked, cleansed and inferred information from thousands of data sources, and tied billions of data points together into a single longitudinal view of the entire healthcare ecosystem. Our data science team has continuously evolved and enhanced our A.I. and M.L. data engines based on customer feedback and iterated in an effort to provide accurate and insightful intelligence.</w:t>
      </w:r>
    </w:p>
    <w:p>
      <w:pPr>
        <w:spacing w:after="0" w:line="76" w:lineRule="exact"/>
        <w:rPr>
          <w:rFonts w:ascii="Arial" w:cs="Arial" w:eastAsia="Arial" w:hAnsi="Arial"/>
          <w:sz w:val="16"/>
          <w:szCs w:val="16"/>
          <w:color w:val="auto"/>
        </w:rPr>
      </w:pPr>
    </w:p>
    <w:p>
      <w:pPr>
        <w:ind w:left="1360" w:right="80" w:hanging="498"/>
        <w:spacing w:after="0" w:line="277" w:lineRule="auto"/>
        <w:tabs>
          <w:tab w:leader="none" w:pos="136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 Integrated Data and Technology Foundation that Creates a Flywheel of Innovation. </w:t>
      </w:r>
      <w:r>
        <w:rPr>
          <w:rFonts w:ascii="Arial" w:cs="Arial" w:eastAsia="Arial" w:hAnsi="Arial"/>
          <w:sz w:val="16"/>
          <w:szCs w:val="16"/>
          <w:color w:val="auto"/>
        </w:rPr>
        <w:t>Our technology platform provides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foundation for rapid product development and innovation by leveraging our existing data assets to produce new modules and features that solve a growing number of our customers’ business problems. As our data sets expand each year, the ability for us to introduce increasingly sophisticated features, analytics and tools continues to accelerate. Since our inception, we</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760"/>
          </w:cols>
          <w:pgMar w:left="320" w:top="465" w:right="81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500"/>
        <w:spacing w:after="0" w:line="272" w:lineRule="auto"/>
        <w:rPr>
          <w:sz w:val="20"/>
          <w:szCs w:val="20"/>
          <w:color w:val="auto"/>
        </w:rPr>
      </w:pPr>
      <w:r>
        <w:rPr>
          <w:rFonts w:ascii="Arial" w:cs="Arial" w:eastAsia="Arial" w:hAnsi="Arial"/>
          <w:sz w:val="17"/>
          <w:szCs w:val="17"/>
          <w:color w:val="auto"/>
        </w:rPr>
        <w:t>have developed and launched 14 intelligence modules, each of which creates opportunities to deepen our relationships with existing customers, increase deal velocity and expand our end-markets.</w:t>
      </w:r>
    </w:p>
    <w:p>
      <w:pPr>
        <w:spacing w:after="0" w:line="76" w:lineRule="exact"/>
        <w:rPr>
          <w:sz w:val="20"/>
          <w:szCs w:val="20"/>
          <w:color w:val="auto"/>
        </w:rPr>
      </w:pPr>
    </w:p>
    <w:p>
      <w:pPr>
        <w:ind w:left="1360" w:right="100" w:hanging="498"/>
        <w:spacing w:after="0" w:line="256" w:lineRule="auto"/>
        <w:tabs>
          <w:tab w:leader="none" w:pos="136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Go-to-Market Engine. </w:t>
      </w:r>
      <w:r>
        <w:rPr>
          <w:rFonts w:ascii="Arial" w:cs="Arial" w:eastAsia="Arial" w:hAnsi="Arial"/>
          <w:sz w:val="17"/>
          <w:szCs w:val="17"/>
          <w:color w:val="auto"/>
        </w:rPr>
        <w:t>We have a highly efficient and effective go-to-market engine that combines effective marketing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inside sales force comprised of highly trained, vertically focused SEs. The efficiency of our model is demonstrated through our 2020 LTV to CAC ratio of over 10x. This metric highlights the effectiveness of our commercial team as well as the strong value proposition of our platform and solutions for our customers.</w:t>
      </w:r>
    </w:p>
    <w:p>
      <w:pPr>
        <w:spacing w:after="0" w:line="90" w:lineRule="exact"/>
        <w:rPr>
          <w:rFonts w:ascii="Arial" w:cs="Arial" w:eastAsia="Arial" w:hAnsi="Arial"/>
          <w:sz w:val="17"/>
          <w:szCs w:val="17"/>
          <w:color w:val="auto"/>
        </w:rPr>
      </w:pPr>
    </w:p>
    <w:p>
      <w:pPr>
        <w:ind w:left="1360" w:right="40" w:hanging="498"/>
        <w:spacing w:after="0" w:line="253" w:lineRule="auto"/>
        <w:tabs>
          <w:tab w:leader="none" w:pos="136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with a Track Record of Execution. </w:t>
      </w:r>
      <w:r>
        <w:rPr>
          <w:rFonts w:ascii="Arial" w:cs="Arial" w:eastAsia="Arial" w:hAnsi="Arial"/>
          <w:sz w:val="17"/>
          <w:szCs w:val="17"/>
          <w:color w:val="auto"/>
        </w:rPr>
        <w:t>Our founder-led management team has a strong track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of exceptional financial performance and of building an award-winning culture to attract and retain highly talented individuals. We seek to attract, hire, retain and develop the very best by creating an environment that fosters a culture of collaboration, innovation, decisiveness and community-minded values. This effort has been recognized as we have been named a Best Place to Work in each of the last five years in Massachusetts and were named the #1 Best Place to Work in Massachusetts, in the category of “Large” companies, by the Boston Business Journal in 2019.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Market Opportunity</w:t>
      </w:r>
    </w:p>
    <w:p>
      <w:pPr>
        <w:spacing w:after="0" w:line="112"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With the proliferation in types and availability of healthcare data, companies competing in the nearly $4 trillion healthcare ecosystem are investing heavily in data and analytics. According to BIS Research, the global healthcare analytics market is expected to reach $69 billion by 2025, with a compound annual growth rate of 22% since 2017. Given the breadth and diverse applicability of our platform and intelligence, we are uniquely positioned to take advantage of this growth.</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TAM is $10 billion and growing</w:t>
      </w:r>
    </w:p>
    <w:p>
      <w:pPr>
        <w:spacing w:after="0" w:line="108" w:lineRule="exact"/>
        <w:rPr>
          <w:sz w:val="20"/>
          <w:szCs w:val="20"/>
          <w:color w:val="auto"/>
        </w:rPr>
      </w:pPr>
    </w:p>
    <w:p>
      <w:pPr>
        <w:ind w:left="460" w:right="60" w:firstLine="413"/>
        <w:spacing w:after="0" w:line="252" w:lineRule="auto"/>
        <w:rPr>
          <w:sz w:val="20"/>
          <w:szCs w:val="20"/>
          <w:color w:val="auto"/>
        </w:rPr>
      </w:pPr>
      <w:r>
        <w:rPr>
          <w:rFonts w:ascii="Arial" w:cs="Arial" w:eastAsia="Arial" w:hAnsi="Arial"/>
          <w:sz w:val="17"/>
          <w:szCs w:val="17"/>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TAM continues to expand each year in the following ways:</w:t>
      </w:r>
    </w:p>
    <w:p>
      <w:pPr>
        <w:spacing w:after="0" w:line="121" w:lineRule="exact"/>
        <w:rPr>
          <w:sz w:val="20"/>
          <w:szCs w:val="20"/>
          <w:color w:val="auto"/>
        </w:rPr>
      </w:pPr>
    </w:p>
    <w:p>
      <w:pPr>
        <w:ind w:left="1360" w:hanging="498"/>
        <w:spacing w:after="0"/>
        <w:tabs>
          <w:tab w:leader="none" w:pos="13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healthcare industry is growing fast and becoming increasingly complex, driving further demand for healthcare business intelligence.</w:t>
      </w:r>
    </w:p>
    <w:p>
      <w:pPr>
        <w:spacing w:after="0" w:line="144" w:lineRule="exact"/>
        <w:rPr>
          <w:rFonts w:ascii="Arial" w:cs="Arial" w:eastAsia="Arial" w:hAnsi="Arial"/>
          <w:sz w:val="15"/>
          <w:szCs w:val="15"/>
          <w:color w:val="auto"/>
        </w:rPr>
      </w:pPr>
    </w:p>
    <w:p>
      <w:pPr>
        <w:ind w:left="1360" w:hanging="498"/>
        <w:spacing w:after="0"/>
        <w:tabs>
          <w:tab w:leader="none" w:pos="1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Attractive market dynamics are luring more companies into the healthcare ecosystem.</w:t>
      </w:r>
    </w:p>
    <w:p>
      <w:pPr>
        <w:spacing w:after="0" w:line="210" w:lineRule="exact"/>
        <w:rPr>
          <w:sz w:val="20"/>
          <w:szCs w:val="20"/>
          <w:color w:val="auto"/>
        </w:rPr>
      </w:pPr>
    </w:p>
    <w:p>
      <w:pPr>
        <w:ind w:left="460" w:right="580" w:firstLine="413"/>
        <w:spacing w:after="0" w:line="272" w:lineRule="auto"/>
        <w:rPr>
          <w:sz w:val="20"/>
          <w:szCs w:val="20"/>
          <w:color w:val="auto"/>
        </w:rPr>
      </w:pPr>
      <w:r>
        <w:rPr>
          <w:rFonts w:ascii="Arial" w:cs="Arial" w:eastAsia="Arial" w:hAnsi="Arial"/>
          <w:sz w:val="17"/>
          <w:szCs w:val="17"/>
          <w:color w:val="auto"/>
        </w:rPr>
        <w:t>We continue to broaden our use cases, further expanding our potential customer base and creating additional opportunity with our existing customers.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dynamics of the Healthcare industry create tailwinds for Definitive Healthcare</w:t>
      </w:r>
    </w:p>
    <w:p>
      <w:pPr>
        <w:spacing w:after="0" w:line="108"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Healthcare is a growing market undergoing a period of rapid changes that will likely continue. These rapid changes create significant opportunities for us as our customers seek to navigate the impacts of change on their prospects and markets. The Definitive Healthcare platform helps our customers define strategies to navigate</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780"/>
          </w:cols>
          <w:pgMar w:left="320" w:top="465" w:right="79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 A few examples of the dynamics of the healthcare industry that create significant tailwinds for us include:</w:t>
      </w:r>
    </w:p>
    <w:p>
      <w:pPr>
        <w:spacing w:after="0" w:line="121" w:lineRule="exact"/>
        <w:rPr>
          <w:sz w:val="20"/>
          <w:szCs w:val="20"/>
          <w:color w:val="auto"/>
        </w:rPr>
      </w:pPr>
    </w:p>
    <w:p>
      <w:pPr>
        <w:ind w:left="1360" w:right="40" w:hanging="498"/>
        <w:spacing w:after="0" w:line="260" w:lineRule="auto"/>
        <w:tabs>
          <w:tab w:leader="none" w:pos="136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Growth in Overall U.S. Healthcare Spending. </w:t>
      </w:r>
      <w:r>
        <w:rPr>
          <w:rFonts w:ascii="Arial" w:cs="Arial" w:eastAsia="Arial" w:hAnsi="Arial"/>
          <w:sz w:val="17"/>
          <w:szCs w:val="17"/>
          <w:color w:val="auto"/>
        </w:rPr>
        <w:t>According to the Center for Medicare and Medicaid Services, healthcare spending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grow rapidly. Research suggests that growth will be driven in large part by an aging population and the emphasis on healthcare spurred by the COVID-19 pandemic.</w:t>
      </w:r>
    </w:p>
    <w:p>
      <w:pPr>
        <w:spacing w:after="0" w:line="86" w:lineRule="exact"/>
        <w:rPr>
          <w:rFonts w:ascii="Arial" w:cs="Arial" w:eastAsia="Arial" w:hAnsi="Arial"/>
          <w:sz w:val="17"/>
          <w:szCs w:val="17"/>
          <w:color w:val="auto"/>
        </w:rPr>
      </w:pPr>
    </w:p>
    <w:p>
      <w:pPr>
        <w:ind w:left="1360" w:hanging="498"/>
        <w:spacing w:after="0" w:line="260" w:lineRule="auto"/>
        <w:tabs>
          <w:tab w:leader="none" w:pos="136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Shift to Value-based Care. </w:t>
      </w:r>
      <w:r>
        <w:rPr>
          <w:rFonts w:ascii="Arial" w:cs="Arial" w:eastAsia="Arial" w:hAnsi="Arial"/>
          <w:sz w:val="17"/>
          <w:szCs w:val="17"/>
          <w:color w:val="auto"/>
        </w:rPr>
        <w:t>Stakeholders in the healthcare system are focused on measuring outcomes of care delivery within the context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We believe value-based care is pushing fundamental changes in healthcare companies’ economics and is reliant on data-driven analytics as stakeholders reward positive health outcomes and cost efficiencies.</w:t>
      </w:r>
    </w:p>
    <w:p>
      <w:pPr>
        <w:spacing w:after="0" w:line="86" w:lineRule="exact"/>
        <w:rPr>
          <w:rFonts w:ascii="Arial" w:cs="Arial" w:eastAsia="Arial" w:hAnsi="Arial"/>
          <w:sz w:val="17"/>
          <w:szCs w:val="17"/>
          <w:color w:val="auto"/>
        </w:rPr>
      </w:pPr>
    </w:p>
    <w:p>
      <w:pPr>
        <w:ind w:left="1360" w:right="400" w:hanging="498"/>
        <w:spacing w:after="0" w:line="284" w:lineRule="auto"/>
        <w:tabs>
          <w:tab w:leader="none" w:pos="136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Shift to Ambulatory Care and Telemedicine. </w:t>
      </w:r>
      <w:r>
        <w:rPr>
          <w:rFonts w:ascii="Arial" w:cs="Arial" w:eastAsia="Arial" w:hAnsi="Arial"/>
          <w:sz w:val="16"/>
          <w:szCs w:val="16"/>
          <w:color w:val="auto"/>
        </w:rPr>
        <w:t>The continued shift to ambulatory care, telemedicine and other outpatient care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creates further fragmentation in the healthcare ecosystem. Additionally, the COVID-19 pandemic has accelerated the adoption of telemedicine, further decentralizing the delivery of healthcare and cementing the importance of data analytics.</w:t>
      </w:r>
    </w:p>
    <w:p>
      <w:pPr>
        <w:spacing w:after="0" w:line="68" w:lineRule="exact"/>
        <w:rPr>
          <w:rFonts w:ascii="Arial" w:cs="Arial" w:eastAsia="Arial" w:hAnsi="Arial"/>
          <w:sz w:val="16"/>
          <w:szCs w:val="16"/>
          <w:color w:val="auto"/>
        </w:rPr>
      </w:pPr>
    </w:p>
    <w:p>
      <w:pPr>
        <w:jc w:val="both"/>
        <w:ind w:left="1360" w:right="60" w:hanging="498"/>
        <w:spacing w:after="0" w:line="260" w:lineRule="auto"/>
        <w:tabs>
          <w:tab w:leader="none" w:pos="136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Exponential Growth of Complex Data. </w:t>
      </w:r>
      <w:r>
        <w:rPr>
          <w:rFonts w:ascii="Arial" w:cs="Arial" w:eastAsia="Arial" w:hAnsi="Arial"/>
          <w:sz w:val="17"/>
          <w:szCs w:val="17"/>
          <w:color w:val="auto"/>
        </w:rPr>
        <w:t>Electronic health records and other systems have created a proliferation of healthcare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successful companies in the healthcare industry will leverage advanced analytics and A.I. engines in order to manage data that is too complex for traditional technologies.</w:t>
      </w:r>
    </w:p>
    <w:p>
      <w:pPr>
        <w:spacing w:after="0" w:line="86" w:lineRule="exact"/>
        <w:rPr>
          <w:rFonts w:ascii="Arial" w:cs="Arial" w:eastAsia="Arial" w:hAnsi="Arial"/>
          <w:sz w:val="17"/>
          <w:szCs w:val="17"/>
          <w:color w:val="auto"/>
        </w:rPr>
      </w:pPr>
    </w:p>
    <w:p>
      <w:pPr>
        <w:ind w:left="1360" w:right="180" w:hanging="498"/>
        <w:spacing w:after="0" w:line="303" w:lineRule="auto"/>
        <w:tabs>
          <w:tab w:leader="none" w:pos="136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Regulation in Healthcare. </w:t>
      </w:r>
      <w:r>
        <w:rPr>
          <w:rFonts w:ascii="Arial" w:cs="Arial" w:eastAsia="Arial" w:hAnsi="Arial"/>
          <w:sz w:val="16"/>
          <w:szCs w:val="16"/>
          <w:color w:val="auto"/>
        </w:rPr>
        <w:t>New presidential administrations bring in new ideas and changes. We believe we will benefit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recent increases in healthcare regulation as customers require deeper insight to navigate through these changes.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Growth Strategies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intend to drive growth through the following strategies:</w:t>
      </w:r>
    </w:p>
    <w:p>
      <w:pPr>
        <w:spacing w:after="0" w:line="121" w:lineRule="exact"/>
        <w:rPr>
          <w:sz w:val="20"/>
          <w:szCs w:val="20"/>
          <w:color w:val="auto"/>
        </w:rPr>
      </w:pPr>
    </w:p>
    <w:p>
      <w:pPr>
        <w:ind w:left="1360" w:right="180" w:hanging="498"/>
        <w:spacing w:after="0" w:line="287" w:lineRule="auto"/>
        <w:tabs>
          <w:tab w:leader="none" w:pos="1360" w:val="left"/>
        </w:tabs>
        <w:numPr>
          <w:ilvl w:val="0"/>
          <w:numId w:val="10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Acquire New Customers. </w:t>
      </w:r>
      <w:r>
        <w:rPr>
          <w:rFonts w:ascii="Arial" w:cs="Arial" w:eastAsia="Arial" w:hAnsi="Arial"/>
          <w:sz w:val="15"/>
          <w:szCs w:val="15"/>
          <w:color w:val="auto"/>
        </w:rPr>
        <w:t>We believe we have a significant opportunity to continue to expand our market presence through our efficient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go-to-market engine. We have identified 100,000 potential customers across the healthcare ecosystem that we believe could benefit from our platform, a number that continues to grow. Our current customer base of over 2,700 customers implies penetration of less than 3%.</w:t>
      </w:r>
    </w:p>
    <w:p>
      <w:pPr>
        <w:ind w:left="1360"/>
        <w:spacing w:after="0" w:line="257" w:lineRule="auto"/>
        <w:rPr>
          <w:rFonts w:ascii="Arial" w:cs="Arial" w:eastAsia="Arial" w:hAnsi="Arial"/>
          <w:sz w:val="15"/>
          <w:szCs w:val="15"/>
          <w:color w:val="auto"/>
        </w:rPr>
      </w:pPr>
      <w:r>
        <w:rPr>
          <w:rFonts w:ascii="Arial" w:cs="Arial" w:eastAsia="Arial" w:hAnsi="Arial"/>
          <w:sz w:val="17"/>
          <w:szCs w:val="17"/>
          <w:color w:val="auto"/>
        </w:rPr>
        <w:t>Since June 30, 2020, we added more than 750 new customers and increased our investment in new logo sales capacity by 20% as measured by the number of directors and sales executives.</w:t>
      </w:r>
    </w:p>
    <w:p>
      <w:pPr>
        <w:spacing w:after="0" w:line="88" w:lineRule="exact"/>
        <w:rPr>
          <w:rFonts w:ascii="Arial" w:cs="Arial" w:eastAsia="Arial" w:hAnsi="Arial"/>
          <w:sz w:val="15"/>
          <w:szCs w:val="15"/>
          <w:color w:val="auto"/>
        </w:rPr>
      </w:pPr>
    </w:p>
    <w:p>
      <w:pPr>
        <w:ind w:left="1360" w:right="40" w:hanging="498"/>
        <w:spacing w:after="0" w:line="256" w:lineRule="auto"/>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Relationships with Existing Customers. </w:t>
      </w:r>
      <w:r>
        <w:rPr>
          <w:rFonts w:ascii="Arial" w:cs="Arial" w:eastAsia="Arial" w:hAnsi="Arial"/>
          <w:sz w:val="17"/>
          <w:szCs w:val="17"/>
          <w:color w:val="auto"/>
        </w:rPr>
        <w:t>We have significant opportunity to generate additional revenue from our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relationships by selling additional modules, functionality and features in addition to increasing the number of users at a customer by expanding into new teams and departments. As of September 30, 2021, 76% of our customers subscribe to fewer than four of our modules, highlighting the opportunity to expand the usage of our platform.</w:t>
      </w:r>
    </w:p>
    <w:p>
      <w:pPr>
        <w:spacing w:after="0" w:line="90" w:lineRule="exact"/>
        <w:rPr>
          <w:rFonts w:ascii="Arial" w:cs="Arial" w:eastAsia="Arial" w:hAnsi="Arial"/>
          <w:sz w:val="17"/>
          <w:szCs w:val="17"/>
          <w:color w:val="auto"/>
        </w:rPr>
      </w:pPr>
    </w:p>
    <w:p>
      <w:pPr>
        <w:jc w:val="both"/>
        <w:ind w:left="1360" w:right="140" w:hanging="498"/>
        <w:spacing w:after="0" w:line="256" w:lineRule="auto"/>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Innovate to Strengthen our Platform and Market Leadership Position. </w:t>
      </w:r>
      <w:r>
        <w:rPr>
          <w:rFonts w:ascii="Arial" w:cs="Arial" w:eastAsia="Arial" w:hAnsi="Arial"/>
          <w:sz w:val="17"/>
          <w:szCs w:val="17"/>
          <w:color w:val="auto"/>
        </w:rPr>
        <w:t>We have been highly innovative since our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2011, and we continue to disrupt the healthcare ecosystem with new data sources, analytics, data science and workflow products. New innovations allow us to increase new deal velocity, deepen our relationships with existing customers and demand higher prices. We have and will continue to innovate in the following ways:</w:t>
      </w:r>
    </w:p>
    <w:p>
      <w:pPr>
        <w:spacing w:after="0" w:line="90" w:lineRule="exact"/>
        <w:rPr>
          <w:rFonts w:ascii="Arial" w:cs="Arial" w:eastAsia="Arial" w:hAnsi="Arial"/>
          <w:sz w:val="17"/>
          <w:szCs w:val="17"/>
          <w:color w:val="auto"/>
        </w:rPr>
      </w:pPr>
    </w:p>
    <w:p>
      <w:pPr>
        <w:ind w:left="1780" w:right="380" w:hanging="398"/>
        <w:spacing w:after="0" w:line="272" w:lineRule="auto"/>
        <w:tabs>
          <w:tab w:leader="none" w:pos="1780" w:val="left"/>
        </w:tabs>
        <w:numPr>
          <w:ilvl w:val="1"/>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New data sources: </w:t>
      </w:r>
      <w:r>
        <w:rPr>
          <w:rFonts w:ascii="Arial" w:cs="Arial" w:eastAsia="Arial" w:hAnsi="Arial"/>
          <w:sz w:val="17"/>
          <w:szCs w:val="17"/>
          <w:color w:val="auto"/>
        </w:rPr>
        <w:t>To date, we have launched 13 highly integrated intelligence modules that make up the Definitive Healthcare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including our most recent addition of a prescription drug claims source of data.</w:t>
      </w:r>
    </w:p>
    <w:p>
      <w:pPr>
        <w:spacing w:after="0" w:line="76" w:lineRule="exact"/>
        <w:rPr>
          <w:rFonts w:ascii="Arial" w:cs="Arial" w:eastAsia="Arial" w:hAnsi="Arial"/>
          <w:sz w:val="17"/>
          <w:szCs w:val="17"/>
          <w:color w:val="auto"/>
        </w:rPr>
      </w:pPr>
    </w:p>
    <w:p>
      <w:pPr>
        <w:ind w:left="1780" w:right="240" w:hanging="398"/>
        <w:spacing w:after="0" w:line="260" w:lineRule="auto"/>
        <w:tabs>
          <w:tab w:leader="none" w:pos="1780" w:val="left"/>
        </w:tabs>
        <w:numPr>
          <w:ilvl w:val="1"/>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Analytics: </w:t>
      </w:r>
      <w:r>
        <w:rPr>
          <w:rFonts w:ascii="Arial" w:cs="Arial" w:eastAsia="Arial" w:hAnsi="Arial"/>
          <w:sz w:val="17"/>
          <w:szCs w:val="17"/>
          <w:color w:val="auto"/>
        </w:rPr>
        <w:t>We are continuously updating our platform to include new features and updates to our intelligence modules.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enhancements drive customer renewals, average price and deal velocity. For example, our historical affiliation trends and updated diagnosis includes ICD-10 designations from medical billing and coding.</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780"/>
          </w:cols>
          <w:pgMar w:left="320" w:top="465" w:right="79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780" w:right="80" w:hanging="398"/>
        <w:spacing w:after="0" w:line="254" w:lineRule="auto"/>
        <w:tabs>
          <w:tab w:leader="none" w:pos="1780" w:val="left"/>
        </w:tabs>
        <w:numPr>
          <w:ilvl w:val="1"/>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science: </w:t>
      </w:r>
      <w:r>
        <w:rPr>
          <w:rFonts w:ascii="Arial" w:cs="Arial" w:eastAsia="Arial" w:hAnsi="Arial"/>
          <w:sz w:val="17"/>
          <w:szCs w:val="17"/>
          <w:color w:val="auto"/>
        </w:rPr>
        <w:t>We continue to add skilled data scientists to our growing team to focus on building out new linkages and intelligence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AI. Our data scientists are important to our growth and we are always working to develop new algorithms to better link, cleanse and ingest information from multiple disparate sources and also generate new intelligence to be added to the platform. Our telemedicine propensity score and our strength of affiliation metrics demonstrate that data science is an important driver of our growth.</w:t>
      </w:r>
    </w:p>
    <w:p>
      <w:pPr>
        <w:spacing w:after="0" w:line="92" w:lineRule="exact"/>
        <w:rPr>
          <w:rFonts w:ascii="Arial" w:cs="Arial" w:eastAsia="Arial" w:hAnsi="Arial"/>
          <w:sz w:val="17"/>
          <w:szCs w:val="17"/>
          <w:color w:val="auto"/>
        </w:rPr>
      </w:pPr>
    </w:p>
    <w:p>
      <w:pPr>
        <w:ind w:left="1780" w:right="40" w:hanging="398"/>
        <w:spacing w:after="0" w:line="256" w:lineRule="auto"/>
        <w:tabs>
          <w:tab w:leader="none" w:pos="1780" w:val="left"/>
        </w:tabs>
        <w:numPr>
          <w:ilvl w:val="1"/>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Workflow products: </w:t>
      </w:r>
      <w:r>
        <w:rPr>
          <w:rFonts w:ascii="Arial" w:cs="Arial" w:eastAsia="Arial" w:hAnsi="Arial"/>
          <w:sz w:val="17"/>
          <w:szCs w:val="17"/>
          <w:color w:val="auto"/>
        </w:rPr>
        <w:t>We continue to build solutions to our customers’ important problems and seamlessly embed our platform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workflow. For example, our Latitude module allows customers to not only identify valuable patient cohorts, but also provides customers with a workflow product for Life Sciences sales representatives to build deep relationships with targeted physicians.</w:t>
      </w:r>
    </w:p>
    <w:p>
      <w:pPr>
        <w:spacing w:after="0" w:line="90" w:lineRule="exact"/>
        <w:rPr>
          <w:rFonts w:ascii="Arial" w:cs="Arial" w:eastAsia="Arial" w:hAnsi="Arial"/>
          <w:sz w:val="17"/>
          <w:szCs w:val="17"/>
          <w:color w:val="auto"/>
        </w:rPr>
      </w:pPr>
    </w:p>
    <w:p>
      <w:pPr>
        <w:ind w:left="1360" w:right="180" w:hanging="498"/>
        <w:spacing w:after="0" w:line="274" w:lineRule="auto"/>
        <w:tabs>
          <w:tab w:leader="none" w:pos="136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Make Selective Strategic Acquisitions and Investments</w:t>
      </w:r>
      <w:r>
        <w:rPr>
          <w:rFonts w:ascii="Arial" w:cs="Arial" w:eastAsia="Arial" w:hAnsi="Arial"/>
          <w:sz w:val="16"/>
          <w:szCs w:val="16"/>
          <w:color w:val="auto"/>
        </w:rPr>
        <w:t>. We will continue to consider acquisitions that we believe would enhance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capabilities or increase the scope of our platform, including new data assets, new analytics to deliver value from our intelligence or new paths to further integrate our platform into customer workflows. We have a successful track record of M&amp;A execution and integration, with five acquisitions over the last several years. While we expect organic expansion to continue to be the primary driver of our growth, we believe acquisitions can be a meaningful driver of incremental growth.</w:t>
      </w:r>
    </w:p>
    <w:p>
      <w:pPr>
        <w:spacing w:after="0" w:line="165"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We also regularly assess investment opportunities that will further our continued growth. We are currently targeting three key areas for investments: the expansion of our sales capacity and marketing capabilities, innovation and product development to expand our platform and general and administrative investments to support our operations as a public company.</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Platform Modules</w:t>
      </w:r>
    </w:p>
    <w:p>
      <w:pPr>
        <w:spacing w:after="0" w:line="112" w:lineRule="exact"/>
        <w:rPr>
          <w:sz w:val="20"/>
          <w:szCs w:val="20"/>
          <w:color w:val="auto"/>
        </w:rPr>
      </w:pPr>
    </w:p>
    <w:p>
      <w:pPr>
        <w:ind w:left="460" w:right="140" w:firstLine="413"/>
        <w:spacing w:after="0" w:line="340" w:lineRule="auto"/>
        <w:rPr>
          <w:sz w:val="20"/>
          <w:szCs w:val="20"/>
          <w:color w:val="auto"/>
        </w:rPr>
      </w:pPr>
      <w:r>
        <w:rPr>
          <w:rFonts w:ascii="Arial" w:cs="Arial" w:eastAsia="Arial" w:hAnsi="Arial"/>
          <w:sz w:val="15"/>
          <w:szCs w:val="15"/>
          <w:color w:val="auto"/>
        </w:rPr>
        <w:t>Our platform is comprised of comprehensive intelligence and analytics on healthcare providers across the U.S. healthcare ecosystem. Integrated together through data science and our SaaS platform, we deliver in-depth commercial intelligence to help our customers succeed in healthcare.</w:t>
      </w:r>
    </w:p>
    <w:p>
      <w:pPr>
        <w:spacing w:after="0" w:line="119"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Our platform includes integrated intelligence modules and workflow products that provide customers access to intelligence and tools at all levels of the healthcare ecosystem.</w:t>
      </w:r>
    </w:p>
    <w:p>
      <w:pPr>
        <w:spacing w:after="0" w:line="76" w:lineRule="exact"/>
        <w:rPr>
          <w:sz w:val="20"/>
          <w:szCs w:val="20"/>
          <w:color w:val="auto"/>
        </w:rPr>
      </w:pPr>
    </w:p>
    <w:p>
      <w:pPr>
        <w:ind w:left="1360" w:right="140" w:hanging="498"/>
        <w:spacing w:after="0" w:line="256" w:lineRule="auto"/>
        <w:tabs>
          <w:tab w:leader="none" w:pos="136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Integrated Intelligence Modules</w:t>
      </w:r>
      <w:r>
        <w:rPr>
          <w:rFonts w:ascii="Arial" w:cs="Arial" w:eastAsia="Arial" w:hAnsi="Arial"/>
          <w:sz w:val="17"/>
          <w:szCs w:val="17"/>
          <w:color w:val="auto"/>
        </w:rPr>
        <w:t>: Customers may purchase any of 13 different intelligence modules providing access to intelligence on</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segments of the healthcare ecosystem. These modules include ClaimsMx, ClaimsRx, ConnectedCareView, ClinicView, HospitalView, ImagingView, LongTermCareView, PhysicianGroupView, PhysicianView, SpecialtyRxView, SurgeryCenterView, Monocl ExpertInsight and Monocl ClaimsMx.</w:t>
      </w:r>
    </w:p>
    <w:p>
      <w:pPr>
        <w:spacing w:after="0" w:line="90" w:lineRule="exact"/>
        <w:rPr>
          <w:rFonts w:ascii="Arial" w:cs="Arial" w:eastAsia="Arial" w:hAnsi="Arial"/>
          <w:sz w:val="17"/>
          <w:szCs w:val="17"/>
          <w:color w:val="auto"/>
        </w:rPr>
      </w:pPr>
    </w:p>
    <w:p>
      <w:pPr>
        <w:ind w:left="1360" w:hanging="498"/>
        <w:spacing w:after="0" w:line="260" w:lineRule="auto"/>
        <w:tabs>
          <w:tab w:leader="none" w:pos="136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Workflow products</w:t>
      </w:r>
      <w:r>
        <w:rPr>
          <w:rFonts w:ascii="Arial" w:cs="Arial" w:eastAsia="Arial" w:hAnsi="Arial"/>
          <w:sz w:val="17"/>
          <w:szCs w:val="17"/>
          <w:color w:val="auto"/>
        </w:rPr>
        <w:t>: Customers can add additional workflow tools to power deeper analytics or to connect our intelligence deeper into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These modules include Definitive Healthcare Data Integration Package, Definitive Healthcare Mobile, Latitude Reporting, PatientFinder, Definitive Healthcare Connect, Monocl Engage and Monocl Connect.</w:t>
      </w:r>
    </w:p>
    <w:p>
      <w:pPr>
        <w:spacing w:after="0" w:line="175"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Each of the providers in our integrated platform is tied together with a universal identifier called the Definitive Healthcare ID. The Definitive Healthcare ID has become the standard for many of our customers and allows them to understand the linkages between providers as well as to connect the intelligence from the Definitive Healthcare platform to both internal and third-party information.</w:t>
      </w:r>
    </w:p>
    <w:p>
      <w:pPr>
        <w:spacing w:after="0" w:line="175"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Customers often purchase multiple modules in bundles to help develop products for or compete in the healthcare ecosystem. Within each of our modules, we provide in-depth intelligence and analytical features that help our customers segment the provider universe, perform deep research on each provider and identify decision makers.</w:t>
      </w:r>
    </w:p>
    <w:p>
      <w:pPr>
        <w:spacing w:after="0" w:line="11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740"/>
          </w:cols>
          <w:pgMar w:left="320" w:top="465" w:right="8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Examples of important intelligence provided within the modules include the following:</w:t>
      </w:r>
    </w:p>
    <w:p>
      <w:pPr>
        <w:spacing w:after="0" w:line="121" w:lineRule="exact"/>
        <w:rPr>
          <w:sz w:val="20"/>
          <w:szCs w:val="20"/>
          <w:color w:val="auto"/>
        </w:rPr>
      </w:pPr>
    </w:p>
    <w:p>
      <w:pPr>
        <w:ind w:left="1360" w:hanging="498"/>
        <w:spacing w:after="0"/>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Affiliations and relationships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Referral patterns</w:t>
      </w:r>
    </w:p>
    <w:p>
      <w:pPr>
        <w:spacing w:after="0" w:line="235" w:lineRule="exact"/>
        <w:rPr>
          <w:rFonts w:ascii="Arial" w:cs="Arial" w:eastAsia="Arial" w:hAnsi="Arial"/>
          <w:sz w:val="17"/>
          <w:szCs w:val="17"/>
          <w:color w:val="auto"/>
        </w:rPr>
      </w:pPr>
    </w:p>
    <w:p>
      <w:pPr>
        <w:ind w:left="1360" w:hanging="498"/>
        <w:spacing w:after="0"/>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Procedure and diagnosis volumes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Financial metrics and technology installs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Executive and physician decision makers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Dashboards that provide insight not data</w:t>
      </w:r>
    </w:p>
    <w:p>
      <w:pPr>
        <w:spacing w:after="0" w:line="210"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Customers utilize the Definitive Healthcare platform broadly throughout their organization to solve a variety of large, high-stakes problems as demonstrated by the following examples.</w:t>
      </w:r>
    </w:p>
    <w:p>
      <w:pPr>
        <w:spacing w:after="0" w:line="72" w:lineRule="exact"/>
        <w:rPr>
          <w:sz w:val="20"/>
          <w:szCs w:val="20"/>
          <w:color w:val="auto"/>
        </w:rPr>
      </w:pPr>
    </w:p>
    <w:p>
      <w:pPr>
        <w:ind w:left="1360" w:hanging="498"/>
        <w:spacing w:after="0"/>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 xml:space="preserve">Sales: </w:t>
      </w:r>
      <w:r>
        <w:rPr>
          <w:rFonts w:ascii="Arial" w:cs="Arial" w:eastAsia="Arial" w:hAnsi="Arial"/>
          <w:sz w:val="17"/>
          <w:szCs w:val="17"/>
          <w:color w:val="auto"/>
        </w:rPr>
        <w:t>Identifying the Right Prospects</w:t>
      </w:r>
    </w:p>
    <w:p>
      <w:pPr>
        <w:spacing w:after="0" w:line="125" w:lineRule="exact"/>
        <w:rPr>
          <w:rFonts w:ascii="Arial" w:cs="Arial" w:eastAsia="Arial" w:hAnsi="Arial"/>
          <w:sz w:val="17"/>
          <w:szCs w:val="17"/>
          <w:color w:val="auto"/>
        </w:rPr>
      </w:pPr>
    </w:p>
    <w:p>
      <w:pPr>
        <w:ind w:left="1780" w:hanging="398"/>
        <w:spacing w:after="0" w:line="235" w:lineRule="auto"/>
        <w:tabs>
          <w:tab w:leader="none" w:pos="1780" w:val="left"/>
        </w:tabs>
        <w:numPr>
          <w:ilvl w:val="1"/>
          <w:numId w:val="107"/>
        </w:numPr>
        <w:rPr>
          <w:rFonts w:ascii="Arial" w:cs="Arial" w:eastAsia="Arial" w:hAnsi="Arial"/>
          <w:sz w:val="23"/>
          <w:szCs w:val="23"/>
          <w:color w:val="auto"/>
          <w:vertAlign w:val="superscript"/>
        </w:rPr>
      </w:pPr>
      <w:r>
        <w:rPr>
          <w:rFonts w:ascii="Arial" w:cs="Arial" w:eastAsia="Arial" w:hAnsi="Arial"/>
          <w:sz w:val="17"/>
          <w:szCs w:val="17"/>
          <w:color w:val="auto"/>
        </w:rPr>
        <w:t>A HCIT company wanted to identify health systems and physician groups that were most likely to engage with their new telemedicine technology. Utilizing the Definitive Healthcare platform, the company was able to understand adoption of telemedicine at the provider level and combine that with details on the existing electronic health record (“EHR”) system to identify provider prospects that not only would be interested in the new technology, but also would have an ease of implementation given the EHR linkages that had already been built.</w:t>
      </w:r>
    </w:p>
    <w:p>
      <w:pPr>
        <w:spacing w:after="0" w:line="102" w:lineRule="exact"/>
        <w:rPr>
          <w:rFonts w:ascii="Arial" w:cs="Arial" w:eastAsia="Arial" w:hAnsi="Arial"/>
          <w:sz w:val="23"/>
          <w:szCs w:val="23"/>
          <w:color w:val="auto"/>
          <w:vertAlign w:val="superscript"/>
        </w:rPr>
      </w:pPr>
    </w:p>
    <w:p>
      <w:pPr>
        <w:ind w:left="1780" w:hanging="398"/>
        <w:spacing w:after="0" w:line="254" w:lineRule="auto"/>
        <w:tabs>
          <w:tab w:leader="none" w:pos="1780" w:val="left"/>
        </w:tabs>
        <w:numPr>
          <w:ilvl w:val="1"/>
          <w:numId w:val="107"/>
        </w:numPr>
        <w:rPr>
          <w:rFonts w:ascii="Arial" w:cs="Arial" w:eastAsia="Arial" w:hAnsi="Arial"/>
          <w:sz w:val="21"/>
          <w:szCs w:val="21"/>
          <w:color w:val="auto"/>
          <w:vertAlign w:val="superscript"/>
        </w:rPr>
      </w:pPr>
      <w:r>
        <w:rPr>
          <w:rFonts w:ascii="Arial" w:cs="Arial" w:eastAsia="Arial" w:hAnsi="Arial"/>
          <w:sz w:val="16"/>
          <w:szCs w:val="16"/>
          <w:color w:val="auto"/>
        </w:rPr>
        <w:t>A HCIT company makes a solution that streamlines the patient waiting room experience and optimizes healthcare practices’ operations. The company was bringing a new product to market that integrates with a specific EMR system and needed to identify physician groups that utilized this EMR to increase their conversion rate. Using Definitive Healthcare data, the company was able to effectively segment their market by physician group and compatible technology criteria and identify the right decision makers at each organization. In doing so, the company increased its conversion rate from 4% to 19%.</w:t>
      </w:r>
    </w:p>
    <w:p>
      <w:pPr>
        <w:spacing w:after="0" w:line="384" w:lineRule="exact"/>
        <w:rPr>
          <w:sz w:val="20"/>
          <w:szCs w:val="20"/>
          <w:color w:val="auto"/>
        </w:rPr>
      </w:pPr>
    </w:p>
    <w:p>
      <w:pPr>
        <w:ind w:left="3780"/>
        <w:spacing w:after="0"/>
        <w:rPr>
          <w:sz w:val="20"/>
          <w:szCs w:val="20"/>
          <w:color w:val="auto"/>
        </w:rPr>
      </w:pPr>
      <w:r>
        <w:rPr>
          <w:rFonts w:ascii="Arial" w:cs="Arial" w:eastAsia="Arial" w:hAnsi="Arial"/>
          <w:sz w:val="17"/>
          <w:szCs w:val="17"/>
          <w:b w:val="1"/>
          <w:bCs w:val="1"/>
          <w:i w:val="1"/>
          <w:iCs w:val="1"/>
          <w:color w:val="auto"/>
        </w:rPr>
        <w:t>Map Technology Implementations Used by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156845</wp:posOffset>
            </wp:positionV>
            <wp:extent cx="4800600" cy="2074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80060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740"/>
          </w:cols>
          <w:pgMar w:left="320" w:top="465" w:right="83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1360" w:hanging="498"/>
        <w:spacing w:after="0"/>
        <w:tabs>
          <w:tab w:leader="none" w:pos="136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Marketing: </w:t>
      </w:r>
      <w:r>
        <w:rPr>
          <w:rFonts w:ascii="Arial" w:cs="Arial" w:eastAsia="Arial" w:hAnsi="Arial"/>
          <w:sz w:val="17"/>
          <w:szCs w:val="17"/>
          <w:color w:val="auto"/>
        </w:rPr>
        <w:t>Demonstrating a Quantifiable ROI</w:t>
      </w:r>
    </w:p>
    <w:p>
      <w:pPr>
        <w:spacing w:after="0" w:line="125" w:lineRule="exact"/>
        <w:rPr>
          <w:rFonts w:ascii="Arial" w:cs="Arial" w:eastAsia="Arial" w:hAnsi="Arial"/>
          <w:sz w:val="17"/>
          <w:szCs w:val="17"/>
          <w:color w:val="auto"/>
        </w:rPr>
      </w:pPr>
    </w:p>
    <w:p>
      <w:pPr>
        <w:ind w:left="1780" w:hanging="398"/>
        <w:spacing w:after="0" w:line="238" w:lineRule="auto"/>
        <w:tabs>
          <w:tab w:leader="none" w:pos="1780" w:val="left"/>
        </w:tabs>
        <w:numPr>
          <w:ilvl w:val="1"/>
          <w:numId w:val="108"/>
        </w:numPr>
        <w:rPr>
          <w:rFonts w:ascii="Arial" w:cs="Arial" w:eastAsia="Arial" w:hAnsi="Arial"/>
          <w:sz w:val="23"/>
          <w:szCs w:val="23"/>
          <w:color w:val="auto"/>
          <w:vertAlign w:val="superscript"/>
        </w:rPr>
      </w:pPr>
      <w:r>
        <w:rPr>
          <w:rFonts w:ascii="Arial" w:cs="Arial" w:eastAsia="Arial" w:hAnsi="Arial"/>
          <w:sz w:val="17"/>
          <w:szCs w:val="17"/>
          <w:i w:val="1"/>
          <w:iCs w:val="1"/>
          <w:color w:val="auto"/>
        </w:rPr>
        <w:t>A medical device company was launching a product that minimizes the risk of acute kidney injury and wanted a way to educate their buyers on how this novel approach could benefit at-risk patient populations. The company leveraged the Definitive Healthcare platform to (i) identify the providers and their referrers with the at-risk patients, (ii) quantify the ROI by demonstrating the value of reducing acute kidney injury based on the number of patients impacted for each provider, and (iii) execute the campaign utilizing our deep executive and physician decision maker intelligence. The company ultimately increased its booked meetings by nearly 70% in the four months following implementing the Definitive Healthcare platform when compared against the four months prior to its implementation.</w:t>
      </w:r>
    </w:p>
    <w:p>
      <w:pPr>
        <w:spacing w:after="0" w:line="398" w:lineRule="exact"/>
        <w:rPr>
          <w:sz w:val="20"/>
          <w:szCs w:val="20"/>
          <w:color w:val="auto"/>
        </w:rPr>
      </w:pPr>
    </w:p>
    <w:p>
      <w:pPr>
        <w:ind w:left="3700"/>
        <w:spacing w:after="0"/>
        <w:rPr>
          <w:sz w:val="20"/>
          <w:szCs w:val="20"/>
          <w:color w:val="auto"/>
        </w:rPr>
      </w:pPr>
      <w:r>
        <w:rPr>
          <w:rFonts w:ascii="Arial" w:cs="Arial" w:eastAsia="Arial" w:hAnsi="Arial"/>
          <w:sz w:val="17"/>
          <w:szCs w:val="17"/>
          <w:b w:val="1"/>
          <w:bCs w:val="1"/>
          <w:i w:val="1"/>
          <w:iCs w:val="1"/>
          <w:color w:val="auto"/>
        </w:rPr>
        <w:t>View Referral Patterns to Identify Key Decision 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157480</wp:posOffset>
            </wp:positionV>
            <wp:extent cx="4639945" cy="19862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39945" cy="198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60" w:hanging="498"/>
        <w:spacing w:after="0"/>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Clinical Research &amp; Product Development: </w:t>
      </w:r>
      <w:r>
        <w:rPr>
          <w:rFonts w:ascii="Arial" w:cs="Arial" w:eastAsia="Arial" w:hAnsi="Arial"/>
          <w:sz w:val="17"/>
          <w:szCs w:val="17"/>
          <w:color w:val="auto"/>
        </w:rPr>
        <w:t>Disease and Commercial Market Targeting</w:t>
      </w:r>
    </w:p>
    <w:p>
      <w:pPr>
        <w:spacing w:after="0" w:line="125" w:lineRule="exact"/>
        <w:rPr>
          <w:rFonts w:ascii="Arial" w:cs="Arial" w:eastAsia="Arial" w:hAnsi="Arial"/>
          <w:sz w:val="17"/>
          <w:szCs w:val="17"/>
          <w:color w:val="auto"/>
        </w:rPr>
      </w:pPr>
    </w:p>
    <w:p>
      <w:pPr>
        <w:ind w:left="1780" w:right="60" w:hanging="398"/>
        <w:spacing w:after="0" w:line="237" w:lineRule="auto"/>
        <w:tabs>
          <w:tab w:leader="none" w:pos="1780" w:val="left"/>
        </w:tabs>
        <w:numPr>
          <w:ilvl w:val="1"/>
          <w:numId w:val="109"/>
        </w:numPr>
        <w:rPr>
          <w:rFonts w:ascii="Arial" w:cs="Arial" w:eastAsia="Arial" w:hAnsi="Arial"/>
          <w:sz w:val="23"/>
          <w:szCs w:val="23"/>
          <w:color w:val="auto"/>
          <w:vertAlign w:val="superscript"/>
        </w:rPr>
      </w:pPr>
      <w:r>
        <w:rPr>
          <w:rFonts w:ascii="Arial" w:cs="Arial" w:eastAsia="Arial" w:hAnsi="Arial"/>
          <w:sz w:val="17"/>
          <w:szCs w:val="17"/>
          <w:i w:val="1"/>
          <w:iCs w:val="1"/>
          <w:color w:val="auto"/>
        </w:rPr>
        <w:t>The Medical Affairs department within the rare disease division of a mid-sized international biotech company had a 20-person field team of medical science liaisons (“MSLs”). This organization had a list of external experts for the MSLs to target, the list was created via a one-time project with no real time updates. The company utilized the Definitive Healthcare platform to identify experts globally within their field and stay updated on new research, clinical trials and speaking engagements for those experts. This real-time access ensured the company was at the forefront of cutting-edge research and was able to identify new emerging experts across the globe.</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780"/>
          </w:cols>
          <w:pgMar w:left="320" w:top="465" w:right="79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2920"/>
        <w:spacing w:after="0"/>
        <w:rPr>
          <w:sz w:val="20"/>
          <w:szCs w:val="20"/>
          <w:color w:val="auto"/>
        </w:rPr>
      </w:pPr>
      <w:r>
        <w:rPr>
          <w:rFonts w:ascii="Arial" w:cs="Arial" w:eastAsia="Arial" w:hAnsi="Arial"/>
          <w:sz w:val="17"/>
          <w:szCs w:val="17"/>
          <w:b w:val="1"/>
          <w:bCs w:val="1"/>
          <w:i w:val="1"/>
          <w:iCs w:val="1"/>
          <w:color w:val="auto"/>
        </w:rPr>
        <w:t>Size Markets and Commit Investment Resources Based on Sound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157480</wp:posOffset>
            </wp:positionV>
            <wp:extent cx="4639945" cy="19862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639945" cy="198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60" w:hanging="498"/>
        <w:spacing w:after="0"/>
        <w:tabs>
          <w:tab w:leader="none" w:pos="136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 xml:space="preserve">Strategy: </w:t>
      </w:r>
      <w:r>
        <w:rPr>
          <w:rFonts w:ascii="Arial" w:cs="Arial" w:eastAsia="Arial" w:hAnsi="Arial"/>
          <w:sz w:val="17"/>
          <w:szCs w:val="17"/>
          <w:color w:val="auto"/>
        </w:rPr>
        <w:t>Locating Adjacent Markets and Underdiagnosed Patients</w:t>
      </w:r>
    </w:p>
    <w:p>
      <w:pPr>
        <w:spacing w:after="0" w:line="125" w:lineRule="exact"/>
        <w:rPr>
          <w:rFonts w:ascii="Arial" w:cs="Arial" w:eastAsia="Arial" w:hAnsi="Arial"/>
          <w:sz w:val="17"/>
          <w:szCs w:val="17"/>
          <w:color w:val="auto"/>
        </w:rPr>
      </w:pPr>
    </w:p>
    <w:p>
      <w:pPr>
        <w:ind w:left="1780" w:hanging="398"/>
        <w:spacing w:after="0" w:line="251" w:lineRule="auto"/>
        <w:tabs>
          <w:tab w:leader="none" w:pos="1780" w:val="left"/>
        </w:tabs>
        <w:numPr>
          <w:ilvl w:val="1"/>
          <w:numId w:val="110"/>
        </w:numPr>
        <w:rPr>
          <w:rFonts w:ascii="Arial" w:cs="Arial" w:eastAsia="Arial" w:hAnsi="Arial"/>
          <w:sz w:val="21"/>
          <w:szCs w:val="21"/>
          <w:color w:val="auto"/>
          <w:vertAlign w:val="superscript"/>
        </w:rPr>
      </w:pPr>
      <w:r>
        <w:rPr>
          <w:rFonts w:ascii="Arial" w:cs="Arial" w:eastAsia="Arial" w:hAnsi="Arial"/>
          <w:sz w:val="16"/>
          <w:szCs w:val="16"/>
          <w:i w:val="1"/>
          <w:iCs w:val="1"/>
          <w:color w:val="auto"/>
        </w:rPr>
        <w:t>The oncology division of an international biopharmaceutical company faced difficulties finding physicians who treated an ultra-rare disease. Using the Definitive Healthcare claims analytics modules, the company was able to search for patients with co-morbidities that potentially indicated the presence of a more severe, rare disease. By educating the identified physicians treating these patients, the company was able to yield 15 net new physicians that were not previously on their radar.</w:t>
      </w:r>
    </w:p>
    <w:p>
      <w:pPr>
        <w:spacing w:after="0" w:line="386" w:lineRule="exact"/>
        <w:rPr>
          <w:sz w:val="20"/>
          <w:szCs w:val="20"/>
          <w:color w:val="auto"/>
        </w:rPr>
      </w:pPr>
    </w:p>
    <w:p>
      <w:pPr>
        <w:ind w:left="3100"/>
        <w:spacing w:after="0"/>
        <w:rPr>
          <w:sz w:val="20"/>
          <w:szCs w:val="20"/>
          <w:color w:val="auto"/>
        </w:rPr>
      </w:pPr>
      <w:r>
        <w:rPr>
          <w:rFonts w:ascii="Arial" w:cs="Arial" w:eastAsia="Arial" w:hAnsi="Arial"/>
          <w:sz w:val="17"/>
          <w:szCs w:val="17"/>
          <w:b w:val="1"/>
          <w:bCs w:val="1"/>
          <w:i w:val="1"/>
          <w:iCs w:val="1"/>
          <w:color w:val="auto"/>
        </w:rPr>
        <w:t>Find Patient Populations for More Informed Practitioner Conversations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360" w:hanging="498"/>
        <w:spacing w:after="0"/>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 xml:space="preserve">Talent Acquisition: </w:t>
      </w:r>
      <w:r>
        <w:rPr>
          <w:rFonts w:ascii="Arial" w:cs="Arial" w:eastAsia="Arial" w:hAnsi="Arial"/>
          <w:sz w:val="17"/>
          <w:szCs w:val="17"/>
          <w:color w:val="auto"/>
        </w:rPr>
        <w:t>Addressing Turnover in Critical Healthcare Positions</w:t>
      </w:r>
    </w:p>
    <w:p>
      <w:pPr>
        <w:spacing w:after="0" w:line="125" w:lineRule="exact"/>
        <w:rPr>
          <w:rFonts w:ascii="Arial" w:cs="Arial" w:eastAsia="Arial" w:hAnsi="Arial"/>
          <w:sz w:val="17"/>
          <w:szCs w:val="17"/>
          <w:color w:val="auto"/>
        </w:rPr>
      </w:pPr>
    </w:p>
    <w:p>
      <w:pPr>
        <w:ind w:left="1780" w:right="140" w:hanging="398"/>
        <w:spacing w:after="0" w:line="251" w:lineRule="auto"/>
        <w:tabs>
          <w:tab w:leader="none" w:pos="1780" w:val="left"/>
        </w:tabs>
        <w:numPr>
          <w:ilvl w:val="1"/>
          <w:numId w:val="111"/>
        </w:numPr>
        <w:rPr>
          <w:rFonts w:ascii="Arial" w:cs="Arial" w:eastAsia="Arial" w:hAnsi="Arial"/>
          <w:sz w:val="21"/>
          <w:szCs w:val="21"/>
          <w:color w:val="auto"/>
          <w:vertAlign w:val="superscript"/>
        </w:rPr>
      </w:pPr>
      <w:r>
        <w:rPr>
          <w:rFonts w:ascii="Arial" w:cs="Arial" w:eastAsia="Arial" w:hAnsi="Arial"/>
          <w:sz w:val="16"/>
          <w:szCs w:val="16"/>
          <w:i w:val="1"/>
          <w:iCs w:val="1"/>
          <w:color w:val="auto"/>
        </w:rPr>
        <w:t>A leading staffing firm struggled to quickly and accurately identify hospitals most understaffed, indicating the need for an agency. Additionally, identifying substitute physician status to accurately capture physicians most likely to work with an agency was a challenge. Utilizing the Definitive Healthcare Platform the client analyzed bed utilization rate and contract labor spend to identify the hospitals with the largest need. Once these hospitals and systems were identified, the</w:t>
      </w:r>
    </w:p>
    <w:p>
      <w:pPr>
        <w:spacing w:after="0" w:line="12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760"/>
          </w:cols>
          <w:pgMar w:left="320" w:top="465" w:right="81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agency analyzed individual physician behavior at the hospital level to understand potential physician availability.</w:t>
      </w: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Arial" w:cs="Arial" w:eastAsia="Arial" w:hAnsi="Arial"/>
          <w:sz w:val="17"/>
          <w:szCs w:val="17"/>
          <w:b w:val="1"/>
          <w:bCs w:val="1"/>
          <w:i w:val="1"/>
          <w:iCs w:val="1"/>
          <w:color w:val="auto"/>
        </w:rPr>
        <w:t>Track Ongoing Activity in the Healthcare Ecosystem through Daily-updated News Feeds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157480</wp:posOffset>
            </wp:positionV>
            <wp:extent cx="4599940" cy="19704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99940" cy="197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360" w:hanging="498"/>
        <w:spacing w:after="0"/>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Physician Network Management: </w:t>
      </w:r>
      <w:r>
        <w:rPr>
          <w:rFonts w:ascii="Arial" w:cs="Arial" w:eastAsia="Arial" w:hAnsi="Arial"/>
          <w:sz w:val="17"/>
          <w:szCs w:val="17"/>
          <w:color w:val="auto"/>
        </w:rPr>
        <w:t>Entering New Healthcare End-Markets</w:t>
      </w:r>
    </w:p>
    <w:p>
      <w:pPr>
        <w:spacing w:after="0" w:line="125" w:lineRule="exact"/>
        <w:rPr>
          <w:rFonts w:ascii="Arial" w:cs="Arial" w:eastAsia="Arial" w:hAnsi="Arial"/>
          <w:sz w:val="17"/>
          <w:szCs w:val="17"/>
          <w:color w:val="auto"/>
        </w:rPr>
      </w:pPr>
    </w:p>
    <w:p>
      <w:pPr>
        <w:ind w:left="1780" w:hanging="398"/>
        <w:spacing w:after="0" w:line="273" w:lineRule="auto"/>
        <w:tabs>
          <w:tab w:leader="none" w:pos="1780" w:val="left"/>
        </w:tabs>
        <w:numPr>
          <w:ilvl w:val="1"/>
          <w:numId w:val="112"/>
        </w:numPr>
        <w:rPr>
          <w:rFonts w:ascii="Arial" w:cs="Arial" w:eastAsia="Arial" w:hAnsi="Arial"/>
          <w:sz w:val="20"/>
          <w:szCs w:val="20"/>
          <w:color w:val="auto"/>
          <w:vertAlign w:val="superscript"/>
        </w:rPr>
      </w:pPr>
      <w:r>
        <w:rPr>
          <w:rFonts w:ascii="Arial" w:cs="Arial" w:eastAsia="Arial" w:hAnsi="Arial"/>
          <w:sz w:val="15"/>
          <w:szCs w:val="15"/>
          <w:i w:val="1"/>
          <w:iCs w:val="1"/>
          <w:color w:val="auto"/>
        </w:rPr>
        <w:t>A healthcare provider specializing in behavioral health looking to penetrate new markets relied on time-consuming and cumbersome methods of gathering data and evaluating opportunities. Using the Definitive Healthcare platform, the marketing and business development teams were able to analyze markets much more broadly and quickly to determine market saturation and opportunities where healthcare care access in certain key service lines was limited. As a result, the healthcare provider entered a new market where there was previously limited penetration and is seeking to build out or acquire new facilities in the geographic region.</w:t>
      </w:r>
    </w:p>
    <w:p>
      <w:pPr>
        <w:spacing w:after="0" w:line="372" w:lineRule="exact"/>
        <w:rPr>
          <w:sz w:val="20"/>
          <w:szCs w:val="20"/>
          <w:color w:val="auto"/>
        </w:rPr>
      </w:pPr>
    </w:p>
    <w:p>
      <w:pPr>
        <w:ind w:left="2900"/>
        <w:spacing w:after="0"/>
        <w:rPr>
          <w:sz w:val="20"/>
          <w:szCs w:val="20"/>
          <w:color w:val="auto"/>
        </w:rPr>
      </w:pPr>
      <w:r>
        <w:rPr>
          <w:rFonts w:ascii="Arial" w:cs="Arial" w:eastAsia="Arial" w:hAnsi="Arial"/>
          <w:sz w:val="17"/>
          <w:szCs w:val="17"/>
          <w:b w:val="1"/>
          <w:bCs w:val="1"/>
          <w:i w:val="1"/>
          <w:iCs w:val="1"/>
          <w:color w:val="auto"/>
        </w:rPr>
        <w:t>Analyze Market Data to Create Opportunities that Convert to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1287780</wp:posOffset>
            </wp:positionH>
            <wp:positionV relativeFrom="paragraph">
              <wp:posOffset>157480</wp:posOffset>
            </wp:positionV>
            <wp:extent cx="4567555" cy="19704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67555" cy="197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Innovation of our Platform</w:t>
      </w:r>
    </w:p>
    <w:p>
      <w:pPr>
        <w:spacing w:after="0" w:line="112" w:lineRule="exact"/>
        <w:rPr>
          <w:sz w:val="20"/>
          <w:szCs w:val="20"/>
          <w:color w:val="auto"/>
        </w:rPr>
      </w:pPr>
    </w:p>
    <w:p>
      <w:pPr>
        <w:ind w:left="460" w:right="720" w:firstLine="413"/>
        <w:spacing w:after="0" w:line="272" w:lineRule="auto"/>
        <w:rPr>
          <w:sz w:val="20"/>
          <w:szCs w:val="20"/>
          <w:color w:val="auto"/>
        </w:rPr>
      </w:pPr>
      <w:r>
        <w:rPr>
          <w:rFonts w:ascii="Arial" w:cs="Arial" w:eastAsia="Arial" w:hAnsi="Arial"/>
          <w:sz w:val="17"/>
          <w:szCs w:val="17"/>
          <w:color w:val="auto"/>
        </w:rPr>
        <w:t>We are constantly innovating, evolving and improving our platform in order to adapt to the rapidly changing dynamics of the healthcare ecosystem, as well as to expand the number and sophistication of business problems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760"/>
          </w:cols>
          <w:pgMar w:left="320" w:top="465" w:right="81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that we help our customers solve. This innovation translates into increased value for our customers, as well as deal velocity and creates opportunities to increase sales into our broad existing customer base.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innovate through a combination of the following key activities:</w:t>
      </w:r>
    </w:p>
    <w:p>
      <w:pPr>
        <w:spacing w:after="0" w:line="121" w:lineRule="exact"/>
        <w:rPr>
          <w:sz w:val="20"/>
          <w:szCs w:val="20"/>
          <w:color w:val="auto"/>
        </w:rPr>
      </w:pPr>
    </w:p>
    <w:p>
      <w:pPr>
        <w:jc w:val="both"/>
        <w:ind w:left="1360" w:hanging="498"/>
        <w:spacing w:after="0" w:line="260"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Adding New Data Sources</w:t>
      </w:r>
      <w:r>
        <w:rPr>
          <w:rFonts w:ascii="Arial" w:cs="Arial" w:eastAsia="Arial" w:hAnsi="Arial"/>
          <w:sz w:val="17"/>
          <w:szCs w:val="17"/>
          <w:color w:val="auto"/>
        </w:rPr>
        <w:t>. We are constantly identifying new data sources, big and small, which add to the depth of intelligence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provider in our platform. A few examples of recent additions include intelligence on updated Medicare incentives and information on over 5 billion prescription drugs claims.</w:t>
      </w:r>
    </w:p>
    <w:p>
      <w:pPr>
        <w:spacing w:after="0" w:line="86" w:lineRule="exact"/>
        <w:rPr>
          <w:rFonts w:ascii="Arial" w:cs="Arial" w:eastAsia="Arial" w:hAnsi="Arial"/>
          <w:sz w:val="17"/>
          <w:szCs w:val="17"/>
          <w:color w:val="auto"/>
        </w:rPr>
      </w:pPr>
    </w:p>
    <w:p>
      <w:pPr>
        <w:ind w:left="1360" w:right="220" w:hanging="498"/>
        <w:spacing w:after="0" w:line="256"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Building New Capabilities and Analytics</w:t>
      </w:r>
      <w:r>
        <w:rPr>
          <w:rFonts w:ascii="Arial" w:cs="Arial" w:eastAsia="Arial" w:hAnsi="Arial"/>
          <w:sz w:val="17"/>
          <w:szCs w:val="17"/>
          <w:color w:val="auto"/>
        </w:rPr>
        <w:t>. Giving our customers answers, not data, is at the core of our platform. To do this, we seek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 new analytical capabilities to provide our users with an intuitive platform that gets them to the intelligence they need quickly and effectively. Recently, we added a visual journey of physician affiliations over time and have continued to enhance our report builder capability to allow for increased customization.</w:t>
      </w:r>
    </w:p>
    <w:p>
      <w:pPr>
        <w:spacing w:after="0" w:line="90" w:lineRule="exact"/>
        <w:rPr>
          <w:rFonts w:ascii="Arial" w:cs="Arial" w:eastAsia="Arial" w:hAnsi="Arial"/>
          <w:sz w:val="17"/>
          <w:szCs w:val="17"/>
          <w:color w:val="auto"/>
        </w:rPr>
      </w:pPr>
    </w:p>
    <w:p>
      <w:pPr>
        <w:ind w:left="1360" w:right="40" w:hanging="498"/>
        <w:spacing w:after="0" w:line="311" w:lineRule="auto"/>
        <w:tabs>
          <w:tab w:leader="none" w:pos="1360" w:val="left"/>
        </w:tabs>
        <w:numPr>
          <w:ilvl w:val="0"/>
          <w:numId w:val="113"/>
        </w:numPr>
        <w:rPr>
          <w:rFonts w:ascii="Arial" w:cs="Arial" w:eastAsia="Arial" w:hAnsi="Arial"/>
          <w:sz w:val="15"/>
          <w:szCs w:val="15"/>
          <w:color w:val="auto"/>
        </w:rPr>
      </w:pPr>
      <w:r>
        <w:rPr>
          <w:rFonts w:ascii="Arial" w:cs="Arial" w:eastAsia="Arial" w:hAnsi="Arial"/>
          <w:sz w:val="15"/>
          <w:szCs w:val="15"/>
          <w:b w:val="1"/>
          <w:bCs w:val="1"/>
          <w:i w:val="1"/>
          <w:iCs w:val="1"/>
          <w:color w:val="auto"/>
        </w:rPr>
        <w:t>Creating New Data Science</w:t>
      </w:r>
      <w:r>
        <w:rPr>
          <w:rFonts w:ascii="Arial" w:cs="Arial" w:eastAsia="Arial" w:hAnsi="Arial"/>
          <w:sz w:val="15"/>
          <w:szCs w:val="15"/>
          <w:color w:val="auto"/>
        </w:rPr>
        <w:t>. Our data science team is constantly refining our data and creating new algorithms that generate tangible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intelligence for our customers. Examples include our recently added telemedicine propensity metric as well as our medical claims extrapolations that provide a complete view of procedure and diagnosis volumes across the entire physician universe.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The Flywheel Effect of our Growing Platform</w:t>
      </w:r>
    </w:p>
    <w:p>
      <w:pPr>
        <w:spacing w:after="0" w:line="112" w:lineRule="exact"/>
        <w:rPr>
          <w:sz w:val="20"/>
          <w:szCs w:val="20"/>
          <w:color w:val="auto"/>
        </w:rPr>
      </w:pPr>
    </w:p>
    <w:p>
      <w:pPr>
        <w:ind w:left="460" w:right="440" w:firstLine="413"/>
        <w:spacing w:after="0" w:line="272" w:lineRule="auto"/>
        <w:rPr>
          <w:sz w:val="20"/>
          <w:szCs w:val="20"/>
          <w:color w:val="auto"/>
        </w:rPr>
      </w:pPr>
      <w:r>
        <w:rPr>
          <w:rFonts w:ascii="Arial" w:cs="Arial" w:eastAsia="Arial" w:hAnsi="Arial"/>
          <w:sz w:val="17"/>
          <w:szCs w:val="17"/>
          <w:color w:val="auto"/>
        </w:rPr>
        <w:t>As our intelligence platform continues to expand, each new data source, analytic and algorithm we create has a compounding impact on the overall value of our platform, thereby further increasing our competitive advantage.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Examples of how this works include:</w:t>
      </w:r>
    </w:p>
    <w:p>
      <w:pPr>
        <w:spacing w:after="0" w:line="121" w:lineRule="exact"/>
        <w:rPr>
          <w:sz w:val="20"/>
          <w:szCs w:val="20"/>
          <w:color w:val="auto"/>
        </w:rPr>
      </w:pPr>
    </w:p>
    <w:p>
      <w:pPr>
        <w:ind w:left="1360" w:right="500" w:hanging="498"/>
        <w:spacing w:after="0" w:line="272" w:lineRule="auto"/>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By integrating in scientific research publications, our algorithms are able to identify additional affiliations and increase precision of existing affiliation information;</w:t>
      </w:r>
    </w:p>
    <w:p>
      <w:pPr>
        <w:spacing w:after="0" w:line="76" w:lineRule="exact"/>
        <w:rPr>
          <w:rFonts w:ascii="Arial" w:cs="Arial" w:eastAsia="Arial" w:hAnsi="Arial"/>
          <w:sz w:val="17"/>
          <w:szCs w:val="17"/>
          <w:color w:val="auto"/>
        </w:rPr>
      </w:pPr>
    </w:p>
    <w:p>
      <w:pPr>
        <w:ind w:left="1360" w:right="660" w:hanging="498"/>
        <w:spacing w:after="0" w:line="272" w:lineRule="auto"/>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With the addition of historical claims data to our platform, we can use our affiliations information to understand and map referral relationships as they change over time;</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By pulling in new information on job postings, we can enhance our view on new technology implementations across a health system;</w:t>
      </w:r>
    </w:p>
    <w:p>
      <w:pPr>
        <w:spacing w:after="0" w:line="132" w:lineRule="exact"/>
        <w:rPr>
          <w:rFonts w:ascii="Arial" w:cs="Arial" w:eastAsia="Arial" w:hAnsi="Arial"/>
          <w:sz w:val="16"/>
          <w:szCs w:val="16"/>
          <w:color w:val="auto"/>
        </w:rPr>
      </w:pPr>
    </w:p>
    <w:p>
      <w:pPr>
        <w:ind w:left="1360" w:right="320" w:hanging="498"/>
        <w:spacing w:after="0" w:line="272" w:lineRule="auto"/>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 a result of comparing procedure data at the physician level to that at the physician group and health system level we can determine where decision making power exists; and</w:t>
      </w:r>
    </w:p>
    <w:p>
      <w:pPr>
        <w:spacing w:after="0" w:line="76" w:lineRule="exact"/>
        <w:rPr>
          <w:rFonts w:ascii="Arial" w:cs="Arial" w:eastAsia="Arial" w:hAnsi="Arial"/>
          <w:sz w:val="17"/>
          <w:szCs w:val="17"/>
          <w:color w:val="auto"/>
        </w:rPr>
      </w:pPr>
    </w:p>
    <w:p>
      <w:pPr>
        <w:ind w:left="1360" w:right="480" w:hanging="498"/>
        <w:spacing w:after="0" w:line="272" w:lineRule="auto"/>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Through collecting physician address information for individual physicians from numerous locations, we can triangulate the data to determine primary practice locations with a high degree of accuracy.</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740"/>
          </w:cols>
          <w:pgMar w:left="320" w:top="465" w:right="83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 Continually Reinforcing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2630170</wp:posOffset>
            </wp:positionH>
            <wp:positionV relativeFrom="paragraph">
              <wp:posOffset>160020</wp:posOffset>
            </wp:positionV>
            <wp:extent cx="1881505" cy="18738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81505" cy="187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Technology</w:t>
      </w:r>
    </w:p>
    <w:p>
      <w:pPr>
        <w:spacing w:after="0" w:line="112" w:lineRule="exact"/>
        <w:rPr>
          <w:sz w:val="20"/>
          <w:szCs w:val="20"/>
          <w:color w:val="auto"/>
        </w:rPr>
      </w:pPr>
    </w:p>
    <w:p>
      <w:pPr>
        <w:ind w:left="460" w:right="60" w:firstLine="413"/>
        <w:spacing w:after="0" w:line="284" w:lineRule="auto"/>
        <w:rPr>
          <w:sz w:val="20"/>
          <w:szCs w:val="20"/>
          <w:color w:val="auto"/>
        </w:rPr>
      </w:pPr>
      <w:r>
        <w:rPr>
          <w:rFonts w:ascii="Arial" w:cs="Arial" w:eastAsia="Arial" w:hAnsi="Arial"/>
          <w:sz w:val="16"/>
          <w:szCs w:val="16"/>
          <w:color w:val="auto"/>
        </w:rPr>
        <w:t>The Definitive Healthcare platform is built upon an innovative data-driven, multi-tenant architecture that delivers a secure and reliable solution to our customers. The solution is designed to deeply integrate into customer workflows and channels via Internet browsers, mobile devices, consumable application program interfaces and a variety of other integrations and data exchange mechanisms.</w:t>
      </w:r>
    </w:p>
    <w:p>
      <w:pPr>
        <w:spacing w:after="0" w:line="157"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The platform utilizes a multi-tenant, geographically redundant, hybrid solution to leverage innovative technologies offered by cloud leaders. Using M.L. and deep learning capabilities, proprietary data science models are integrated seamlessly into the data processing pipeline, along with traditional data cleansing and normalization routines, to quickly and efficiently deliver mission critical analytics and insights to market.</w:t>
      </w:r>
    </w:p>
    <w:p>
      <w:pPr>
        <w:spacing w:after="0" w:line="157" w:lineRule="exact"/>
        <w:rPr>
          <w:sz w:val="20"/>
          <w:szCs w:val="20"/>
          <w:color w:val="auto"/>
        </w:rPr>
      </w:pPr>
    </w:p>
    <w:p>
      <w:pPr>
        <w:ind w:left="460" w:right="160" w:firstLine="413"/>
        <w:spacing w:after="0" w:line="340" w:lineRule="auto"/>
        <w:rPr>
          <w:sz w:val="20"/>
          <w:szCs w:val="20"/>
          <w:color w:val="auto"/>
        </w:rPr>
      </w:pPr>
      <w:r>
        <w:rPr>
          <w:rFonts w:ascii="Arial" w:cs="Arial" w:eastAsia="Arial" w:hAnsi="Arial"/>
          <w:sz w:val="15"/>
          <w:szCs w:val="15"/>
          <w:color w:val="auto"/>
        </w:rPr>
        <w:t>Through our continuous integration and delivery model, we can deliver new use cases and workflows quickly and efficiently. New data domains and elements, new analytics, reports and visualizations are consistently being added to the platform to drive additional customer value.</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Customers</w:t>
      </w:r>
    </w:p>
    <w:p>
      <w:pPr>
        <w:spacing w:after="0" w:line="112"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As of September 30, 2021, we have a large and diverse base of over 2,700 customers that sell into or compete in the healthcare ecosystem. Our customers range across include healthcare focused companies such as Life Sciences, HCIT and Healthcare Providers as well as other diversified companies, such as financial institutions, health insurance and medical insurance companies, staffing firms and consultants that are looking to sell into the large healthcare market. Our customer contracts are generally one to three years in term, and typically automatically renew unless terminated. We had 292 Enterprise Customers with over $100,000 in ARR at year end 2020, compared to 221 Enterprise Customers for the year ended December 31, 2019 and our NDR for Enterprise Customers for the year ended December 31, 2020 was 124%. For 2020, our NDR for all customers over $17,500 in ARR was 108%. We had 377 Enterprise Customers as of the nine months ended September 30, 2021 compared to 252 Enterprise Customers as of the nine months ended September 30, 2020, and we added 28 Enterprise Customers in the three months ended September 30, 2021. For the trailing twelve months ended June 30, 2021, our NDR for our 349 Enterprise Customers was 125% and our NDR for all customers over $17,500 in ARR was 111%. No single customer accounted for more than 2% of revenue for the year ended December 31, 2020 or the nine months ended September 30, 2021.</w:t>
      </w:r>
    </w:p>
    <w:p>
      <w:pPr>
        <w:spacing w:after="0" w:line="159"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Our integrated platform is designed to drive commercial success for companies that sell into or competes in the healthcare ecosystem, creating a large end-market for us. Significant end markets include:</w:t>
      </w:r>
    </w:p>
    <w:p>
      <w:pPr>
        <w:spacing w:after="0" w:line="76" w:lineRule="exact"/>
        <w:rPr>
          <w:sz w:val="20"/>
          <w:szCs w:val="20"/>
          <w:color w:val="auto"/>
        </w:rPr>
      </w:pPr>
    </w:p>
    <w:p>
      <w:pPr>
        <w:ind w:left="1360" w:right="200" w:hanging="498"/>
        <w:spacing w:after="0" w:line="303" w:lineRule="auto"/>
        <w:tabs>
          <w:tab w:leader="none" w:pos="1360"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Life Sciences</w:t>
      </w:r>
      <w:r>
        <w:rPr>
          <w:rFonts w:ascii="Arial" w:cs="Arial" w:eastAsia="Arial" w:hAnsi="Arial"/>
          <w:sz w:val="16"/>
          <w:szCs w:val="16"/>
          <w:color w:val="auto"/>
        </w:rPr>
        <w:t>, including biopharmaceutical, medical device and biotechnology companies who utilize the Definitive platform to analyze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 populations, identify experts for clinical trials, develop go-to-market strategies and measure their success.</w:t>
      </w:r>
    </w:p>
    <w:p>
      <w:pPr>
        <w:spacing w:after="0" w:line="8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780"/>
          </w:cols>
          <w:pgMar w:left="320" w:top="465" w:right="79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100" w:hanging="498"/>
        <w:spacing w:after="0" w:line="260" w:lineRule="auto"/>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Healthcare Information Technology (HCIT)</w:t>
      </w:r>
      <w:r>
        <w:rPr>
          <w:rFonts w:ascii="Arial" w:cs="Arial" w:eastAsia="Arial" w:hAnsi="Arial"/>
          <w:sz w:val="17"/>
          <w:szCs w:val="17"/>
          <w:color w:val="auto"/>
        </w:rPr>
        <w:t>, including companies that develop software or related services for the healthcare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utilize the Definitive Healthcare platform to target and segment providers based on need such as high readmission rates, growing service lines (e.g. cardiovascular) or new locations.</w:t>
      </w:r>
    </w:p>
    <w:p>
      <w:pPr>
        <w:spacing w:after="0" w:line="86" w:lineRule="exact"/>
        <w:rPr>
          <w:rFonts w:ascii="Arial" w:cs="Arial" w:eastAsia="Arial" w:hAnsi="Arial"/>
          <w:sz w:val="17"/>
          <w:szCs w:val="17"/>
          <w:color w:val="auto"/>
        </w:rPr>
      </w:pPr>
    </w:p>
    <w:p>
      <w:pPr>
        <w:ind w:left="1360" w:right="480" w:hanging="498"/>
        <w:spacing w:after="0" w:line="260" w:lineRule="auto"/>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Providers, </w:t>
      </w:r>
      <w:r>
        <w:rPr>
          <w:rFonts w:ascii="Arial" w:cs="Arial" w:eastAsia="Arial" w:hAnsi="Arial"/>
          <w:sz w:val="17"/>
          <w:szCs w:val="17"/>
          <w:color w:val="auto"/>
        </w:rPr>
        <w:t>including hospitals, accountable care organizations, long-term care facilities and other healthcare providers,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the Definitive Healthcare platform to identify and build relationships with referring physicians and facilities and to identify opportunities to keep patients in their provider network.</w:t>
      </w:r>
    </w:p>
    <w:p>
      <w:pPr>
        <w:spacing w:after="0" w:line="86" w:lineRule="exact"/>
        <w:rPr>
          <w:rFonts w:ascii="Arial" w:cs="Arial" w:eastAsia="Arial" w:hAnsi="Arial"/>
          <w:sz w:val="17"/>
          <w:szCs w:val="17"/>
          <w:color w:val="auto"/>
        </w:rPr>
      </w:pPr>
    </w:p>
    <w:p>
      <w:pPr>
        <w:jc w:val="both"/>
        <w:ind w:left="1360" w:right="60" w:hanging="498"/>
        <w:spacing w:after="0" w:line="284" w:lineRule="auto"/>
        <w:tabs>
          <w:tab w:leader="none" w:pos="1360" w:val="left"/>
        </w:tabs>
        <w:numPr>
          <w:ilvl w:val="0"/>
          <w:numId w:val="1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Companies, </w:t>
      </w:r>
      <w:r>
        <w:rPr>
          <w:rFonts w:ascii="Arial" w:cs="Arial" w:eastAsia="Arial" w:hAnsi="Arial"/>
          <w:sz w:val="16"/>
          <w:szCs w:val="16"/>
          <w:color w:val="auto"/>
        </w:rPr>
        <w:t>including professional services, financial services, staffing, waste management and other companies that sell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compete in the healthcare ecosystem, access the Definitive Healthcare platform for pricing, targeting and segmentation and for building an ROI case for their products and services based on deep contextual information found in the platform.</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Customer case studies include:</w:t>
      </w:r>
    </w:p>
    <w:p>
      <w:pPr>
        <w:spacing w:after="0" w:line="121" w:lineRule="exact"/>
        <w:rPr>
          <w:sz w:val="20"/>
          <w:szCs w:val="20"/>
          <w:color w:val="auto"/>
        </w:rPr>
      </w:pPr>
    </w:p>
    <w:p>
      <w:pPr>
        <w:ind w:left="1360" w:right="40" w:hanging="498"/>
        <w:spacing w:after="0" w:line="270" w:lineRule="auto"/>
        <w:tabs>
          <w:tab w:leader="none" w:pos="1360"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multinational, biotechnology company </w:t>
      </w:r>
      <w:r>
        <w:rPr>
          <w:rFonts w:ascii="Arial" w:cs="Arial" w:eastAsia="Arial" w:hAnsi="Arial"/>
          <w:sz w:val="16"/>
          <w:szCs w:val="16"/>
          <w:color w:val="auto"/>
        </w:rPr>
        <w:t>first subscribed to the Definitive Healthcare platform in January 2019 at $500,000 ARR in order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enhance their sales strategy with one of their franchises which focuses in rare disease. Given the difficulties of the rare disease space, coupled with being a relatively new drug to market, the customer needed help reaching, communicating with and educating a hard-to- find patient and provider community. Data from Definitive Healthcare’s PhysicianView, HospitalView, ClaimsMx, ClaimsRx and LongTermCareView enabled them to position themselves as a trusted partner and the #1 experts in their space, translating into more of the correct patients on therapy. We have recently expanded our PhysicianView offering, increasing our intelligence on our physician specialities. We have also expanded our HospitalView data with intelligence organizational charts.</w:t>
      </w:r>
    </w:p>
    <w:p>
      <w:pPr>
        <w:spacing w:after="0" w:line="70" w:lineRule="exact"/>
        <w:rPr>
          <w:rFonts w:ascii="Arial" w:cs="Arial" w:eastAsia="Arial" w:hAnsi="Arial"/>
          <w:sz w:val="16"/>
          <w:szCs w:val="16"/>
          <w:color w:val="auto"/>
        </w:rPr>
      </w:pPr>
    </w:p>
    <w:p>
      <w:pPr>
        <w:ind w:left="1380"/>
        <w:spacing w:after="0" w:line="293" w:lineRule="auto"/>
        <w:rPr>
          <w:rFonts w:ascii="Arial" w:cs="Arial" w:eastAsia="Arial" w:hAnsi="Arial"/>
          <w:sz w:val="16"/>
          <w:szCs w:val="16"/>
          <w:color w:val="auto"/>
        </w:rPr>
      </w:pPr>
      <w:r>
        <w:rPr>
          <w:rFonts w:ascii="Arial" w:cs="Arial" w:eastAsia="Arial" w:hAnsi="Arial"/>
          <w:sz w:val="15"/>
          <w:szCs w:val="15"/>
          <w:color w:val="auto"/>
        </w:rPr>
        <w:t>The customer started by leveraging a custom report from Definitive Healthcare to show them exactly how care is delivered in this rare therapy area. It enabled them to provide education to 3 new providers who had not previously known how to diagnose this condition. In this rare disease space, every net new physician had sizable opportunity potential, and this discovery led to getting new patients on therapy. In April 2019, the company expanded on their initial success by purchasing additional Definitive Healthcare data, increasing ARR from $500,000 to $600,000. The additional data supported several outreach campaigns and to design 2 additional custom reports throughout 2019 which resulted in finding 16 more opportunities to provide correct care to this rare community.</w:t>
      </w:r>
    </w:p>
    <w:p>
      <w:pPr>
        <w:spacing w:after="0" w:line="53" w:lineRule="exact"/>
        <w:rPr>
          <w:rFonts w:ascii="Arial" w:cs="Arial" w:eastAsia="Arial" w:hAnsi="Arial"/>
          <w:sz w:val="16"/>
          <w:szCs w:val="16"/>
          <w:color w:val="auto"/>
        </w:rPr>
      </w:pPr>
    </w:p>
    <w:p>
      <w:pPr>
        <w:ind w:left="1380" w:right="60"/>
        <w:spacing w:after="0" w:line="269" w:lineRule="auto"/>
        <w:rPr>
          <w:rFonts w:ascii="Arial" w:cs="Arial" w:eastAsia="Arial" w:hAnsi="Arial"/>
          <w:sz w:val="16"/>
          <w:szCs w:val="16"/>
          <w:color w:val="auto"/>
        </w:rPr>
      </w:pPr>
      <w:r>
        <w:rPr>
          <w:rFonts w:ascii="Arial" w:cs="Arial" w:eastAsia="Arial" w:hAnsi="Arial"/>
          <w:sz w:val="16"/>
          <w:szCs w:val="16"/>
          <w:color w:val="auto"/>
        </w:rPr>
        <w:t>Based on the success with the rare disease franchise, the customer decided to also rely on Definitive Healthcare in another franchise, focused on launching a new candidate for a CNS chronic disease. They purchased additional Definitive Healthcare data and access in March 2020 for $480,000, bringing the total ARR to over $1,000,000 across two major franchises. By May 2020, the chronic disease franchise decided to expand so that 2 additional teams could use Definitive Healthcare. The teams used Definitive Healthcare to completely map their field teams and hiring plans, and to prioritize which hospitals, physician groups and healthcare professionals to support, saving time and improving efficiencies across the franchise. Based on this success, the customer decided to expand to yet another team and to add ImagingCenterView between November and December of 2020. Over the course of the relationship, the customer has built their Definitive Healthcare investment from an ARR of $500,000 to over $1,500,000.</w:t>
      </w:r>
    </w:p>
    <w:p>
      <w:pPr>
        <w:spacing w:after="0" w:line="85" w:lineRule="exact"/>
        <w:rPr>
          <w:rFonts w:ascii="Arial" w:cs="Arial" w:eastAsia="Arial" w:hAnsi="Arial"/>
          <w:sz w:val="16"/>
          <w:szCs w:val="16"/>
          <w:color w:val="auto"/>
        </w:rPr>
      </w:pPr>
    </w:p>
    <w:p>
      <w:pPr>
        <w:ind w:left="1360" w:right="80" w:hanging="498"/>
        <w:spacing w:after="0" w:line="253" w:lineRule="auto"/>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leading medical technology company </w:t>
      </w:r>
      <w:r>
        <w:rPr>
          <w:rFonts w:ascii="Arial" w:cs="Arial" w:eastAsia="Arial" w:hAnsi="Arial"/>
          <w:sz w:val="17"/>
          <w:szCs w:val="17"/>
          <w:color w:val="auto"/>
        </w:rPr>
        <w:t>that helps healthcare providers prevent illnesses and correctly diagnose and treat patients chose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Definitive Healthcare to prove the value of its clinical precision support tool, which uses tests to help determine the right care for pulmonary embolisms. To grow its market share, the company needed to segment the market by hospitals and oncology practices that saw high volumes of patients receiving radiation equipment. It then needed to target organizations that would benefit from its technology. The company used Definitive Healthcare’s platform to map the target market and identify hospitals that over-utilize costly scans when testing for pulmonary</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780"/>
          </w:cols>
          <w:pgMar w:left="320" w:top="465" w:right="79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80"/>
        <w:spacing w:after="0" w:line="254" w:lineRule="auto"/>
        <w:rPr>
          <w:sz w:val="20"/>
          <w:szCs w:val="20"/>
          <w:color w:val="auto"/>
        </w:rPr>
      </w:pPr>
      <w:r>
        <w:rPr>
          <w:rFonts w:ascii="Arial" w:cs="Arial" w:eastAsia="Arial" w:hAnsi="Arial"/>
          <w:sz w:val="17"/>
          <w:szCs w:val="17"/>
          <w:color w:val="auto"/>
        </w:rPr>
        <w:t>embolisms. Through Definitive Healthcare’s affiliations data, the customer identified linkages across the target market and health systems impacted. The customer also used affiliations data to access key decision makers, including contacts at health insurance companies and Chief Quality Officers, that are impacted by costly pulmonary embolism scans. The customer aggregated this data to build ROI specific to each health system. Definitive Healthcare enabled the company to prove the value-add of its product by demonstrating the over-utilization of scans to prospective customers.</w:t>
      </w:r>
    </w:p>
    <w:p>
      <w:pPr>
        <w:spacing w:after="0" w:line="80" w:lineRule="exact"/>
        <w:rPr>
          <w:sz w:val="20"/>
          <w:szCs w:val="20"/>
          <w:color w:val="auto"/>
        </w:rPr>
      </w:pPr>
    </w:p>
    <w:p>
      <w:pPr>
        <w:ind w:left="1380" w:right="20"/>
        <w:spacing w:after="0" w:line="256" w:lineRule="auto"/>
        <w:rPr>
          <w:sz w:val="20"/>
          <w:szCs w:val="20"/>
          <w:color w:val="auto"/>
        </w:rPr>
      </w:pPr>
      <w:r>
        <w:rPr>
          <w:rFonts w:ascii="Arial" w:cs="Arial" w:eastAsia="Arial" w:hAnsi="Arial"/>
          <w:sz w:val="17"/>
          <w:szCs w:val="17"/>
          <w:color w:val="auto"/>
        </w:rPr>
        <w:t>Based on the success with this division, the customer decided to purchase ClaimsMx hospital data for $250,000 in 2020. It used ClaimsMx to gain enhanced market insight into scan volumes and other diagnostic procedures in additional therapeutic areas. For example, the customer identified physicians performing specific procedures and billing specific codes on a national level, which was critical market intelligence to drive development of its go-to-market strategy.</w:t>
      </w:r>
    </w:p>
    <w:p>
      <w:pPr>
        <w:spacing w:after="0" w:line="78" w:lineRule="exact"/>
        <w:rPr>
          <w:sz w:val="20"/>
          <w:szCs w:val="20"/>
          <w:color w:val="auto"/>
        </w:rPr>
      </w:pPr>
    </w:p>
    <w:p>
      <w:pPr>
        <w:ind w:left="1380" w:right="60"/>
        <w:spacing w:after="0" w:line="272" w:lineRule="auto"/>
        <w:rPr>
          <w:sz w:val="20"/>
          <w:szCs w:val="20"/>
          <w:color w:val="auto"/>
        </w:rPr>
      </w:pPr>
      <w:r>
        <w:rPr>
          <w:rFonts w:ascii="Arial" w:cs="Arial" w:eastAsia="Arial" w:hAnsi="Arial"/>
          <w:sz w:val="17"/>
          <w:szCs w:val="17"/>
          <w:color w:val="auto"/>
        </w:rPr>
        <w:t>Due to the continued success from using Definitive Healthcare’s data, the company increased its Definitive Healthcare investment from an ARR of $40,000 to over $600,000 in 6 years.</w:t>
      </w:r>
    </w:p>
    <w:p>
      <w:pPr>
        <w:spacing w:after="0" w:line="76" w:lineRule="exact"/>
        <w:rPr>
          <w:sz w:val="20"/>
          <w:szCs w:val="20"/>
          <w:color w:val="auto"/>
        </w:rPr>
      </w:pPr>
    </w:p>
    <w:p>
      <w:pPr>
        <w:ind w:left="1360" w:hanging="498"/>
        <w:spacing w:after="0" w:line="269" w:lineRule="auto"/>
        <w:tabs>
          <w:tab w:leader="none" w:pos="1360" w:val="left"/>
        </w:tabs>
        <w:numPr>
          <w:ilvl w:val="0"/>
          <w:numId w:val="1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major healthcare technology company </w:t>
      </w:r>
      <w:r>
        <w:rPr>
          <w:rFonts w:ascii="Arial" w:cs="Arial" w:eastAsia="Arial" w:hAnsi="Arial"/>
          <w:sz w:val="16"/>
          <w:szCs w:val="16"/>
          <w:color w:val="auto"/>
        </w:rPr>
        <w:t>that improves patient care with their clinical collaboration and information sharing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chose Definitive Healthcare to size their market, develop an annual sales strategy and enable their sales force with detailed account-specific intelligence. Definitive Healthcare provided the customer with key healthcare commercial intelligence including technology, affiliations, quality metrics and executive contact information. By using Definitive Healthcare’s platform, the customer used intelligence from Hospital Search, Technology Search, Technology Vendor Market Share and financial metrics to gain a complete picture of their TAM. To power their sales strategy, they leveraged Medicare quality performance information to identify and target underperforming hospitals. The quality metrics analysis yielded great results for the sales team and helped them identify an additional 140 hospitals that were struggling in quality metrics that the customer’s software solution could improve.</w:t>
      </w:r>
    </w:p>
    <w:p>
      <w:pPr>
        <w:spacing w:after="0" w:line="72" w:lineRule="exact"/>
        <w:rPr>
          <w:rFonts w:ascii="Arial" w:cs="Arial" w:eastAsia="Arial" w:hAnsi="Arial"/>
          <w:sz w:val="16"/>
          <w:szCs w:val="16"/>
          <w:color w:val="auto"/>
        </w:rPr>
      </w:pPr>
    </w:p>
    <w:p>
      <w:pPr>
        <w:ind w:left="1380" w:right="200"/>
        <w:spacing w:after="0" w:line="272" w:lineRule="auto"/>
        <w:rPr>
          <w:rFonts w:ascii="Arial" w:cs="Arial" w:eastAsia="Arial" w:hAnsi="Arial"/>
          <w:sz w:val="16"/>
          <w:szCs w:val="16"/>
          <w:color w:val="auto"/>
        </w:rPr>
      </w:pPr>
      <w:r>
        <w:rPr>
          <w:rFonts w:ascii="Arial" w:cs="Arial" w:eastAsia="Arial" w:hAnsi="Arial"/>
          <w:sz w:val="17"/>
          <w:szCs w:val="17"/>
          <w:color w:val="auto"/>
        </w:rPr>
        <w:t>This commercial intelligence allowed the customer to quantify ROI for their product and find optimal targets, proving to their customers that implementing their platform drives down Medicare incentive program penalties.</w:t>
      </w:r>
    </w:p>
    <w:p>
      <w:pPr>
        <w:spacing w:after="0" w:line="63" w:lineRule="exact"/>
        <w:rPr>
          <w:rFonts w:ascii="Arial" w:cs="Arial" w:eastAsia="Arial" w:hAnsi="Arial"/>
          <w:sz w:val="16"/>
          <w:szCs w:val="16"/>
          <w:color w:val="auto"/>
        </w:rPr>
      </w:pPr>
    </w:p>
    <w:p>
      <w:pPr>
        <w:ind w:left="1380" w:right="560"/>
        <w:spacing w:after="0" w:line="272" w:lineRule="auto"/>
        <w:rPr>
          <w:rFonts w:ascii="Arial" w:cs="Arial" w:eastAsia="Arial" w:hAnsi="Arial"/>
          <w:sz w:val="16"/>
          <w:szCs w:val="16"/>
          <w:color w:val="auto"/>
        </w:rPr>
      </w:pPr>
      <w:r>
        <w:rPr>
          <w:rFonts w:ascii="Arial" w:cs="Arial" w:eastAsia="Arial" w:hAnsi="Arial"/>
          <w:sz w:val="17"/>
          <w:szCs w:val="17"/>
          <w:color w:val="auto"/>
        </w:rPr>
        <w:t>This customer continues to use Definitive Healthcare to drive a sophisticated sales engine by identifying the right customer targets, identifying which organizations have purchasing power and accessing decision makers.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Go-to-Market Strategy</w:t>
      </w:r>
    </w:p>
    <w:p>
      <w:pPr>
        <w:spacing w:after="0" w:line="112" w:lineRule="exact"/>
        <w:rPr>
          <w:sz w:val="20"/>
          <w:szCs w:val="20"/>
          <w:color w:val="auto"/>
        </w:rPr>
      </w:pPr>
    </w:p>
    <w:p>
      <w:pPr>
        <w:ind w:left="460" w:right="420" w:firstLine="413"/>
        <w:spacing w:after="0" w:line="272" w:lineRule="auto"/>
        <w:rPr>
          <w:sz w:val="20"/>
          <w:szCs w:val="20"/>
          <w:color w:val="auto"/>
        </w:rPr>
      </w:pPr>
      <w:r>
        <w:rPr>
          <w:rFonts w:ascii="Arial" w:cs="Arial" w:eastAsia="Arial" w:hAnsi="Arial"/>
          <w:sz w:val="17"/>
          <w:szCs w:val="17"/>
          <w:color w:val="auto"/>
        </w:rPr>
        <w:t>We have a very efficient go-to-market model, driven by a high-velocity inside sales and marketing team, experienced SEs and a well-defined verticalized sales strategy.</w:t>
      </w:r>
    </w:p>
    <w:p>
      <w:pPr>
        <w:spacing w:after="0" w:line="165"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Our go-to-market strategy begins with a high-velocity marketing engine that generates over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online-demo to the exact intelligence that will be most impactful to their business. As our brand presence continues to grow, we have seen a significant increase in the number of inbound MQLs received.</w:t>
      </w:r>
    </w:p>
    <w:p>
      <w:pPr>
        <w:spacing w:after="0" w:line="181" w:lineRule="exact"/>
        <w:rPr>
          <w:sz w:val="20"/>
          <w:szCs w:val="20"/>
          <w:color w:val="auto"/>
        </w:rPr>
      </w:pPr>
    </w:p>
    <w:p>
      <w:pPr>
        <w:ind w:left="460" w:right="300" w:firstLine="413"/>
        <w:spacing w:after="0" w:line="340" w:lineRule="auto"/>
        <w:rPr>
          <w:sz w:val="20"/>
          <w:szCs w:val="20"/>
          <w:color w:val="auto"/>
        </w:rPr>
      </w:pPr>
      <w:r>
        <w:rPr>
          <w:rFonts w:ascii="Arial" w:cs="Arial" w:eastAsia="Arial" w:hAnsi="Arial"/>
          <w:sz w:val="15"/>
          <w:szCs w:val="15"/>
          <w:color w:val="auto"/>
        </w:rPr>
        <w:t>We complement our marketing efforts with a highly targeted outbound effort focused on important prospects across our target universe of over 100,000 companies. These companies are prioritized and targeted with a measurable outbound effort led by our inside sales representative team.</w:t>
      </w:r>
    </w:p>
    <w:p>
      <w:pPr>
        <w:spacing w:after="0" w:line="119"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Once a new company signs up as a subscriber, they are transferred to our Customer Experience managers (“Cx”) who assist with onboarding and training, answering questions and maintaining a “health score,” a</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800"/>
          </w:cols>
          <w:pgMar w:left="320" w:top="465" w:right="77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160"/>
        <w:spacing w:after="0" w:line="311" w:lineRule="auto"/>
        <w:rPr>
          <w:sz w:val="20"/>
          <w:szCs w:val="20"/>
          <w:color w:val="auto"/>
        </w:rPr>
      </w:pPr>
      <w:r>
        <w:rPr>
          <w:rFonts w:ascii="Arial" w:cs="Arial" w:eastAsia="Arial" w:hAnsi="Arial"/>
          <w:sz w:val="15"/>
          <w:szCs w:val="15"/>
          <w:color w:val="auto"/>
        </w:rPr>
        <w:t>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products. The Cx and SE teams are also organized by vertical segment to ensure subject matter expertise.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People, Culture and Values</w:t>
      </w:r>
    </w:p>
    <w:p>
      <w:pPr>
        <w:spacing w:after="0" w:line="112" w:lineRule="exact"/>
        <w:rPr>
          <w:sz w:val="20"/>
          <w:szCs w:val="20"/>
          <w:color w:val="auto"/>
        </w:rPr>
      </w:pPr>
    </w:p>
    <w:p>
      <w:pPr>
        <w:ind w:left="460" w:right="480" w:firstLine="413"/>
        <w:spacing w:after="0" w:line="272" w:lineRule="auto"/>
        <w:rPr>
          <w:sz w:val="20"/>
          <w:szCs w:val="20"/>
          <w:color w:val="auto"/>
        </w:rPr>
      </w:pPr>
      <w:r>
        <w:rPr>
          <w:rFonts w:ascii="Arial" w:cs="Arial" w:eastAsia="Arial" w:hAnsi="Arial"/>
          <w:sz w:val="17"/>
          <w:szCs w:val="17"/>
          <w:color w:val="auto"/>
        </w:rPr>
        <w:t>Our success is built upon an award-winning culture that is designed to ensure we can attract, develop and retain premier talent. Our guiding principles include:</w:t>
      </w:r>
    </w:p>
    <w:p>
      <w:pPr>
        <w:spacing w:after="0" w:line="76" w:lineRule="exact"/>
        <w:rPr>
          <w:sz w:val="20"/>
          <w:szCs w:val="20"/>
          <w:color w:val="auto"/>
        </w:rPr>
      </w:pPr>
    </w:p>
    <w:p>
      <w:pPr>
        <w:ind w:left="1360" w:right="460" w:hanging="498"/>
        <w:spacing w:after="0" w:line="272" w:lineRule="auto"/>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color w:val="auto"/>
        </w:rPr>
        <w:t>We Want to Be the Very Best</w:t>
      </w:r>
      <w:r>
        <w:rPr>
          <w:rFonts w:ascii="Arial" w:cs="Arial" w:eastAsia="Arial" w:hAnsi="Arial"/>
          <w:sz w:val="17"/>
          <w:szCs w:val="17"/>
          <w:color w:val="auto"/>
        </w:rPr>
        <w:t>. We focus on hiring motivated employees who are focused on delivering a high-quality platform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w:t>
      </w:r>
    </w:p>
    <w:p>
      <w:pPr>
        <w:spacing w:after="0" w:line="76" w:lineRule="exact"/>
        <w:rPr>
          <w:rFonts w:ascii="Arial" w:cs="Arial" w:eastAsia="Arial" w:hAnsi="Arial"/>
          <w:sz w:val="17"/>
          <w:szCs w:val="17"/>
          <w:color w:val="auto"/>
        </w:rPr>
      </w:pPr>
    </w:p>
    <w:p>
      <w:pPr>
        <w:jc w:val="both"/>
        <w:ind w:left="1360" w:right="400" w:hanging="498"/>
        <w:spacing w:after="0" w:line="260" w:lineRule="auto"/>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is at Our Core. </w:t>
      </w:r>
      <w:r>
        <w:rPr>
          <w:rFonts w:ascii="Arial" w:cs="Arial" w:eastAsia="Arial" w:hAnsi="Arial"/>
          <w:sz w:val="17"/>
          <w:szCs w:val="17"/>
          <w:color w:val="auto"/>
        </w:rPr>
        <w:t>We are constantly disrupting the status quo. We deliver solutions to customers that can have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on their workflow and decision making. We welcome new challenges and are not afraid to push ourselves beyond our comfort zones</w:t>
      </w:r>
    </w:p>
    <w:p>
      <w:pPr>
        <w:spacing w:after="0" w:line="86" w:lineRule="exact"/>
        <w:rPr>
          <w:rFonts w:ascii="Arial" w:cs="Arial" w:eastAsia="Arial" w:hAnsi="Arial"/>
          <w:sz w:val="17"/>
          <w:szCs w:val="17"/>
          <w:color w:val="auto"/>
        </w:rPr>
      </w:pPr>
    </w:p>
    <w:p>
      <w:pPr>
        <w:ind w:left="1360" w:hanging="498"/>
        <w:spacing w:after="0" w:line="272" w:lineRule="auto"/>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color w:val="auto"/>
        </w:rPr>
        <w:t>We Are Decisive</w:t>
      </w:r>
      <w:r>
        <w:rPr>
          <w:rFonts w:ascii="Arial" w:cs="Arial" w:eastAsia="Arial" w:hAnsi="Arial"/>
          <w:sz w:val="17"/>
          <w:szCs w:val="17"/>
          <w:color w:val="auto"/>
        </w:rPr>
        <w:t>. Healthcare is evolving rapidly and we meet these changes head on through decisive decision making. If we need to pivot,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do so in a quick and timely manner</w:t>
      </w:r>
    </w:p>
    <w:p>
      <w:pPr>
        <w:spacing w:after="0" w:line="76" w:lineRule="exact"/>
        <w:rPr>
          <w:rFonts w:ascii="Arial" w:cs="Arial" w:eastAsia="Arial" w:hAnsi="Arial"/>
          <w:sz w:val="17"/>
          <w:szCs w:val="17"/>
          <w:color w:val="auto"/>
        </w:rPr>
      </w:pPr>
    </w:p>
    <w:p>
      <w:pPr>
        <w:ind w:left="1360" w:right="180" w:hanging="498"/>
        <w:spacing w:after="0" w:line="303" w:lineRule="auto"/>
        <w:tabs>
          <w:tab w:leader="none" w:pos="1360" w:val="left"/>
        </w:tabs>
        <w:numPr>
          <w:ilvl w:val="0"/>
          <w:numId w:val="119"/>
        </w:numPr>
        <w:rPr>
          <w:rFonts w:ascii="Arial" w:cs="Arial" w:eastAsia="Arial" w:hAnsi="Arial"/>
          <w:sz w:val="16"/>
          <w:szCs w:val="16"/>
          <w:color w:val="auto"/>
        </w:rPr>
      </w:pPr>
      <w:r>
        <w:rPr>
          <w:rFonts w:ascii="Arial" w:cs="Arial" w:eastAsia="Arial" w:hAnsi="Arial"/>
          <w:sz w:val="16"/>
          <w:szCs w:val="16"/>
          <w:b w:val="1"/>
          <w:bCs w:val="1"/>
          <w:i w:val="1"/>
          <w:iCs w:val="1"/>
          <w:color w:val="auto"/>
        </w:rPr>
        <w:t>We Measure Everything</w:t>
      </w:r>
      <w:r>
        <w:rPr>
          <w:rFonts w:ascii="Arial" w:cs="Arial" w:eastAsia="Arial" w:hAnsi="Arial"/>
          <w:sz w:val="16"/>
          <w:szCs w:val="16"/>
          <w:color w:val="auto"/>
        </w:rPr>
        <w:t>. In order to continuously improve, we track our progress. We measure everything from sales productivity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yield of our latest A.I. algorithm. This constant benchmarking ensures we optimize the way we deploy our resources.</w:t>
      </w:r>
    </w:p>
    <w:p>
      <w:pPr>
        <w:spacing w:after="0" w:line="54" w:lineRule="exact"/>
        <w:rPr>
          <w:rFonts w:ascii="Arial" w:cs="Arial" w:eastAsia="Arial" w:hAnsi="Arial"/>
          <w:sz w:val="16"/>
          <w:szCs w:val="16"/>
          <w:color w:val="auto"/>
        </w:rPr>
      </w:pPr>
    </w:p>
    <w:p>
      <w:pPr>
        <w:ind w:left="1360" w:right="60" w:hanging="498"/>
        <w:spacing w:after="0" w:line="256" w:lineRule="auto"/>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color w:val="auto"/>
        </w:rPr>
        <w:t>We Are Proud</w:t>
      </w:r>
      <w:r>
        <w:rPr>
          <w:rFonts w:ascii="Arial" w:cs="Arial" w:eastAsia="Arial" w:hAnsi="Arial"/>
          <w:sz w:val="17"/>
          <w:szCs w:val="17"/>
          <w:color w:val="auto"/>
        </w:rPr>
        <w:t>. We have won numerous workplace awards, including Inc. 5000’s Fastest Growing Companies, Stevie Awards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Achievement in Customer Satisfaction, CODiE Award for Best Big Data Reporting &amp; Analytics Solution as well as culture awards including being named the #1 Best Place to Work in Massachusetts, in the category of “Large” companies, by the Boston Business Journal in 2019.</w:t>
      </w:r>
    </w:p>
    <w:p>
      <w:pPr>
        <w:spacing w:after="0" w:line="90" w:lineRule="exact"/>
        <w:rPr>
          <w:rFonts w:ascii="Arial" w:cs="Arial" w:eastAsia="Arial" w:hAnsi="Arial"/>
          <w:sz w:val="17"/>
          <w:szCs w:val="17"/>
          <w:color w:val="auto"/>
        </w:rPr>
      </w:pPr>
    </w:p>
    <w:p>
      <w:pPr>
        <w:ind w:left="1360" w:right="160" w:hanging="498"/>
        <w:spacing w:after="0" w:line="277" w:lineRule="auto"/>
        <w:tabs>
          <w:tab w:leader="none" w:pos="1360" w:val="left"/>
        </w:tabs>
        <w:numPr>
          <w:ilvl w:val="0"/>
          <w:numId w:val="119"/>
        </w:numPr>
        <w:rPr>
          <w:rFonts w:ascii="Arial" w:cs="Arial" w:eastAsia="Arial" w:hAnsi="Arial"/>
          <w:sz w:val="16"/>
          <w:szCs w:val="16"/>
          <w:color w:val="auto"/>
        </w:rPr>
      </w:pPr>
      <w:r>
        <w:rPr>
          <w:rFonts w:ascii="Arial" w:cs="Arial" w:eastAsia="Arial" w:hAnsi="Arial"/>
          <w:sz w:val="16"/>
          <w:szCs w:val="16"/>
          <w:b w:val="1"/>
          <w:bCs w:val="1"/>
          <w:i w:val="1"/>
          <w:iCs w:val="1"/>
          <w:color w:val="auto"/>
        </w:rPr>
        <w:t>We Give Back</w:t>
      </w:r>
      <w:r>
        <w:rPr>
          <w:rFonts w:ascii="Arial" w:cs="Arial" w:eastAsia="Arial" w:hAnsi="Arial"/>
          <w:sz w:val="16"/>
          <w:szCs w:val="16"/>
          <w:color w:val="auto"/>
        </w:rPr>
        <w:t>. We are committed to putting our community first and have developed a culture centered around collaboration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community engagement. Our DefinitiveCares program is an employee-directed charitable organization with a mission to give back to the community through volunteer initiatives. DefinitiveCares provides support to the community through volunteer hours and charitable donations and has 100% employee participation and has accumulated more than 7,000 volunteer hours since 2018.</w:t>
      </w:r>
    </w:p>
    <w:p>
      <w:pPr>
        <w:spacing w:after="0" w:line="75" w:lineRule="exact"/>
        <w:rPr>
          <w:rFonts w:ascii="Arial" w:cs="Arial" w:eastAsia="Arial" w:hAnsi="Arial"/>
          <w:sz w:val="16"/>
          <w:szCs w:val="16"/>
          <w:color w:val="auto"/>
        </w:rPr>
      </w:pPr>
    </w:p>
    <w:p>
      <w:pPr>
        <w:ind w:left="1360" w:right="180" w:hanging="498"/>
        <w:spacing w:after="0" w:line="254" w:lineRule="auto"/>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color w:val="auto"/>
        </w:rPr>
        <w:t>We Support Diversity</w:t>
      </w:r>
      <w:r>
        <w:rPr>
          <w:rFonts w:ascii="Arial" w:cs="Arial" w:eastAsia="Arial" w:hAnsi="Arial"/>
          <w:sz w:val="17"/>
          <w:szCs w:val="17"/>
          <w:color w:val="auto"/>
        </w:rPr>
        <w:t>. We are dedicated to supporting diversity and inclusion both inside and outside of the office. We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for our employees to grow and develop awareness around diversity, equity and inclusion through company-sponsored speakers and presentations. In addition, we promote diversity and inclusion in our hiring processes by training our hiring managers on unconscious bias, engaging with diverse student groups at college fairs, increasing our work visa sponsorship program and incorporating inclusive, gender-neutral language into our job descriptions.</w:t>
      </w:r>
    </w:p>
    <w:p>
      <w:pPr>
        <w:spacing w:after="0" w:line="181" w:lineRule="exact"/>
        <w:rPr>
          <w:sz w:val="20"/>
          <w:szCs w:val="20"/>
          <w:color w:val="auto"/>
        </w:rPr>
      </w:pPr>
    </w:p>
    <w:p>
      <w:pPr>
        <w:ind w:left="460" w:right="200" w:firstLine="413"/>
        <w:spacing w:after="0" w:line="340" w:lineRule="auto"/>
        <w:rPr>
          <w:sz w:val="20"/>
          <w:szCs w:val="20"/>
          <w:color w:val="auto"/>
        </w:rPr>
      </w:pPr>
      <w:r>
        <w:rPr>
          <w:rFonts w:ascii="Arial" w:cs="Arial" w:eastAsia="Arial" w:hAnsi="Arial"/>
          <w:sz w:val="15"/>
          <w:szCs w:val="15"/>
          <w:color w:val="auto"/>
        </w:rPr>
        <w:t>As of September 30, 2021, we had 649 employees, including 393 in Sales and Marketing, 59 in Research and Development, 79 in Product and Data Science, 51 in Software Development and 67 in Administrative and Other functions. We consider our employee relations to be in good standing.</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Competition</w:t>
      </w:r>
    </w:p>
    <w:p>
      <w:pPr>
        <w:spacing w:after="0" w:line="112" w:lineRule="exact"/>
        <w:rPr>
          <w:sz w:val="20"/>
          <w:szCs w:val="20"/>
          <w:color w:val="auto"/>
        </w:rPr>
      </w:pPr>
    </w:p>
    <w:p>
      <w:pPr>
        <w:ind w:left="460" w:right="240" w:firstLine="413"/>
        <w:spacing w:after="0" w:line="260" w:lineRule="auto"/>
        <w:rPr>
          <w:sz w:val="20"/>
          <w:szCs w:val="20"/>
          <w:color w:val="auto"/>
        </w:rPr>
      </w:pPr>
      <w:r>
        <w:rPr>
          <w:rFonts w:ascii="Arial" w:cs="Arial" w:eastAsia="Arial" w:hAnsi="Arial"/>
          <w:sz w:val="17"/>
          <w:szCs w:val="17"/>
          <w:color w:val="auto"/>
        </w:rPr>
        <w:t>We operate in a highly fragmented market. We have a competitive advantage that is based on our comprehensive dataset built up over 11 years, our application of the data science, which has created proprietary intelligence and linkages that we do not see elsewhere, and a user interface that provides customers access to</w:t>
      </w: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780"/>
          </w:cols>
          <w:pgMar w:left="320" w:top="465" w:right="79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20"/>
        <w:spacing w:after="0" w:line="272" w:lineRule="auto"/>
        <w:rPr>
          <w:sz w:val="20"/>
          <w:szCs w:val="20"/>
          <w:color w:val="auto"/>
        </w:rPr>
      </w:pPr>
      <w:r>
        <w:rPr>
          <w:rFonts w:ascii="Arial" w:cs="Arial" w:eastAsia="Arial" w:hAnsi="Arial"/>
          <w:sz w:val="17"/>
          <w:szCs w:val="17"/>
          <w:color w:val="auto"/>
        </w:rPr>
        <w:t>answers, not data, in an integrated manner. While we believe no competitor matches our breadth of data and intelligence solutions, we compete either directly or indirectly with:</w:t>
      </w:r>
    </w:p>
    <w:p>
      <w:pPr>
        <w:spacing w:after="0" w:line="76" w:lineRule="exact"/>
        <w:rPr>
          <w:sz w:val="20"/>
          <w:szCs w:val="20"/>
          <w:color w:val="auto"/>
        </w:rPr>
      </w:pPr>
    </w:p>
    <w:p>
      <w:pPr>
        <w:ind w:left="1360" w:hanging="498"/>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Legacy raw claims data providers, such as Clarivate, IQVIA and Symphony Health;</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Niche healthcare specialists, such as Komodo Health, H1 Healthcare, Marketware, Trella Health and Trilliant Health;</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Ecosystem players that may house or analyze similar intelligence, such as SG2, and Veeva;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Horizontal go-to-market intelligence platforms, such as ZoomInfo, LinkedIn and Dun &amp; Bradstreet.</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believe the principal competitive factors in our markets are:</w:t>
      </w:r>
    </w:p>
    <w:p>
      <w:pPr>
        <w:spacing w:after="0" w:line="121" w:lineRule="exact"/>
        <w:rPr>
          <w:sz w:val="20"/>
          <w:szCs w:val="20"/>
          <w:color w:val="auto"/>
        </w:rPr>
      </w:pPr>
    </w:p>
    <w:p>
      <w:pPr>
        <w:ind w:left="1360" w:hanging="498"/>
        <w:spacing w:after="0"/>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Depth, breadth and accuracy of healthcare-specific intelligence;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Healthcare subject matter expertise;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A.I. and data science capabilities;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Ease of use and deployment;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Data privacy and security.</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Intellectual Property</w:t>
      </w:r>
    </w:p>
    <w:p>
      <w:pPr>
        <w:spacing w:after="0" w:line="112"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Our data driven platform and our approach to keeping it up to date is our defensive moat and protecting our intellectual property is a crucial aspect of our business. While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65" w:lineRule="exact"/>
        <w:rPr>
          <w:sz w:val="20"/>
          <w:szCs w:val="20"/>
          <w:color w:val="auto"/>
        </w:rPr>
      </w:pPr>
    </w:p>
    <w:p>
      <w:pPr>
        <w:ind w:left="460" w:right="780" w:firstLine="413"/>
        <w:spacing w:after="0" w:line="303" w:lineRule="auto"/>
        <w:rPr>
          <w:sz w:val="20"/>
          <w:szCs w:val="20"/>
          <w:color w:val="auto"/>
        </w:rPr>
      </w:pPr>
      <w:r>
        <w:rPr>
          <w:rFonts w:ascii="Arial" w:cs="Arial" w:eastAsia="Arial" w:hAnsi="Arial"/>
          <w:sz w:val="16"/>
          <w:szCs w:val="16"/>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Data Privacy and Security</w:t>
      </w:r>
    </w:p>
    <w:p>
      <w:pPr>
        <w:spacing w:after="0" w:line="112" w:lineRule="exact"/>
        <w:rPr>
          <w:sz w:val="20"/>
          <w:szCs w:val="20"/>
          <w:color w:val="auto"/>
        </w:rPr>
      </w:pPr>
    </w:p>
    <w:p>
      <w:pPr>
        <w:ind w:left="460" w:right="120" w:firstLine="413"/>
        <w:spacing w:after="0" w:line="268" w:lineRule="auto"/>
        <w:rPr>
          <w:sz w:val="20"/>
          <w:szCs w:val="20"/>
          <w:color w:val="auto"/>
        </w:rPr>
      </w:pPr>
      <w:r>
        <w:rPr>
          <w:rFonts w:ascii="Arial" w:cs="Arial" w:eastAsia="Arial" w:hAnsi="Arial"/>
          <w:sz w:val="16"/>
          <w:szCs w:val="16"/>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statistician to annually assess and certify our compliance with the HIPAA de-identification rules.</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780"/>
          </w:cols>
          <w:pgMar w:left="320" w:top="465" w:right="79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In addition, certain state and non-U.S. laws, such as the CCPA, the CPRA and the GDPR govern the privacy and security of personal information /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policy on our website to describe our practices related to the collection, maintenance, security, use and sharing of personal information on our platform.</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Facilities</w:t>
      </w:r>
    </w:p>
    <w:p>
      <w:pPr>
        <w:spacing w:after="0" w:line="112"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Our corporate headquarters is located in Framingham, Massachusetts and consists of approximately 41,199 square feet of space under a lease that expires on December 31, 2022.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Legal Proceedings</w:t>
      </w:r>
    </w:p>
    <w:p>
      <w:pPr>
        <w:spacing w:after="0" w:line="112" w:lineRule="exact"/>
        <w:rPr>
          <w:sz w:val="20"/>
          <w:szCs w:val="20"/>
          <w:color w:val="auto"/>
        </w:rPr>
      </w:pPr>
    </w:p>
    <w:p>
      <w:pPr>
        <w:ind w:left="460" w:right="40" w:firstLine="413"/>
        <w:spacing w:after="0" w:line="284" w:lineRule="auto"/>
        <w:rPr>
          <w:sz w:val="20"/>
          <w:szCs w:val="20"/>
          <w:color w:val="auto"/>
        </w:rPr>
      </w:pPr>
      <w:r>
        <w:rPr>
          <w:rFonts w:ascii="Arial" w:cs="Arial" w:eastAsia="Arial" w:hAnsi="Arial"/>
          <w:sz w:val="16"/>
          <w:szCs w:val="16"/>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9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780"/>
          </w:cols>
          <w:pgMar w:left="320" w:top="465" w:right="79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MANAGEMENT</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Directors and Executive Officers</w:t>
      </w:r>
    </w:p>
    <w:p>
      <w:pPr>
        <w:spacing w:after="0" w:line="112"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below individuals serve as directors of Definitive Healthcare Corp. Biographical summaries and a description of the business experience of those individuals who will serve as directors of Definitive Healthcare Corp. are also set forth below.</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380" w:type="dxa"/>
            <w:vAlign w:val="bottom"/>
            <w:gridSpan w:val="3"/>
          </w:tcPr>
          <w:p>
            <w:pPr>
              <w:jc w:val="center"/>
              <w:ind w:left="577"/>
              <w:spacing w:after="0"/>
              <w:rPr>
                <w:sz w:val="20"/>
                <w:szCs w:val="20"/>
                <w:color w:val="auto"/>
              </w:rPr>
            </w:pPr>
            <w:r>
              <w:rPr>
                <w:rFonts w:ascii="Arial" w:cs="Arial" w:eastAsia="Arial" w:hAnsi="Arial"/>
                <w:sz w:val="13"/>
                <w:szCs w:val="13"/>
                <w:b w:val="1"/>
                <w:bCs w:val="1"/>
                <w:color w:val="auto"/>
                <w:w w:val="97"/>
              </w:rPr>
              <w:t>Age</w:t>
            </w:r>
          </w:p>
        </w:tc>
        <w:tc>
          <w:tcPr>
            <w:tcW w:w="3220" w:type="dxa"/>
            <w:vAlign w:val="bottom"/>
            <w:vMerge w:val="restart"/>
          </w:tcPr>
          <w:p>
            <w:pPr>
              <w:ind w:left="260"/>
              <w:spacing w:after="0"/>
              <w:rPr>
                <w:sz w:val="20"/>
                <w:szCs w:val="20"/>
                <w:color w:val="auto"/>
              </w:rPr>
            </w:pPr>
            <w:r>
              <w:rPr>
                <w:rFonts w:ascii="Arial" w:cs="Arial" w:eastAsia="Arial" w:hAnsi="Arial"/>
                <w:sz w:val="17"/>
                <w:szCs w:val="17"/>
                <w:color w:val="auto"/>
              </w:rPr>
              <w:t>Chief Executive Officer and Chairman</w:t>
            </w:r>
          </w:p>
        </w:tc>
        <w:tc>
          <w:tcPr>
            <w:tcW w:w="460" w:type="dxa"/>
            <w:vAlign w:val="bottom"/>
          </w:tcPr>
          <w:p>
            <w:pPr>
              <w:spacing w:after="0"/>
              <w:rPr>
                <w:sz w:val="20"/>
                <w:szCs w:val="20"/>
                <w:color w:val="auto"/>
              </w:rPr>
            </w:pPr>
            <w:r>
              <w:rPr>
                <w:rFonts w:ascii="Arial" w:cs="Arial" w:eastAsia="Arial" w:hAnsi="Arial"/>
                <w:sz w:val="13"/>
                <w:szCs w:val="13"/>
                <w:b w:val="1"/>
                <w:bCs w:val="1"/>
                <w:color w:val="auto"/>
                <w:w w:val="85"/>
              </w:rPr>
              <w:t>Position</w:t>
            </w:r>
          </w:p>
        </w:tc>
        <w:tc>
          <w:tcPr>
            <w:tcW w:w="0" w:type="dxa"/>
            <w:vAlign w:val="bottom"/>
          </w:tcPr>
          <w:p>
            <w:pPr>
              <w:spacing w:after="0"/>
              <w:rPr>
                <w:sz w:val="1"/>
                <w:szCs w:val="1"/>
                <w:color w:val="auto"/>
              </w:rPr>
            </w:pPr>
          </w:p>
        </w:tc>
      </w:tr>
      <w:tr>
        <w:trPr>
          <w:trHeight w:val="163"/>
        </w:trPr>
        <w:tc>
          <w:tcPr>
            <w:tcW w:w="340" w:type="dxa"/>
            <w:vAlign w:val="bottom"/>
            <w:tcBorders>
              <w:top w:val="single" w:sz="8" w:color="auto"/>
            </w:tcBorders>
          </w:tcPr>
          <w:p>
            <w:pPr>
              <w:spacing w:after="0" w:line="163" w:lineRule="exact"/>
              <w:rPr>
                <w:sz w:val="20"/>
                <w:szCs w:val="20"/>
                <w:color w:val="auto"/>
              </w:rPr>
            </w:pPr>
            <w:r>
              <w:rPr>
                <w:rFonts w:ascii="Arial" w:cs="Arial" w:eastAsia="Arial" w:hAnsi="Arial"/>
                <w:sz w:val="17"/>
                <w:szCs w:val="17"/>
                <w:color w:val="auto"/>
                <w:w w:val="70"/>
              </w:rPr>
              <w:t>Jason</w:t>
            </w:r>
          </w:p>
        </w:tc>
        <w:tc>
          <w:tcPr>
            <w:tcW w:w="1960" w:type="dxa"/>
            <w:vAlign w:val="bottom"/>
          </w:tcPr>
          <w:p>
            <w:pPr>
              <w:ind w:left="80"/>
              <w:spacing w:after="0" w:line="163" w:lineRule="exact"/>
              <w:rPr>
                <w:sz w:val="20"/>
                <w:szCs w:val="20"/>
                <w:color w:val="auto"/>
              </w:rPr>
            </w:pPr>
            <w:r>
              <w:rPr>
                <w:rFonts w:ascii="Arial" w:cs="Arial" w:eastAsia="Arial" w:hAnsi="Arial"/>
                <w:sz w:val="17"/>
                <w:szCs w:val="17"/>
                <w:color w:val="auto"/>
              </w:rPr>
              <w:t>Krantz</w:t>
            </w:r>
          </w:p>
        </w:tc>
        <w:tc>
          <w:tcPr>
            <w:tcW w:w="920" w:type="dxa"/>
            <w:vAlign w:val="bottom"/>
          </w:tcPr>
          <w:p>
            <w:pPr>
              <w:spacing w:after="0"/>
              <w:rPr>
                <w:sz w:val="14"/>
                <w:szCs w:val="14"/>
                <w:color w:val="auto"/>
              </w:rPr>
            </w:pPr>
          </w:p>
        </w:tc>
        <w:tc>
          <w:tcPr>
            <w:tcW w:w="20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color w:val="auto"/>
                <w:w w:val="84"/>
              </w:rPr>
              <w:t>48</w:t>
            </w:r>
          </w:p>
        </w:tc>
        <w:tc>
          <w:tcPr>
            <w:tcW w:w="26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Richard Booth</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52</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David Samuels</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59</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Chief Legal Officer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Joseph Mirisola</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38</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Chief Revenue Officer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Kate Shamsuddin</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35</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Chief Product Officer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Robert Musslewhite</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51</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President and 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Chris Mitchell</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49</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Jeff Haywood</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43</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Lauren Young</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38</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Chris Egan</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44</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D. Randall Winn</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51</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Samuel A. Hamood</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53</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7"/>
                <w:szCs w:val="17"/>
                <w:color w:val="auto"/>
              </w:rPr>
              <w:t>Jill Larsen</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48</w:t>
            </w:r>
          </w:p>
        </w:tc>
        <w:tc>
          <w:tcPr>
            <w:tcW w:w="2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4"/>
        </w:trPr>
        <w:tc>
          <w:tcPr>
            <w:tcW w:w="2300" w:type="dxa"/>
            <w:vAlign w:val="bottom"/>
            <w:gridSpan w:val="2"/>
          </w:tcPr>
          <w:p>
            <w:pPr>
              <w:spacing w:after="0"/>
              <w:rPr>
                <w:sz w:val="20"/>
                <w:szCs w:val="20"/>
                <w:color w:val="auto"/>
              </w:rPr>
            </w:pPr>
            <w:r>
              <w:rPr>
                <w:rFonts w:ascii="Arial" w:cs="Arial" w:eastAsia="Arial" w:hAnsi="Arial"/>
                <w:sz w:val="17"/>
                <w:szCs w:val="17"/>
                <w:color w:val="auto"/>
              </w:rPr>
              <w:t>Kathleen A. Winters</w:t>
            </w:r>
          </w:p>
        </w:tc>
        <w:tc>
          <w:tcPr>
            <w:tcW w:w="1120" w:type="dxa"/>
            <w:vAlign w:val="bottom"/>
            <w:gridSpan w:val="2"/>
          </w:tcPr>
          <w:p>
            <w:pPr>
              <w:jc w:val="center"/>
              <w:ind w:left="837"/>
              <w:spacing w:after="0"/>
              <w:rPr>
                <w:sz w:val="20"/>
                <w:szCs w:val="20"/>
                <w:color w:val="auto"/>
              </w:rPr>
            </w:pPr>
            <w:r>
              <w:rPr>
                <w:rFonts w:ascii="Arial" w:cs="Arial" w:eastAsia="Arial" w:hAnsi="Arial"/>
                <w:sz w:val="17"/>
                <w:szCs w:val="17"/>
                <w:color w:val="auto"/>
                <w:w w:val="84"/>
              </w:rPr>
              <w:t>54</w:t>
            </w:r>
          </w:p>
        </w:tc>
        <w:tc>
          <w:tcPr>
            <w:tcW w:w="260" w:type="dxa"/>
            <w:vAlign w:val="bottom"/>
          </w:tcPr>
          <w:p>
            <w:pPr>
              <w:spacing w:after="0"/>
              <w:rPr>
                <w:sz w:val="18"/>
                <w:szCs w:val="18"/>
                <w:color w:val="auto"/>
              </w:rPr>
            </w:pPr>
          </w:p>
        </w:tc>
        <w:tc>
          <w:tcPr>
            <w:tcW w:w="368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Executive Officers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Jason Krantz</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Krantz has served as the Company’s Chief Executive Officer since he founded the Company in February 2011.</w:t>
      </w:r>
    </w:p>
    <w:p>
      <w:pPr>
        <w:spacing w:after="0" w:line="210"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6"/>
          <w:szCs w:val="16"/>
          <w:color w:val="auto"/>
        </w:rPr>
        <w:t>Prior to founding the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built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holds a B.S. in Finance and Computer Science from Boston College and an M.B.A. from Harvard Business School.</w:t>
      </w:r>
    </w:p>
    <w:p>
      <w:pPr>
        <w:spacing w:after="0" w:line="167" w:lineRule="exact"/>
        <w:rPr>
          <w:sz w:val="20"/>
          <w:szCs w:val="20"/>
          <w:color w:val="auto"/>
        </w:rPr>
      </w:pPr>
    </w:p>
    <w:p>
      <w:pPr>
        <w:ind w:left="460" w:right="500" w:firstLine="413"/>
        <w:spacing w:after="0" w:line="272" w:lineRule="auto"/>
        <w:rPr>
          <w:sz w:val="20"/>
          <w:szCs w:val="20"/>
          <w:color w:val="auto"/>
        </w:rPr>
      </w:pPr>
      <w:r>
        <w:rPr>
          <w:rFonts w:ascii="Arial" w:cs="Arial" w:eastAsia="Arial" w:hAnsi="Arial"/>
          <w:sz w:val="17"/>
          <w:szCs w:val="17"/>
          <w:color w:val="auto"/>
        </w:rPr>
        <w:t>We believe Mr. Krantz is qualified to serve on our board of directors because of his entrepreneurial experiences, finance and data analytics expertise as well as knowledge of the healthcare industry.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Richard Booth</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Booth has served as the Company’s Chief Financial Officer since March 2021.</w:t>
      </w:r>
    </w:p>
    <w:p>
      <w:pPr>
        <w:spacing w:after="0" w:line="210"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Prior to joining the Company, Mr. Booth served as Chief Financial Officer of Bottomline Technologies, Inc. (“Bottomline”), a SaaS based business payment provider from April 2015 to March 2021, where he oversaw finance and information security. Before joining Bottomline, Mr. Booth was the VP of Finance and Corporate Controller of Sapient (since renamed Publicis Sapient), a publicly traded digital advertising firm. Prior to Sapient, Mr. Booth oversaw financial matters at Nuance Communications, a publicly traded software and</w:t>
      </w:r>
    </w:p>
    <w:p>
      <w:pPr>
        <w:spacing w:after="0" w:line="116"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720"/>
          </w:cols>
          <w:pgMar w:left="320" w:top="465" w:right="85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340" w:lineRule="auto"/>
        <w:rPr>
          <w:sz w:val="20"/>
          <w:szCs w:val="20"/>
          <w:color w:val="auto"/>
        </w:rPr>
      </w:pPr>
      <w:r>
        <w:rPr>
          <w:rFonts w:ascii="Arial" w:cs="Arial" w:eastAsia="Arial" w:hAnsi="Arial"/>
          <w:sz w:val="15"/>
          <w:szCs w:val="15"/>
          <w:color w:val="auto"/>
        </w:rPr>
        <w:t>services firm, culminating in his role as VP of Business Financial Planning &amp; Analysis. Mr. Booth currently serves as a member of the Audit Committee of CRA International, Inc., a global consulting firm and on the board of directors of 33 Foundation, a community enrichment organization.</w:t>
      </w:r>
    </w:p>
    <w:p>
      <w:pPr>
        <w:spacing w:after="0" w:line="119"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David Samuels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Samuels has served as the Company’s Chief Legal Officer since February 2021.</w:t>
      </w:r>
    </w:p>
    <w:p>
      <w:pPr>
        <w:spacing w:after="0" w:line="210" w:lineRule="exact"/>
        <w:rPr>
          <w:sz w:val="20"/>
          <w:szCs w:val="20"/>
          <w:color w:val="auto"/>
        </w:rPr>
      </w:pPr>
    </w:p>
    <w:p>
      <w:pPr>
        <w:ind w:left="460" w:right="20" w:firstLine="413"/>
        <w:spacing w:after="0" w:line="268" w:lineRule="auto"/>
        <w:rPr>
          <w:sz w:val="20"/>
          <w:szCs w:val="20"/>
          <w:color w:val="auto"/>
        </w:rPr>
      </w:pPr>
      <w:r>
        <w:rPr>
          <w:rFonts w:ascii="Arial" w:cs="Arial" w:eastAsia="Arial" w:hAnsi="Arial"/>
          <w:sz w:val="16"/>
          <w:szCs w:val="16"/>
          <w:color w:val="auto"/>
        </w:rPr>
        <w:t>Prior to joining the Company, Mr. Samuels served as Chief Executive Officer of ReferralMob, Inc., (“Referral Mob”) a software-driven, peer-to-peer job referral staffing service from July 2015 to November 2019. At Referral Mob, Mr. Samuels was responsible for overseeing all operations generally. Prior to joining Referral Mob, Mr. Samuels served as Chief Strategy Officer of Interactions Corporation (“Interactions”), an A.I. service delivering electronic customer care services. Prior to Interactions, he served for seven years as General Counsel of EnerNOC, Inc. (“EnerNOC” and since renamed Enel X North America), a provider of energy intelligence and demand response software, where he led its initial public offering and held various additional roles including EVP Corporate Development, Secretary and Chairman of the Board of Strategic Advisors. At EnerNOC, Mr. Samuels led multiple departments, including legal, corporate development, compliance and governance. Earlier in his career, Mr. Samuels served as General Counsel and Vice president of Corporate Development of publicly traded digital agency International Integration, Inc. (ICUB) and led its merger negotiations with Razorfish. Mr. Samuels served on the board of directors of ReferralMob from 2015 to 2019, Magnus Textile LLC from 2017 to 2018 and ANSWR from 2014 until 2017, each a private company.</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Samuels holds a B.A. from Brandeis University and a J.D. from Northeastern University School of Law.</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Joseph Mirisola</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Mirisola has served as the Company’s Chief Revenue Officer since January 2020.</w:t>
      </w:r>
    </w:p>
    <w:p>
      <w:pPr>
        <w:spacing w:after="0" w:line="210"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Prior to becoming Chief Revenue Officer, Mr. Mirisola served as the Company’s SVP of Sales and Revenue from January 2018 to December 2019, Vice President of Sales from January 2013 to December 2017 and the Director of Business Development from April 2011 to December 2012. Before Mr. Mirisola joined the Company, he held positions as a mortgage banker from 2005 to 2007 and then was a partner at Universal Home Lending Corp and Universal Unsecured Lending Corp until 2010.</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Mirisola attended the University of Massachusetts Dartmouth.</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Kate Shamsuddin</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Ms. Shamsuddin has served as the Company’s Chief Product Officer since January 2020.</w:t>
      </w:r>
    </w:p>
    <w:p>
      <w:pPr>
        <w:spacing w:after="0" w:line="210"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Prior to being the Company’s Chief Product Officer, Ms. Shamsuddin served as Senior Vice President of Strategy from January 2018 to December 2019, Vice President of Strategy from September 2016 to December 2017 and Director of Product Strategy from February 2015 to September 2016. Prior to joining the Company, Mrs. Shamsuddin worked in strategic services at Blue Cross Blue Shield Association (“BCBSA”), a national association of 35 independent, community-based, and locally operated Blue Cross Blue Shield companies. At BCBSA, Mrs. Shamsuddin developed strategic initiatives and products to use across all of the Blue Cross Blue Shield companies.</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760"/>
          </w:cols>
          <w:pgMar w:left="320" w:top="465" w:right="81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7"/>
          <w:szCs w:val="17"/>
          <w:color w:val="auto"/>
        </w:rPr>
        <w:t>Ms. Shamsuddin holds a B.A. in Anthropology and Global Health from Emory University and an M.S. in Health Policy and Management from Harvard University School of Public Health.</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Directors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Chris Mitchell</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Mitchell has served as a member of the board of directors of the Company since February 2015.</w:t>
      </w:r>
    </w:p>
    <w:p>
      <w:pPr>
        <w:spacing w:after="0" w:line="210"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6"/>
          <w:szCs w:val="16"/>
          <w:color w:val="auto"/>
        </w:rPr>
        <w:t>Mr. Mitchell is a Managing Director at Spectrum Equity (“Spectrum”), which he joined in 2001. Prior to Spectrum, Mr. Mitchell worked as a principal at Monitor Clipper Partners, a middle-market private equity firm, and as an associate at TA Associates, a global growth private equity firm. Mr. Mitchell currently serves on the board of directors of the privately held Extreme Reach, Tenstreet, and Varicent Software. Previously, Mr. Mitchell has served on the board of directors of a range of private companies in the data analytics and information services industries, including Business Monitor, EagleView, Ethoca, ITA Software, Seisint, Trintech, Verafin, and World-Check, as well as public companies including Bats Global Markets, Cboe Global Markets, and RiskMetrics. Mr. Mitchell holds a B.A. in Classics from Princeton University.</w:t>
      </w:r>
    </w:p>
    <w:p>
      <w:pPr>
        <w:spacing w:after="0" w:line="167"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Jeff Haywood</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Haywood has served as a member of the board of directors of the Company since February 2015.</w:t>
      </w:r>
    </w:p>
    <w:p>
      <w:pPr>
        <w:spacing w:after="0" w:line="210"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Mr. Haywood is a Managing Director at Spectrum, which he joined in February 2007. Prior to Spectrum, Mr. Haywood served as an associate at Thoma Cressey Equity Partners (since renamed Thoma Bravo LP), an American private equity and growth capital firm, and as an analyst at Goldman Sachs. Mr. Haywood also currently serves on the board of directors of the privately held RxVantage, Datassential, and Payer Compass. Mr. Haywood also currently serves as a Board Observer at Everlywell. Previously, Mr. Haywood has served on the board of directors of a range of private companies such as PWNHealth, Net Health, RainKing Software, Verisys and HealthMEDX. In addition, Mr. Haywood has previously served as Board Observer at MedHOK and Passport Health Communications. Mr. Haywood holds a B.A. in Political Science and History from Duke University.</w:t>
      </w:r>
    </w:p>
    <w:p>
      <w:pPr>
        <w:spacing w:after="0" w:line="155" w:lineRule="exact"/>
        <w:rPr>
          <w:sz w:val="20"/>
          <w:szCs w:val="20"/>
          <w:color w:val="auto"/>
        </w:rPr>
      </w:pPr>
    </w:p>
    <w:p>
      <w:pPr>
        <w:ind w:left="460" w:right="520" w:firstLine="413"/>
        <w:spacing w:after="0" w:line="272" w:lineRule="auto"/>
        <w:rPr>
          <w:sz w:val="20"/>
          <w:szCs w:val="20"/>
          <w:color w:val="auto"/>
        </w:rPr>
      </w:pPr>
      <w:r>
        <w:rPr>
          <w:rFonts w:ascii="Arial" w:cs="Arial" w:eastAsia="Arial" w:hAnsi="Arial"/>
          <w:sz w:val="17"/>
          <w:szCs w:val="17"/>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Lauren Young</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Ms. Young has served as a member of the board of directors of the Company since July 2019.</w:t>
      </w:r>
    </w:p>
    <w:p>
      <w:pPr>
        <w:spacing w:after="0" w:line="210"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Ms. Young is a Managing Director of Advent International Corporation, a private equity firm that focuses on investments in five core sectors: business and financial services; healthcare; industrial; retail, consumer and leisure; and technology. Ms. Young joined the firm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and P2 Energy Solutions. Additionally, Ms. Young serves on the board of directors of CCC Intelligent Solutions Holdings Inc., a public company. Ms. Young holds a B.A. from Davidson College and an M.B.A. from the Harvard Business School.</w:t>
      </w:r>
    </w:p>
    <w:p>
      <w:pPr>
        <w:spacing w:after="0" w:line="9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700"/>
          </w:cols>
          <w:pgMar w:left="320" w:top="465" w:right="87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We believe Ms. Young is qualified to serve on our board of directors because of her financial knowledge, investment experience across industries and her service as director of other software solutions companies.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Chris Egan</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Egan has served as a member of the board of directors of the Company since July 2019.</w:t>
      </w:r>
    </w:p>
    <w:p>
      <w:pPr>
        <w:spacing w:after="0" w:line="210"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Mr. Egan is a Managing Partner of Advent International Corporation, which he joined in 2000. Prior to Advent, Mr. Egan served as an analyst at UBS, a Swiss multinational investment bank and financial services company. Mr. Egan currently serves or has served on the board of directors of Ansira Holdings, NielsenIQ and Prisma Medios de Pagos S.A., each a private company. Additionally, Mr. Egan serves on the board of directors of CCC Intelligent Solutions Holdings Inc., a public company. Mr. Egan holds a B.A. in English and Economics from Dartmouth College.</w:t>
      </w:r>
    </w:p>
    <w:p>
      <w:pPr>
        <w:spacing w:after="0" w:line="164"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We believe Mr. Egan is qualified to serve on our board of directors because of his financial knowledge, investment experience and his service as director of other software solutions companies.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 Randall Winn</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Winn has served as a member of the board of directors of the Company since September 2019.</w:t>
      </w:r>
    </w:p>
    <w:p>
      <w:pPr>
        <w:spacing w:after="0" w:line="210" w:lineRule="exact"/>
        <w:rPr>
          <w:sz w:val="20"/>
          <w:szCs w:val="20"/>
          <w:color w:val="auto"/>
        </w:rPr>
      </w:pPr>
    </w:p>
    <w:p>
      <w:pPr>
        <w:ind w:left="460" w:right="20" w:firstLine="413"/>
        <w:spacing w:after="0" w:line="291" w:lineRule="auto"/>
        <w:rPr>
          <w:sz w:val="20"/>
          <w:szCs w:val="20"/>
          <w:color w:val="auto"/>
        </w:rPr>
      </w:pPr>
      <w:r>
        <w:rPr>
          <w:rFonts w:ascii="Arial" w:cs="Arial" w:eastAsia="Arial" w:hAnsi="Arial"/>
          <w:sz w:val="15"/>
          <w:szCs w:val="15"/>
          <w:color w:val="auto"/>
        </w:rPr>
        <w:t>Mr. Winn currently serves as a Managing Member of 22C Capital, a private investment firm and an affiliate of the Company, which he founded in 2017 and also serves as Managing Member of FiveW Capital LLC, a private investment firm. Mr. Winn has also served as a member of the board of directors of ZoomInfo Technologies Inc., which competes with Definitive Healthcare Corp. in some areas since February 2020 and served as a member of the Board of Managers of ZoomInfo Holdings LLC from 2014 to June 2020. Mr. Winn also currently serves on the boards of private companies, including Canoe Software and has served on the boards of Dealogic, Viteos Fund Services, Merit Software, and eMarketer, each a private company.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57"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We believe Mr. Winn is qualified to serve on our board of directors because of his financial knowledge, investment experience and his service as director of other software solutions companies.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Samuel A. Hamood</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Mr. Hamood has served as a member of the board of directors of the Company since September 2020.</w:t>
      </w:r>
    </w:p>
    <w:p>
      <w:pPr>
        <w:spacing w:after="0" w:line="210"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Mr. Hamood currently serves as President and Chief Administrative and Finance Officer at Culligan International Co (“Culligan”), which he joined in August 2019. Prior to his time at Culligan, Mr. Hamood served as interim Chief Executive Officer and President of ATI, a nationally-recognized rehabilitation provider, from January 2018 to August 2019. Prior to his time at ATI, Mr. Hamood served as Executive Vice President and Chief Financial Officer of Change HealthCare Corporation from 2017 to 2018, and as Executive Vice President and Chief Financial Officer of TransUnion from 2008 to 2018. Mr. Hamood also previously served on the board of directors at Culligan from 2016 to 2019 and currently serves as a director of Accentcare, a privately held leader in post-acute home healthcare services. Mr. Hamood is a Certified Public Accountant (inactive status) and received his Bachelor of Business Administration in finance at The University of Iowa, and his Juris Doctor from Southwestern University School of Law.</w:t>
      </w:r>
    </w:p>
    <w:p>
      <w:pPr>
        <w:spacing w:after="0" w:line="182"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We believe Mr. Hamood is qualified to serve on our board of directors because of his financial expertise and experience in and knowledge of the healthcare industry.</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760"/>
          </w:cols>
          <w:pgMar w:left="320" w:top="465" w:right="81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Jill Larsen</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Ms. Larsen has served as a member of the board of directors of the Company since April 2021.</w:t>
      </w:r>
    </w:p>
    <w:p>
      <w:pPr>
        <w:spacing w:after="0" w:line="210"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Jill Larsen currently serves as the Chief People Officer &amp; Executive Vice President at PTC Inc., a global software company in the industrial and manufacturing space. Prior to her time at PTC, Ms. Larsen served as the Executive Vice President—Human Resources and Chief Human Resources Officer of Medidata Solutions, Inc., an American technology company that develops and markets software as a service for clinical trials from April 2018 to January 2020. 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 company that sells products ranging from data storage to information security, and was chief human resources officer of RSA, the security division of Dell EMC. Ms. Larsen is PHR certified and received her B.A. in communications and English from Boston College, and her MBA in Human Resources Management from Emmanuel College.</w:t>
      </w:r>
    </w:p>
    <w:p>
      <w:pPr>
        <w:spacing w:after="0" w:line="156" w:lineRule="exact"/>
        <w:rPr>
          <w:sz w:val="20"/>
          <w:szCs w:val="20"/>
          <w:color w:val="auto"/>
        </w:rPr>
      </w:pPr>
    </w:p>
    <w:p>
      <w:pPr>
        <w:ind w:left="460" w:right="460" w:firstLine="413"/>
        <w:spacing w:after="0" w:line="272" w:lineRule="auto"/>
        <w:rPr>
          <w:sz w:val="20"/>
          <w:szCs w:val="20"/>
          <w:color w:val="auto"/>
        </w:rPr>
      </w:pPr>
      <w:r>
        <w:rPr>
          <w:rFonts w:ascii="Arial" w:cs="Arial" w:eastAsia="Arial" w:hAnsi="Arial"/>
          <w:sz w:val="17"/>
          <w:szCs w:val="17"/>
          <w:color w:val="auto"/>
        </w:rPr>
        <w:t>We believe Ms. Larsen is qualified to serve on our board of directors because of her extensive experience in talent acquisition strategies and human resources expertise in technology companies.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Robert Musslewhite</w:t>
      </w:r>
    </w:p>
    <w:p>
      <w:pPr>
        <w:spacing w:after="0" w:line="108"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Mr. Musslewhite has served as a member of the board of directors of the Company since June 2021. Mr. Musslewhite has been the Chief Executive Officer of OptumInsight, Optum’s health services business connecting the health care system with services, analytics, and platforms designed to make clinical and administrative processes easier and more efficient, since August 2019. He joined Optum following Optum’s acquisition of The Advisory Board Company, a publicly traded company that provided best practices research and insight, technology, data-enabled services and consulting services, where he served as Chief Executive Officer from 2008 until 2017 and Chairman from 2013 to 2017. Prior to his appointment as Chief Executive Officer of OptumInsight, Mr. Musslewhite served as Chief Executive Officer of Optum360 from March 2019 until August 2019 and, prior to that, as Chief Executive Officer of Optum Analytics and Chief Executive Officer of Advisory Board Research from 2017 until March 2019. Prior to joining The Advisory Board Company, Mr. Musslewhite was an Associate Principal with McKinsey &amp; Company, a global management consulting firm, in the Washington, D.C., Amsterdam, and Dallas offices. Mr. Musslewhite currently serves on the Boards of Directors of CoStar Group (Nasdaq: CSGP) and Ascend Learning, he is a member of the Economics Club of Washington D.C., and he recently completed service as Chair of the Board of Governors of St. Albans School. Mr. Musslewhite received a J.D. from Harvard Law School and an A.B. in Economics from Princeton University.</w:t>
      </w:r>
    </w:p>
    <w:p>
      <w:pPr>
        <w:spacing w:after="0" w:line="163" w:lineRule="exact"/>
        <w:rPr>
          <w:sz w:val="20"/>
          <w:szCs w:val="20"/>
          <w:color w:val="auto"/>
        </w:rPr>
      </w:pPr>
    </w:p>
    <w:p>
      <w:pPr>
        <w:ind w:left="460" w:right="380" w:firstLine="413"/>
        <w:spacing w:after="0" w:line="272" w:lineRule="auto"/>
        <w:rPr>
          <w:sz w:val="20"/>
          <w:szCs w:val="20"/>
          <w:color w:val="auto"/>
        </w:rPr>
      </w:pPr>
      <w:r>
        <w:rPr>
          <w:rFonts w:ascii="Arial" w:cs="Arial" w:eastAsia="Arial" w:hAnsi="Arial"/>
          <w:sz w:val="17"/>
          <w:szCs w:val="17"/>
          <w:color w:val="auto"/>
        </w:rPr>
        <w:t>We believe Mr. Musslewhite is qualified to serve on our board of directors because of his consulting experience, knowledge of the healthcare industry and experience with healthcare data analytics.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Kathleen A. Winters</w:t>
      </w:r>
    </w:p>
    <w:p>
      <w:pPr>
        <w:spacing w:after="0" w:line="108" w:lineRule="exact"/>
        <w:rPr>
          <w:sz w:val="20"/>
          <w:szCs w:val="20"/>
          <w:color w:val="auto"/>
        </w:rPr>
      </w:pPr>
    </w:p>
    <w:p>
      <w:pPr>
        <w:ind w:left="460" w:right="100" w:firstLine="413"/>
        <w:spacing w:after="0" w:line="269" w:lineRule="auto"/>
        <w:rPr>
          <w:sz w:val="20"/>
          <w:szCs w:val="20"/>
          <w:color w:val="auto"/>
        </w:rPr>
      </w:pPr>
      <w:r>
        <w:rPr>
          <w:rFonts w:ascii="Arial" w:cs="Arial" w:eastAsia="Arial" w:hAnsi="Arial"/>
          <w:sz w:val="16"/>
          <w:szCs w:val="16"/>
          <w:color w:val="auto"/>
        </w:rPr>
        <w:t>Ms. Winters has served as a member of the board of directors of the Company since October 2021. Ms. Winters recently retired, having served as Chief Financial Officer at Automatic Data Processing Inc (“ADP”) (Nasdaq: ADP) since 2019, a global technology company providing human capital management solutions. At ADP, she was responsible for leading the global finance organization and representing the company to investors, lenders and rating agencies, and she played a significant role in driving the company’s strategy, growth and operational effectiveness. Prior to ADP, Ms. Winters served as Chief Financial Officer at MSCI, Inc. (NYSE: MSCI), a provider of investment decision support tools including indexes, for institutional investors for three years. Before that, she spent 14 years in various financial leadership roles at Honeywell International (Nasdaq: HON). Ms. Winters began her career at PricewaterhouseCoopers LLP, serving clients primarily in the entertainment and media industries. Ms. Winters holds a degree from Boston College and is a certified public accountant.</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780"/>
          </w:cols>
          <w:pgMar w:left="320" w:top="466" w:right="79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We believe Ms. Winters is qualified to serve on our board of directors because of her extensive experience serving the financial sector and her various leadership positions in financial roles.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Board of Directors</w:t>
      </w:r>
    </w:p>
    <w:p>
      <w:pPr>
        <w:spacing w:after="0" w:line="112"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Our business and affairs are managed under the direction of our Board. Our amended and restated certificate of incorporation provides that our Board must consist of at least one director, or such larger number as may be fixed from time to time by a resolution of at least a majority of the directors then in office. Our Board is composed of ten directors divided into three classes, with terms staggered according to class. Class I consists of three directors, Class II consists of three directors and Class III consists of three directors. The Class I directors, whose terms will expire at the first annual meeting of our stockholders following the filing of our amended and restated certificate of incorporation, will be Jason Krantz, Chris Mitchell and Lauren Young. The Class II directors, whose terms will expire at the second annual meeting of our stockholders following the filing of our amended and restated certificate of incorporation, will be Chris Egan, Samuel A. Hamood and Jill Larsen. The Class III directors, whose terms will expire at the third annual meeting of our stockholders following the filing of our amended and restated certificate of incorporation, will be Jeff Haywood, Robert Musslewhite, D. Randall Winn and Kathleen A. Winters. See “Description of Capital Stock—Anti-takeover Provisions” for more information.</w:t>
      </w:r>
    </w:p>
    <w:p>
      <w:pPr>
        <w:spacing w:after="0" w:line="157"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Mr. Egan and Ms. Young were appointed to serve as members of the Board, each as an Advent Manager, and Messrs. Mitchell and Haywood were appointed to serve as members of the board of managers of Definitive OpCo, each as a Spectrum Equity Manager, pursuant to the Amended and Restated Limited Liability Company Agreement of AIDH Topco, LLC, dated as of July 16, 2019, by and among the Company and members of AIDH Topco, LLC. Mr. Winn was appointed as a member of the board of managers of Definitive OpCo as a 22C Capital Manager pursuant to Amendment No. 1 to the Amended and Restated Limited Liability Company Agreement of AIDH Topco, LLC, dated as of September 13, 2019, by and among the Company and the members of AIDH Topco, LLC.</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Nominating Agreements</w:t>
      </w:r>
    </w:p>
    <w:p>
      <w:pPr>
        <w:spacing w:after="0" w:line="112" w:lineRule="exact"/>
        <w:rPr>
          <w:sz w:val="20"/>
          <w:szCs w:val="20"/>
          <w:color w:val="auto"/>
        </w:rPr>
      </w:pPr>
    </w:p>
    <w:p>
      <w:pPr>
        <w:ind w:left="460" w:right="60" w:firstLine="413"/>
        <w:spacing w:after="0" w:line="254" w:lineRule="auto"/>
        <w:rPr>
          <w:sz w:val="20"/>
          <w:szCs w:val="20"/>
          <w:color w:val="auto"/>
        </w:rPr>
      </w:pPr>
      <w:r>
        <w:rPr>
          <w:rFonts w:ascii="Arial" w:cs="Arial" w:eastAsia="Arial" w:hAnsi="Arial"/>
          <w:sz w:val="17"/>
          <w:szCs w:val="17"/>
          <w:color w:val="auto"/>
        </w:rPr>
        <w:t>On September 17, 2021, we entered into nominating agreements with an affiliate of Advent, Jason Krantz and Spectrum Equity, respectively, which provide that, subject to minimum stock ownership requirements, the Company will include two designees of Advent, one designee of Spectrum Equity and Jason Krantz, respectively, in the slate of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Board Committees</w:t>
      </w:r>
    </w:p>
    <w:p>
      <w:pPr>
        <w:spacing w:after="0" w:line="112" w:lineRule="exact"/>
        <w:rPr>
          <w:sz w:val="20"/>
          <w:szCs w:val="20"/>
          <w:color w:val="auto"/>
        </w:rPr>
      </w:pPr>
    </w:p>
    <w:p>
      <w:pPr>
        <w:ind w:left="460" w:right="540" w:firstLine="413"/>
        <w:spacing w:after="0" w:line="311" w:lineRule="auto"/>
        <w:rPr>
          <w:sz w:val="20"/>
          <w:szCs w:val="20"/>
          <w:color w:val="auto"/>
        </w:rPr>
      </w:pPr>
      <w:r>
        <w:rPr>
          <w:rFonts w:ascii="Arial" w:cs="Arial" w:eastAsia="Arial" w:hAnsi="Arial"/>
          <w:sz w:val="15"/>
          <w:szCs w:val="15"/>
          <w:color w:val="auto"/>
        </w:rPr>
        <w:t>Our Board currently has an Audit Committee, a Compensation Committee and a Nominating and Corporate Governance Committee. Each committee has a charter that has been approved by our Board and that is available on our website. Each committee has the composition and responsibilities described below. Members serve on our Board committees until their resignations or until otherwise determined by our Board.</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primary purposes of our Audit Committee under the committee’s charter are to assist the Board’s oversight of:</w:t>
      </w:r>
    </w:p>
    <w:p>
      <w:pPr>
        <w:spacing w:after="0" w:line="121" w:lineRule="exact"/>
        <w:rPr>
          <w:sz w:val="20"/>
          <w:szCs w:val="20"/>
          <w:color w:val="auto"/>
        </w:rPr>
      </w:pPr>
    </w:p>
    <w:p>
      <w:pPr>
        <w:ind w:left="1360" w:hanging="498"/>
        <w:spacing w:after="0"/>
        <w:tabs>
          <w:tab w:leader="none" w:pos="13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audits of our financial statements;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integrity of our financial statements;</w:t>
      </w:r>
    </w:p>
    <w:p>
      <w:pPr>
        <w:spacing w:after="0" w:line="14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760"/>
          </w:cols>
          <w:pgMar w:left="320" w:top="465" w:right="81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180" w:hanging="498"/>
        <w:spacing w:after="0" w:line="272" w:lineRule="auto"/>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our process relating to risk management and the conduct and systems of internal control over financial reporting and disclosure controls and procedures;</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qualifications, engagement, compensation, independence and performance of our independent auditor;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performance of our internal audit function.</w:t>
      </w:r>
    </w:p>
    <w:p>
      <w:pPr>
        <w:spacing w:after="0" w:line="210" w:lineRule="exact"/>
        <w:rPr>
          <w:sz w:val="20"/>
          <w:szCs w:val="20"/>
          <w:color w:val="auto"/>
        </w:rPr>
      </w:pPr>
    </w:p>
    <w:p>
      <w:pPr>
        <w:ind w:left="460" w:right="40" w:firstLine="413"/>
        <w:spacing w:after="0" w:line="274" w:lineRule="auto"/>
        <w:rPr>
          <w:sz w:val="20"/>
          <w:szCs w:val="20"/>
          <w:color w:val="auto"/>
        </w:rPr>
      </w:pPr>
      <w:r>
        <w:rPr>
          <w:rFonts w:ascii="Arial" w:cs="Arial" w:eastAsia="Arial" w:hAnsi="Arial"/>
          <w:sz w:val="16"/>
          <w:szCs w:val="16"/>
          <w:color w:val="auto"/>
        </w:rPr>
        <w:t>Our Audit Committee is composed of Samuel A. Hamood, Chris Egan and Kathleen A. Winters. Samuel A. Hamood serves as chair of the Audit Committee. Samuel A. Hamood and Kathleen A. Winters qualify as an “audit committee financial expert” as such term has been defined by the SEC in Item 407(d) of Regulation S-K. Our Board has affirmatively determined that Samuel A. Hamood, Chris Egan and Kathleen A. Winters meet the definition of an “independent director” for the purposes of serving on the Audit Committee under applicable Nasdaq rules and Rule 10A-3 under the Exchange Act. The Audit Committee is governed by a charter that complies with the rules of Nasdaq.</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08" w:lineRule="exact"/>
        <w:rPr>
          <w:sz w:val="20"/>
          <w:szCs w:val="20"/>
          <w:color w:val="auto"/>
        </w:rPr>
      </w:pPr>
    </w:p>
    <w:p>
      <w:pPr>
        <w:ind w:left="460" w:right="560" w:firstLine="413"/>
        <w:spacing w:after="0" w:line="272" w:lineRule="auto"/>
        <w:rPr>
          <w:sz w:val="20"/>
          <w:szCs w:val="20"/>
          <w:color w:val="auto"/>
        </w:rPr>
      </w:pPr>
      <w:r>
        <w:rPr>
          <w:rFonts w:ascii="Arial" w:cs="Arial" w:eastAsia="Arial" w:hAnsi="Arial"/>
          <w:sz w:val="17"/>
          <w:szCs w:val="17"/>
          <w:color w:val="auto"/>
        </w:rPr>
        <w:t>The primary purpose of our Compensation Committee under the committee’s charter is to assist the Board in overseeing our management compensation policies and practices, including:</w:t>
      </w:r>
    </w:p>
    <w:p>
      <w:pPr>
        <w:spacing w:after="0" w:line="76" w:lineRule="exact"/>
        <w:rPr>
          <w:sz w:val="20"/>
          <w:szCs w:val="20"/>
          <w:color w:val="auto"/>
        </w:rPr>
      </w:pPr>
    </w:p>
    <w:p>
      <w:pPr>
        <w:ind w:left="1360" w:hanging="498"/>
        <w:spacing w:after="0"/>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determining and approving and recommending to the Board for its approval the compensation of our executive officers; and</w:t>
      </w:r>
    </w:p>
    <w:p>
      <w:pPr>
        <w:spacing w:after="0" w:line="121" w:lineRule="exact"/>
        <w:rPr>
          <w:rFonts w:ascii="Arial" w:cs="Arial" w:eastAsia="Arial" w:hAnsi="Arial"/>
          <w:sz w:val="17"/>
          <w:szCs w:val="17"/>
          <w:color w:val="auto"/>
        </w:rPr>
      </w:pPr>
    </w:p>
    <w:p>
      <w:pPr>
        <w:ind w:left="1360" w:right="160" w:hanging="498"/>
        <w:spacing w:after="0" w:line="272" w:lineRule="auto"/>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reviewing and approving and recommending to the Board for its approval incentive compensation and equity compensation policies and programs.</w:t>
      </w:r>
    </w:p>
    <w:p>
      <w:pPr>
        <w:spacing w:after="0" w:line="165" w:lineRule="exact"/>
        <w:rPr>
          <w:sz w:val="20"/>
          <w:szCs w:val="20"/>
          <w:color w:val="auto"/>
        </w:rPr>
      </w:pPr>
    </w:p>
    <w:p>
      <w:pPr>
        <w:ind w:left="460" w:right="160" w:firstLine="413"/>
        <w:spacing w:after="0" w:line="303" w:lineRule="auto"/>
        <w:rPr>
          <w:sz w:val="20"/>
          <w:szCs w:val="20"/>
          <w:color w:val="auto"/>
        </w:rPr>
      </w:pPr>
      <w:r>
        <w:rPr>
          <w:rFonts w:ascii="Arial" w:cs="Arial" w:eastAsia="Arial" w:hAnsi="Arial"/>
          <w:sz w:val="16"/>
          <w:szCs w:val="16"/>
          <w:color w:val="auto"/>
        </w:rPr>
        <w:t>Our Compensation Committee is composed of Jill Larsen, D. Randall Winn, Jeff Haywood and Lauren Young. Jill Larsen serves as chair of the Compensation Committee. The Compensation Committee is governed by a charter that complies with the rules of Nasdaq.</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08" w:lineRule="exact"/>
        <w:rPr>
          <w:sz w:val="20"/>
          <w:szCs w:val="20"/>
          <w:color w:val="auto"/>
        </w:rPr>
      </w:pPr>
    </w:p>
    <w:p>
      <w:pPr>
        <w:ind w:left="460" w:right="60" w:firstLine="413"/>
        <w:spacing w:after="0" w:line="340" w:lineRule="auto"/>
        <w:rPr>
          <w:sz w:val="20"/>
          <w:szCs w:val="20"/>
          <w:color w:val="auto"/>
        </w:rPr>
      </w:pPr>
      <w:r>
        <w:rPr>
          <w:rFonts w:ascii="Arial" w:cs="Arial" w:eastAsia="Arial" w:hAnsi="Arial"/>
          <w:sz w:val="15"/>
          <w:szCs w:val="15"/>
          <w:color w:val="auto"/>
        </w:rPr>
        <w:t>Our Board has established a nominating and corporate governance committee. The primary purpose of our nominating and corporate governance committee is to recommend candidates for appointment to the Board and to review the corporate governance guidelines of the Company, including:</w:t>
      </w:r>
    </w:p>
    <w:p>
      <w:pPr>
        <w:spacing w:after="0" w:line="31" w:lineRule="exact"/>
        <w:rPr>
          <w:sz w:val="20"/>
          <w:szCs w:val="20"/>
          <w:color w:val="auto"/>
        </w:rPr>
      </w:pPr>
    </w:p>
    <w:p>
      <w:pPr>
        <w:ind w:left="1360" w:hanging="498"/>
        <w:spacing w:after="0"/>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identifying and screening individuals qualified to serve as directors;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developing, recommending to the Board and reviewing the Company’s corporate governance guidelines;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and its committees; and</w:t>
      </w:r>
    </w:p>
    <w:p>
      <w:pPr>
        <w:spacing w:after="0" w:line="121" w:lineRule="exact"/>
        <w:rPr>
          <w:rFonts w:ascii="Arial" w:cs="Arial" w:eastAsia="Arial" w:hAnsi="Arial"/>
          <w:sz w:val="17"/>
          <w:szCs w:val="17"/>
          <w:color w:val="auto"/>
        </w:rPr>
      </w:pPr>
    </w:p>
    <w:p>
      <w:pPr>
        <w:ind w:left="1360" w:right="380" w:hanging="498"/>
        <w:spacing w:after="0" w:line="272" w:lineRule="auto"/>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reviewing on a regular basis the overall corporate governance of the Company and recommending improvements to the Board where appropriate.</w:t>
      </w:r>
    </w:p>
    <w:p>
      <w:pPr>
        <w:spacing w:after="0" w:line="165" w:lineRule="exact"/>
        <w:rPr>
          <w:sz w:val="20"/>
          <w:szCs w:val="20"/>
          <w:color w:val="auto"/>
        </w:rPr>
      </w:pPr>
    </w:p>
    <w:p>
      <w:pPr>
        <w:jc w:val="both"/>
        <w:ind w:left="460" w:right="20" w:firstLine="413"/>
        <w:spacing w:after="0" w:line="260" w:lineRule="auto"/>
        <w:rPr>
          <w:sz w:val="20"/>
          <w:szCs w:val="20"/>
          <w:color w:val="auto"/>
        </w:rPr>
      </w:pPr>
      <w:r>
        <w:rPr>
          <w:rFonts w:ascii="Arial" w:cs="Arial" w:eastAsia="Arial" w:hAnsi="Arial"/>
          <w:sz w:val="17"/>
          <w:szCs w:val="17"/>
          <w:color w:val="auto"/>
        </w:rPr>
        <w:t>The nominating and corporate governance committee are comprised of Lauren Young, D. Randall Winn and Chris Mitchell. Lauren Young serves as the chair of the nominating and corporate governance committee. The nominating and corporate governance committee is governed by a charter that complies with the rules of Nasdaq.</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2"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members of our Compensation Committee during 2021 were Jill Larsen, D. Randall Winn, Jeff Haywood and Lauren Young. During 2021,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11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720"/>
          </w:cols>
          <w:pgMar w:left="320" w:top="466" w:right="85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Indemnification of Directors</w:t>
      </w:r>
    </w:p>
    <w:p>
      <w:pPr>
        <w:spacing w:after="0" w:line="112"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Our amended and restated certificate of incorporation provides that we will indemnify our executive officers and directors to the fullest extent permitted by the DGCL.</w:t>
      </w:r>
    </w:p>
    <w:p>
      <w:pPr>
        <w:spacing w:after="0" w:line="165" w:lineRule="exact"/>
        <w:rPr>
          <w:sz w:val="20"/>
          <w:szCs w:val="20"/>
          <w:color w:val="auto"/>
        </w:rPr>
      </w:pPr>
    </w:p>
    <w:p>
      <w:pPr>
        <w:ind w:left="460" w:right="340" w:firstLine="413"/>
        <w:spacing w:after="0" w:line="260" w:lineRule="auto"/>
        <w:rPr>
          <w:sz w:val="20"/>
          <w:szCs w:val="20"/>
          <w:color w:val="auto"/>
        </w:rPr>
      </w:pPr>
      <w:r>
        <w:rPr>
          <w:rFonts w:ascii="Arial" w:cs="Arial" w:eastAsia="Arial" w:hAnsi="Arial"/>
          <w:sz w:val="17"/>
          <w:szCs w:val="17"/>
          <w:color w:val="auto"/>
        </w:rPr>
        <w:t>We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subject to certain exceptions contained in those agreements.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12" w:lineRule="exact"/>
        <w:rPr>
          <w:sz w:val="20"/>
          <w:szCs w:val="20"/>
          <w:color w:val="auto"/>
        </w:rPr>
      </w:pPr>
    </w:p>
    <w:p>
      <w:pPr>
        <w:ind w:left="460" w:right="140" w:firstLine="413"/>
        <w:spacing w:after="0" w:line="256" w:lineRule="auto"/>
        <w:rPr>
          <w:sz w:val="20"/>
          <w:szCs w:val="20"/>
          <w:color w:val="auto"/>
        </w:rPr>
      </w:pPr>
      <w:r>
        <w:rPr>
          <w:rFonts w:ascii="Arial" w:cs="Arial" w:eastAsia="Arial" w:hAnsi="Arial"/>
          <w:sz w:val="17"/>
          <w:szCs w:val="17"/>
          <w:color w:val="auto"/>
        </w:rPr>
        <w:t>Our code of business conduct and ethics that applies to all of our employees, officers and directors is available on our website located at www.definitivehc.com. Any amendments or waivers from our code for our principal executive officer, principal financial officer, principal accounting officer or controller, or persons performing similar functions that are required to be disclosed will be disclosed on our Internet website promptly following the date of such amendment or waiver.</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Corporate Governance Guidelines</w:t>
      </w:r>
    </w:p>
    <w:p>
      <w:pPr>
        <w:spacing w:after="0" w:line="112"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Our Board has adopted corporate governance guidelines in accordance with the applicable corporate governance rules of Nasdaq that serve as a flexible framework within which our Board and its committees operate. These guidelines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senior managers and independent advisers, Board communication with stockholders and others, director compensation and annual board and committee performance evaluations. A copy of our corporate governance guidelines is posted on our website.</w:t>
      </w:r>
    </w:p>
    <w:p>
      <w:pPr>
        <w:spacing w:after="0" w:line="10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740"/>
          </w:cols>
          <w:pgMar w:left="320" w:top="465" w:right="8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4" w:lineRule="exact"/>
        <w:rPr>
          <w:sz w:val="20"/>
          <w:szCs w:val="20"/>
          <w:color w:val="auto"/>
        </w:rPr>
      </w:pPr>
    </w:p>
    <w:p>
      <w:pPr>
        <w:ind w:left="460" w:right="40" w:firstLine="413"/>
        <w:spacing w:after="0" w:line="284" w:lineRule="auto"/>
        <w:rPr>
          <w:sz w:val="20"/>
          <w:szCs w:val="20"/>
          <w:color w:val="auto"/>
        </w:rPr>
      </w:pPr>
      <w:r>
        <w:rPr>
          <w:rFonts w:ascii="Arial" w:cs="Arial" w:eastAsia="Arial" w:hAnsi="Arial"/>
          <w:sz w:val="16"/>
          <w:szCs w:val="16"/>
          <w:i w:val="1"/>
          <w:iCs w:val="1"/>
          <w:color w:val="auto"/>
        </w:rPr>
        <w:t>The following compensation tables and related disclosure should be read together.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Overview</w:t>
      </w:r>
    </w:p>
    <w:p>
      <w:pPr>
        <w:spacing w:after="0" w:line="112" w:lineRule="exact"/>
        <w:rPr>
          <w:sz w:val="20"/>
          <w:szCs w:val="20"/>
          <w:color w:val="auto"/>
        </w:rPr>
      </w:pPr>
    </w:p>
    <w:p>
      <w:pPr>
        <w:ind w:left="460" w:right="40" w:firstLine="413"/>
        <w:spacing w:after="0" w:line="287" w:lineRule="auto"/>
        <w:rPr>
          <w:sz w:val="20"/>
          <w:szCs w:val="20"/>
          <w:color w:val="auto"/>
        </w:rPr>
      </w:pPr>
      <w:r>
        <w:rPr>
          <w:rFonts w:ascii="Arial" w:cs="Arial" w:eastAsia="Arial" w:hAnsi="Arial"/>
          <w:sz w:val="15"/>
          <w:szCs w:val="15"/>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2020 and our two other most highly compensated executive officers serving at the end of fiscal 2020. Our NEOs for fiscal</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2020 were:</w:t>
      </w:r>
    </w:p>
    <w:p>
      <w:pPr>
        <w:spacing w:after="0" w:line="109" w:lineRule="exact"/>
        <w:rPr>
          <w:sz w:val="20"/>
          <w:szCs w:val="20"/>
          <w:color w:val="auto"/>
        </w:rPr>
      </w:pPr>
    </w:p>
    <w:p>
      <w:pPr>
        <w:ind w:left="1360" w:hanging="498"/>
        <w:spacing w:after="0"/>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Jason Krantz, our Chairman and Chief Executive Officer;</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Kevin Shone, our former Chief Financial Officer;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Joseph Mirisola, our Chief Revenue Officer.</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Summary Compensation Table</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certain information regarding the total compensation awarded to, earned by or paid to our NEOs in fiscal 2020.</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8"/>
              </w:rPr>
              <w:t>Non-Equity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All Other</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300" w:type="dxa"/>
            <w:vAlign w:val="bottom"/>
          </w:tcPr>
          <w:p>
            <w:pPr>
              <w:spacing w:after="0"/>
              <w:rPr>
                <w:sz w:val="12"/>
                <w:szCs w:val="12"/>
                <w:color w:val="auto"/>
              </w:rPr>
            </w:pPr>
          </w:p>
        </w:tc>
        <w:tc>
          <w:tcPr>
            <w:tcW w:w="4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Year</w:t>
            </w:r>
          </w:p>
        </w:tc>
        <w:tc>
          <w:tcPr>
            <w:tcW w:w="36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Salary</w:t>
            </w:r>
          </w:p>
        </w:tc>
        <w:tc>
          <w:tcPr>
            <w:tcW w:w="180" w:type="dxa"/>
            <w:vAlign w:val="bottom"/>
          </w:tcPr>
          <w:p>
            <w:pPr>
              <w:spacing w:after="0"/>
              <w:rPr>
                <w:sz w:val="12"/>
                <w:szCs w:val="12"/>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Bonus(2)</w:t>
            </w:r>
          </w:p>
        </w:tc>
        <w:tc>
          <w:tcPr>
            <w:tcW w:w="180" w:type="dxa"/>
            <w:vAlign w:val="bottom"/>
          </w:tcPr>
          <w:p>
            <w:pPr>
              <w:spacing w:after="0"/>
              <w:rPr>
                <w:sz w:val="12"/>
                <w:szCs w:val="12"/>
                <w:color w:val="auto"/>
              </w:rPr>
            </w:pPr>
          </w:p>
        </w:tc>
        <w:tc>
          <w:tcPr>
            <w:tcW w:w="1180" w:type="dxa"/>
            <w:vAlign w:val="bottom"/>
            <w:gridSpan w:val="3"/>
          </w:tcPr>
          <w:p>
            <w:pPr>
              <w:jc w:val="right"/>
              <w:ind w:right="280"/>
              <w:spacing w:after="0" w:line="139" w:lineRule="exact"/>
              <w:rPr>
                <w:sz w:val="20"/>
                <w:szCs w:val="20"/>
                <w:color w:val="auto"/>
              </w:rPr>
            </w:pPr>
            <w:r>
              <w:rPr>
                <w:rFonts w:ascii="Arial" w:cs="Arial" w:eastAsia="Arial" w:hAnsi="Arial"/>
                <w:sz w:val="13"/>
                <w:szCs w:val="13"/>
                <w:b w:val="1"/>
                <w:bCs w:val="1"/>
                <w:color w:val="auto"/>
              </w:rPr>
              <w:t>Incentive Plan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4"/>
        </w:trPr>
        <w:tc>
          <w:tcPr>
            <w:tcW w:w="39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jc w:val="right"/>
              <w:ind w:right="180"/>
              <w:spacing w:after="0" w:line="114" w:lineRule="exact"/>
              <w:rPr>
                <w:sz w:val="20"/>
                <w:szCs w:val="20"/>
                <w:color w:val="auto"/>
              </w:rPr>
            </w:pPr>
            <w:r>
              <w:rPr>
                <w:rFonts w:ascii="Arial" w:cs="Arial" w:eastAsia="Arial" w:hAnsi="Arial"/>
                <w:sz w:val="13"/>
                <w:szCs w:val="13"/>
                <w:b w:val="1"/>
                <w:bCs w:val="1"/>
                <w:color w:val="auto"/>
                <w:w w:val="92"/>
              </w:rPr>
              <w:t>Compensation(3)</w:t>
            </w:r>
          </w:p>
        </w:tc>
        <w:tc>
          <w:tcPr>
            <w:tcW w:w="180" w:type="dxa"/>
            <w:vAlign w:val="bottom"/>
          </w:tcPr>
          <w:p>
            <w:pPr>
              <w:spacing w:after="0"/>
              <w:rPr>
                <w:sz w:val="11"/>
                <w:szCs w:val="11"/>
                <w:color w:val="auto"/>
              </w:rPr>
            </w:pPr>
          </w:p>
        </w:tc>
        <w:tc>
          <w:tcPr>
            <w:tcW w:w="1180" w:type="dxa"/>
            <w:vAlign w:val="bottom"/>
            <w:gridSpan w:val="3"/>
          </w:tcPr>
          <w:p>
            <w:pPr>
              <w:jc w:val="right"/>
              <w:ind w:right="180"/>
              <w:spacing w:after="0" w:line="114" w:lineRule="exact"/>
              <w:rPr>
                <w:sz w:val="20"/>
                <w:szCs w:val="20"/>
                <w:color w:val="auto"/>
              </w:rPr>
            </w:pPr>
            <w:r>
              <w:rPr>
                <w:rFonts w:ascii="Arial" w:cs="Arial" w:eastAsia="Arial" w:hAnsi="Arial"/>
                <w:sz w:val="13"/>
                <w:szCs w:val="13"/>
                <w:b w:val="1"/>
                <w:bCs w:val="1"/>
                <w:color w:val="auto"/>
                <w:w w:val="92"/>
              </w:rPr>
              <w:t>Compensation(4)</w:t>
            </w:r>
          </w:p>
        </w:tc>
        <w:tc>
          <w:tcPr>
            <w:tcW w:w="1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96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Jason Krantz</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ind w:left="60"/>
              <w:spacing w:after="0" w:line="180" w:lineRule="exact"/>
              <w:rPr>
                <w:sz w:val="20"/>
                <w:szCs w:val="20"/>
                <w:color w:val="auto"/>
              </w:rPr>
            </w:pPr>
            <w:r>
              <w:rPr>
                <w:rFonts w:ascii="Arial" w:cs="Arial" w:eastAsia="Arial" w:hAnsi="Arial"/>
                <w:sz w:val="17"/>
                <w:szCs w:val="17"/>
                <w:color w:val="auto"/>
                <w:w w:val="84"/>
              </w:rPr>
              <w:t>2020</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87"/>
              </w:rPr>
              <w:t>$420,250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87"/>
              </w:rPr>
              <w:t>$25,000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310,770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29,677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90"/>
              </w:rPr>
              <w:t>$760,697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60" w:type="dxa"/>
            <w:vAlign w:val="bottom"/>
            <w:gridSpan w:val="2"/>
          </w:tcPr>
          <w:p>
            <w:pPr>
              <w:spacing w:after="0" w:line="190" w:lineRule="exact"/>
              <w:rPr>
                <w:sz w:val="20"/>
                <w:szCs w:val="20"/>
                <w:color w:val="auto"/>
              </w:rPr>
            </w:pPr>
            <w:r>
              <w:rPr>
                <w:rFonts w:ascii="Arial" w:cs="Arial" w:eastAsia="Arial" w:hAnsi="Arial"/>
                <w:sz w:val="16"/>
                <w:szCs w:val="16"/>
                <w:color w:val="auto"/>
              </w:rPr>
              <w:t>Kevin Shone</w:t>
            </w:r>
            <w:r>
              <w:rPr>
                <w:rFonts w:ascii="Arial" w:cs="Arial" w:eastAsia="Arial" w:hAnsi="Arial"/>
                <w:sz w:val="22"/>
                <w:szCs w:val="22"/>
                <w:color w:val="auto"/>
                <w:vertAlign w:val="superscript"/>
              </w:rPr>
              <w:t>(1)</w:t>
            </w:r>
          </w:p>
        </w:tc>
        <w:tc>
          <w:tcPr>
            <w:tcW w:w="700" w:type="dxa"/>
            <w:vAlign w:val="bottom"/>
            <w:gridSpan w:val="2"/>
          </w:tcPr>
          <w:p>
            <w:pPr>
              <w:ind w:left="360"/>
              <w:spacing w:after="0" w:line="190" w:lineRule="exact"/>
              <w:rPr>
                <w:sz w:val="20"/>
                <w:szCs w:val="20"/>
                <w:color w:val="auto"/>
              </w:rPr>
            </w:pPr>
            <w:r>
              <w:rPr>
                <w:rFonts w:ascii="Arial" w:cs="Arial" w:eastAsia="Arial" w:hAnsi="Arial"/>
                <w:sz w:val="17"/>
                <w:szCs w:val="17"/>
                <w:color w:val="auto"/>
                <w:w w:val="84"/>
              </w:rPr>
              <w:t>2020</w:t>
            </w:r>
          </w:p>
        </w:tc>
        <w:tc>
          <w:tcPr>
            <w:tcW w:w="1180" w:type="dxa"/>
            <w:vAlign w:val="bottom"/>
            <w:gridSpan w:val="3"/>
          </w:tcPr>
          <w:p>
            <w:pPr>
              <w:jc w:val="right"/>
              <w:ind w:right="180"/>
              <w:spacing w:after="0" w:line="190" w:lineRule="exact"/>
              <w:rPr>
                <w:sz w:val="20"/>
                <w:szCs w:val="20"/>
                <w:color w:val="auto"/>
              </w:rPr>
            </w:pPr>
            <w:r>
              <w:rPr>
                <w:rFonts w:ascii="Arial" w:cs="Arial" w:eastAsia="Arial" w:hAnsi="Arial"/>
                <w:sz w:val="17"/>
                <w:szCs w:val="17"/>
                <w:color w:val="auto"/>
              </w:rPr>
              <w:t>$280,500</w:t>
            </w:r>
          </w:p>
        </w:tc>
        <w:tc>
          <w:tcPr>
            <w:tcW w:w="900" w:type="dxa"/>
            <w:vAlign w:val="bottom"/>
            <w:gridSpan w:val="3"/>
          </w:tcPr>
          <w:p>
            <w:pPr>
              <w:jc w:val="center"/>
              <w:spacing w:after="0" w:line="190" w:lineRule="exact"/>
              <w:rPr>
                <w:sz w:val="20"/>
                <w:szCs w:val="20"/>
                <w:color w:val="auto"/>
              </w:rPr>
            </w:pPr>
            <w:r>
              <w:rPr>
                <w:rFonts w:ascii="Arial" w:cs="Arial" w:eastAsia="Arial" w:hAnsi="Arial"/>
                <w:sz w:val="17"/>
                <w:szCs w:val="17"/>
                <w:color w:val="auto"/>
                <w:w w:val="87"/>
              </w:rPr>
              <w:t>$25,000</w:t>
            </w:r>
          </w:p>
        </w:tc>
        <w:tc>
          <w:tcPr>
            <w:tcW w:w="30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125,000</w:t>
            </w:r>
          </w:p>
        </w:tc>
        <w:tc>
          <w:tcPr>
            <w:tcW w:w="32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31,807</w:t>
            </w:r>
          </w:p>
        </w:tc>
        <w:tc>
          <w:tcPr>
            <w:tcW w:w="880" w:type="dxa"/>
            <w:vAlign w:val="bottom"/>
            <w:gridSpan w:val="3"/>
          </w:tcPr>
          <w:p>
            <w:pPr>
              <w:jc w:val="center"/>
              <w:ind w:left="36"/>
              <w:spacing w:after="0" w:line="190" w:lineRule="exact"/>
              <w:rPr>
                <w:sz w:val="20"/>
                <w:szCs w:val="20"/>
                <w:color w:val="auto"/>
              </w:rPr>
            </w:pPr>
            <w:r>
              <w:rPr>
                <w:rFonts w:ascii="Arial" w:cs="Arial" w:eastAsia="Arial" w:hAnsi="Arial"/>
                <w:sz w:val="17"/>
                <w:szCs w:val="17"/>
                <w:color w:val="auto"/>
                <w:w w:val="90"/>
              </w:rPr>
              <w:t>$437,307</w:t>
            </w:r>
          </w:p>
        </w:tc>
        <w:tc>
          <w:tcPr>
            <w:tcW w:w="0" w:type="dxa"/>
            <w:vAlign w:val="bottom"/>
          </w:tcPr>
          <w:p>
            <w:pPr>
              <w:spacing w:after="0"/>
              <w:rPr>
                <w:sz w:val="1"/>
                <w:szCs w:val="1"/>
                <w:color w:val="auto"/>
              </w:rPr>
            </w:pPr>
          </w:p>
        </w:tc>
      </w:tr>
      <w:tr>
        <w:trPr>
          <w:trHeight w:val="214"/>
        </w:trPr>
        <w:tc>
          <w:tcPr>
            <w:tcW w:w="3960" w:type="dxa"/>
            <w:vAlign w:val="bottom"/>
            <w:gridSpan w:val="2"/>
          </w:tcPr>
          <w:p>
            <w:pPr>
              <w:ind w:left="160"/>
              <w:spacing w:after="0"/>
              <w:rPr>
                <w:sz w:val="20"/>
                <w:szCs w:val="20"/>
                <w:color w:val="auto"/>
              </w:rPr>
            </w:pPr>
            <w:r>
              <w:rPr>
                <w:rFonts w:ascii="Arial" w:cs="Arial" w:eastAsia="Arial" w:hAnsi="Arial"/>
                <w:sz w:val="17"/>
                <w:szCs w:val="17"/>
                <w:color w:val="auto"/>
              </w:rPr>
              <w:t>former Chief Financial Officer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2020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$275,000</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7"/>
              </w:rPr>
              <w:t>$25,000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11,670</w:t>
            </w:r>
          </w:p>
        </w:tc>
        <w:tc>
          <w:tcPr>
            <w:tcW w:w="880" w:type="dxa"/>
            <w:vAlign w:val="bottom"/>
            <w:gridSpan w:val="3"/>
            <w:shd w:val="clear" w:color="auto" w:fill="CCEEFF"/>
          </w:tcPr>
          <w:p>
            <w:pPr>
              <w:jc w:val="center"/>
              <w:ind w:left="36"/>
              <w:spacing w:after="0"/>
              <w:rPr>
                <w:sz w:val="20"/>
                <w:szCs w:val="20"/>
                <w:color w:val="auto"/>
              </w:rPr>
            </w:pPr>
            <w:r>
              <w:rPr>
                <w:rFonts w:ascii="Arial" w:cs="Arial" w:eastAsia="Arial" w:hAnsi="Arial"/>
                <w:sz w:val="17"/>
                <w:szCs w:val="17"/>
                <w:color w:val="auto"/>
                <w:w w:val="90"/>
              </w:rPr>
              <w:t>$486,670</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Revenue Officer</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right="720" w:hanging="403"/>
        <w:spacing w:after="0" w:line="256" w:lineRule="auto"/>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Mr. Shone served as our Chief Financial Officer from April 24, 2018 until March 15, 2021, when he transitioned to the position of Chief Administrative Officer.</w:t>
      </w:r>
    </w:p>
    <w:p>
      <w:pPr>
        <w:ind w:left="860" w:hanging="403"/>
        <w:spacing w:after="0"/>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Reflects amounts paid pursuant to the Executive Stretch tier as described below.</w:t>
      </w:r>
    </w:p>
    <w:p>
      <w:pPr>
        <w:spacing w:after="0" w:line="7" w:lineRule="exact"/>
        <w:rPr>
          <w:rFonts w:ascii="Arial" w:cs="Arial" w:eastAsia="Arial" w:hAnsi="Arial"/>
          <w:sz w:val="17"/>
          <w:szCs w:val="17"/>
          <w:color w:val="auto"/>
        </w:rPr>
      </w:pPr>
    </w:p>
    <w:p>
      <w:pPr>
        <w:ind w:left="860" w:hanging="403"/>
        <w:spacing w:after="0"/>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Represents performance-based amounts earned in fiscal 2020 under the Definitive Healthcare 2020 Corporate Bonus Program.</w:t>
      </w:r>
    </w:p>
    <w:p>
      <w:pPr>
        <w:spacing w:after="0" w:line="7" w:lineRule="exact"/>
        <w:rPr>
          <w:rFonts w:ascii="Arial" w:cs="Arial" w:eastAsia="Arial" w:hAnsi="Arial"/>
          <w:sz w:val="17"/>
          <w:szCs w:val="17"/>
          <w:color w:val="auto"/>
        </w:rPr>
      </w:pPr>
    </w:p>
    <w:p>
      <w:pPr>
        <w:ind w:left="860" w:hanging="403"/>
        <w:spacing w:after="0"/>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Payments to our NEOs included in the “All Other Compensation” column include the following:</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5"/>
              </w:rPr>
              <w:t>Short and</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60" w:type="dxa"/>
            <w:vAlign w:val="bottom"/>
            <w:gridSpan w:val="3"/>
          </w:tcPr>
          <w:p>
            <w:pPr>
              <w:jc w:val="center"/>
              <w:ind w:right="420"/>
              <w:spacing w:after="0" w:line="139" w:lineRule="exact"/>
              <w:rPr>
                <w:sz w:val="20"/>
                <w:szCs w:val="20"/>
                <w:color w:val="auto"/>
              </w:rPr>
            </w:pPr>
            <w:r>
              <w:rPr>
                <w:rFonts w:ascii="Arial" w:cs="Arial" w:eastAsia="Arial" w:hAnsi="Arial"/>
                <w:sz w:val="13"/>
                <w:szCs w:val="13"/>
                <w:b w:val="1"/>
                <w:bCs w:val="1"/>
                <w:color w:val="auto"/>
                <w:w w:val="95"/>
              </w:rPr>
              <w:t>Long Term</w:t>
            </w:r>
          </w:p>
        </w:tc>
        <w:tc>
          <w:tcPr>
            <w:tcW w:w="140" w:type="dxa"/>
            <w:vAlign w:val="bottom"/>
          </w:tcPr>
          <w:p>
            <w:pPr>
              <w:spacing w:after="0"/>
              <w:rPr>
                <w:sz w:val="12"/>
                <w:szCs w:val="12"/>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Life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401(k)</w:t>
            </w:r>
          </w:p>
        </w:tc>
        <w:tc>
          <w:tcPr>
            <w:tcW w:w="200" w:type="dxa"/>
            <w:vAlign w:val="bottom"/>
          </w:tcPr>
          <w:p>
            <w:pPr>
              <w:spacing w:after="0"/>
              <w:rPr>
                <w:sz w:val="12"/>
                <w:szCs w:val="12"/>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5"/>
              </w:rPr>
              <w:t>Health</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60" w:type="dxa"/>
            <w:vAlign w:val="bottom"/>
            <w:gridSpan w:val="3"/>
          </w:tcPr>
          <w:p>
            <w:pPr>
              <w:jc w:val="center"/>
              <w:ind w:right="440"/>
              <w:spacing w:after="0" w:line="139" w:lineRule="exact"/>
              <w:rPr>
                <w:sz w:val="20"/>
                <w:szCs w:val="20"/>
                <w:color w:val="auto"/>
              </w:rPr>
            </w:pPr>
            <w:r>
              <w:rPr>
                <w:rFonts w:ascii="Arial" w:cs="Arial" w:eastAsia="Arial" w:hAnsi="Arial"/>
                <w:sz w:val="13"/>
                <w:szCs w:val="13"/>
                <w:b w:val="1"/>
                <w:bCs w:val="1"/>
                <w:color w:val="auto"/>
                <w:w w:val="93"/>
              </w:rPr>
              <w:t>Disability</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2160" w:type="dxa"/>
            <w:vAlign w:val="bottom"/>
          </w:tcPr>
          <w:p>
            <w:pPr>
              <w:spacing w:after="0"/>
              <w:rPr>
                <w:sz w:val="12"/>
                <w:szCs w:val="12"/>
                <w:color w:val="auto"/>
              </w:rPr>
            </w:pPr>
          </w:p>
        </w:tc>
        <w:tc>
          <w:tcPr>
            <w:tcW w:w="1060" w:type="dxa"/>
            <w:vAlign w:val="bottom"/>
            <w:gridSpan w:val="3"/>
          </w:tcPr>
          <w:p>
            <w:pPr>
              <w:jc w:val="center"/>
              <w:ind w:right="400"/>
              <w:spacing w:after="0" w:line="139" w:lineRule="exact"/>
              <w:rPr>
                <w:sz w:val="20"/>
                <w:szCs w:val="20"/>
                <w:color w:val="auto"/>
              </w:rPr>
            </w:pPr>
            <w:r>
              <w:rPr>
                <w:rFonts w:ascii="Arial" w:cs="Arial" w:eastAsia="Arial" w:hAnsi="Arial"/>
                <w:sz w:val="13"/>
                <w:szCs w:val="13"/>
                <w:b w:val="1"/>
                <w:bCs w:val="1"/>
                <w:color w:val="auto"/>
                <w:w w:val="94"/>
              </w:rPr>
              <w:t>Insurance</w:t>
            </w:r>
          </w:p>
        </w:tc>
        <w:tc>
          <w:tcPr>
            <w:tcW w:w="82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Insurance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8"/>
              </w:rPr>
              <w:t>Matching</w:t>
            </w:r>
          </w:p>
        </w:tc>
        <w:tc>
          <w:tcPr>
            <w:tcW w:w="200" w:type="dxa"/>
            <w:vAlign w:val="bottom"/>
          </w:tcPr>
          <w:p>
            <w:pPr>
              <w:spacing w:after="0"/>
              <w:rPr>
                <w:sz w:val="12"/>
                <w:szCs w:val="12"/>
                <w:color w:val="auto"/>
              </w:rPr>
            </w:pPr>
          </w:p>
        </w:tc>
        <w:tc>
          <w:tcPr>
            <w:tcW w:w="102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4"/>
              </w:rPr>
              <w:t>Insurance</w:t>
            </w: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4"/>
        </w:trPr>
        <w:tc>
          <w:tcPr>
            <w:tcW w:w="3240" w:type="dxa"/>
            <w:vAlign w:val="bottom"/>
            <w:gridSpan w:val="2"/>
            <w:vMerge w:val="continue"/>
          </w:tcPr>
          <w:p>
            <w:pPr>
              <w:spacing w:after="0"/>
              <w:rPr>
                <w:sz w:val="11"/>
                <w:szCs w:val="11"/>
                <w:color w:val="auto"/>
              </w:rPr>
            </w:pPr>
          </w:p>
        </w:tc>
        <w:tc>
          <w:tcPr>
            <w:tcW w:w="2160" w:type="dxa"/>
            <w:vAlign w:val="bottom"/>
          </w:tcPr>
          <w:p>
            <w:pPr>
              <w:spacing w:after="0"/>
              <w:rPr>
                <w:sz w:val="11"/>
                <w:szCs w:val="11"/>
                <w:color w:val="auto"/>
              </w:rPr>
            </w:pPr>
          </w:p>
        </w:tc>
        <w:tc>
          <w:tcPr>
            <w:tcW w:w="1060" w:type="dxa"/>
            <w:vAlign w:val="bottom"/>
            <w:gridSpan w:val="3"/>
          </w:tcPr>
          <w:p>
            <w:pPr>
              <w:jc w:val="center"/>
              <w:ind w:right="400"/>
              <w:spacing w:after="0" w:line="114" w:lineRule="exact"/>
              <w:rPr>
                <w:sz w:val="20"/>
                <w:szCs w:val="20"/>
                <w:color w:val="auto"/>
              </w:rPr>
            </w:pPr>
            <w:r>
              <w:rPr>
                <w:rFonts w:ascii="Arial" w:cs="Arial" w:eastAsia="Arial" w:hAnsi="Arial"/>
                <w:sz w:val="13"/>
                <w:szCs w:val="13"/>
                <w:b w:val="1"/>
                <w:bCs w:val="1"/>
                <w:color w:val="auto"/>
                <w:w w:val="92"/>
              </w:rPr>
              <w:t>Premiums</w:t>
            </w:r>
          </w:p>
        </w:tc>
        <w:tc>
          <w:tcPr>
            <w:tcW w:w="820" w:type="dxa"/>
            <w:vAlign w:val="bottom"/>
            <w:gridSpan w:val="3"/>
          </w:tcPr>
          <w:p>
            <w:pPr>
              <w:ind w:left="20"/>
              <w:spacing w:after="0" w:line="114" w:lineRule="exact"/>
              <w:rPr>
                <w:sz w:val="20"/>
                <w:szCs w:val="20"/>
                <w:color w:val="auto"/>
              </w:rPr>
            </w:pPr>
            <w:r>
              <w:rPr>
                <w:rFonts w:ascii="Arial" w:cs="Arial" w:eastAsia="Arial" w:hAnsi="Arial"/>
                <w:sz w:val="13"/>
                <w:szCs w:val="13"/>
                <w:b w:val="1"/>
                <w:bCs w:val="1"/>
                <w:color w:val="auto"/>
              </w:rPr>
              <w:t>Premiums</w:t>
            </w:r>
          </w:p>
        </w:tc>
        <w:tc>
          <w:tcPr>
            <w:tcW w:w="200" w:type="dxa"/>
            <w:vAlign w:val="bottom"/>
          </w:tcPr>
          <w:p>
            <w:pPr>
              <w:spacing w:after="0"/>
              <w:rPr>
                <w:sz w:val="11"/>
                <w:szCs w:val="11"/>
                <w:color w:val="auto"/>
              </w:rPr>
            </w:pPr>
          </w:p>
        </w:tc>
        <w:tc>
          <w:tcPr>
            <w:tcW w:w="1020" w:type="dxa"/>
            <w:vAlign w:val="bottom"/>
            <w:gridSpan w:val="3"/>
          </w:tcPr>
          <w:p>
            <w:pPr>
              <w:spacing w:after="0" w:line="114" w:lineRule="exact"/>
              <w:rPr>
                <w:sz w:val="20"/>
                <w:szCs w:val="20"/>
                <w:color w:val="auto"/>
              </w:rPr>
            </w:pPr>
            <w:r>
              <w:rPr>
                <w:rFonts w:ascii="Arial" w:cs="Arial" w:eastAsia="Arial" w:hAnsi="Arial"/>
                <w:sz w:val="13"/>
                <w:szCs w:val="13"/>
                <w:b w:val="1"/>
                <w:bCs w:val="1"/>
                <w:color w:val="auto"/>
              </w:rPr>
              <w:t>Contributions</w:t>
            </w:r>
          </w:p>
        </w:tc>
        <w:tc>
          <w:tcPr>
            <w:tcW w:w="200" w:type="dxa"/>
            <w:vAlign w:val="bottom"/>
          </w:tcPr>
          <w:p>
            <w:pPr>
              <w:spacing w:after="0"/>
              <w:rPr>
                <w:sz w:val="11"/>
                <w:szCs w:val="11"/>
                <w:color w:val="auto"/>
              </w:rPr>
            </w:pPr>
          </w:p>
        </w:tc>
        <w:tc>
          <w:tcPr>
            <w:tcW w:w="1020" w:type="dxa"/>
            <w:vAlign w:val="bottom"/>
            <w:gridSpan w:val="2"/>
          </w:tcPr>
          <w:p>
            <w:pPr>
              <w:jc w:val="center"/>
              <w:ind w:right="400"/>
              <w:spacing w:after="0" w:line="114" w:lineRule="exact"/>
              <w:rPr>
                <w:sz w:val="20"/>
                <w:szCs w:val="20"/>
                <w:color w:val="auto"/>
              </w:rPr>
            </w:pPr>
            <w:r>
              <w:rPr>
                <w:rFonts w:ascii="Arial" w:cs="Arial" w:eastAsia="Arial" w:hAnsi="Arial"/>
                <w:sz w:val="13"/>
                <w:szCs w:val="13"/>
                <w:b w:val="1"/>
                <w:bCs w:val="1"/>
                <w:color w:val="auto"/>
                <w:w w:val="92"/>
              </w:rPr>
              <w:t>Premiums</w:t>
            </w: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4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Jason Krantz</w:t>
            </w:r>
          </w:p>
        </w:tc>
        <w:tc>
          <w:tcPr>
            <w:tcW w:w="2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ind w:left="160"/>
              <w:spacing w:after="0" w:line="180"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270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11,400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90"/>
              </w:rPr>
              <w:t>$ 18,007</w:t>
            </w: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91"/>
              </w:rPr>
              <w:t>$29,677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Arial" w:cs="Arial" w:eastAsia="Arial" w:hAnsi="Arial"/>
                <w:sz w:val="17"/>
                <w:szCs w:val="17"/>
                <w:color w:val="auto"/>
              </w:rPr>
              <w:t>Kevin Shone</w:t>
            </w:r>
          </w:p>
        </w:tc>
        <w:tc>
          <w:tcPr>
            <w:tcW w:w="24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160"/>
              <w:spacing w:after="0"/>
              <w:rPr>
                <w:sz w:val="20"/>
                <w:szCs w:val="20"/>
                <w:color w:val="auto"/>
              </w:rPr>
            </w:pPr>
            <w:r>
              <w:rPr>
                <w:rFonts w:ascii="Arial" w:cs="Arial" w:eastAsia="Arial" w:hAnsi="Arial"/>
                <w:sz w:val="17"/>
                <w:szCs w:val="17"/>
                <w:color w:val="auto"/>
              </w:rPr>
              <w:t>846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270</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11,400</w:t>
            </w:r>
          </w:p>
        </w:tc>
        <w:tc>
          <w:tcPr>
            <w:tcW w:w="1220" w:type="dxa"/>
            <w:vAlign w:val="bottom"/>
            <w:gridSpan w:val="3"/>
          </w:tcPr>
          <w:p>
            <w:pPr>
              <w:jc w:val="center"/>
              <w:ind w:right="220"/>
              <w:spacing w:after="0"/>
              <w:rPr>
                <w:sz w:val="20"/>
                <w:szCs w:val="20"/>
                <w:color w:val="auto"/>
              </w:rPr>
            </w:pPr>
            <w:r>
              <w:rPr>
                <w:rFonts w:ascii="Arial" w:cs="Arial" w:eastAsia="Arial" w:hAnsi="Arial"/>
                <w:sz w:val="17"/>
                <w:szCs w:val="17"/>
                <w:color w:val="auto"/>
                <w:w w:val="90"/>
              </w:rPr>
              <w:t>$ 19,291</w:t>
            </w:r>
          </w:p>
        </w:tc>
        <w:tc>
          <w:tcPr>
            <w:tcW w:w="62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$31,807</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11,400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$11,670</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Narrative Discussion of the Summary Compensation Table</w:t>
      </w:r>
    </w:p>
    <w:p>
      <w:pPr>
        <w:spacing w:after="0" w:line="112"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In fiscal 2020, we primarily compensated our NEOs through a combination of base salary and annual cash incentive awards. Our NEOs are also entitled to certain other benefits, subject to their enrollment, including a</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800"/>
          </w:cols>
          <w:pgMar w:left="320" w:top="465" w:right="77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0"/>
        <w:spacing w:after="0" w:line="272" w:lineRule="auto"/>
        <w:rPr>
          <w:sz w:val="20"/>
          <w:szCs w:val="20"/>
          <w:color w:val="auto"/>
        </w:rPr>
      </w:pPr>
      <w:r>
        <w:rPr>
          <w:rFonts w:ascii="Arial" w:cs="Arial" w:eastAsia="Arial" w:hAnsi="Arial"/>
          <w:sz w:val="17"/>
          <w:szCs w:val="17"/>
          <w:color w:val="auto"/>
        </w:rPr>
        <w:t>401(k) plan with matching contributions, medical, dental, vision, life, accidental death and dismemberment, short-term disability and long-term disability insurance.</w:t>
      </w:r>
    </w:p>
    <w:p>
      <w:pPr>
        <w:spacing w:after="0" w:line="165" w:lineRule="exact"/>
        <w:rPr>
          <w:sz w:val="20"/>
          <w:szCs w:val="20"/>
          <w:color w:val="auto"/>
        </w:rPr>
      </w:pPr>
    </w:p>
    <w:p>
      <w:pPr>
        <w:ind w:left="460" w:right="20" w:firstLine="413"/>
        <w:spacing w:after="0" w:line="268" w:lineRule="auto"/>
        <w:rPr>
          <w:sz w:val="20"/>
          <w:szCs w:val="20"/>
          <w:color w:val="auto"/>
        </w:rPr>
      </w:pPr>
      <w:r>
        <w:rPr>
          <w:rFonts w:ascii="Arial" w:cs="Arial" w:eastAsia="Arial" w:hAnsi="Arial"/>
          <w:sz w:val="16"/>
          <w:szCs w:val="16"/>
          <w:color w:val="auto"/>
        </w:rPr>
        <w:t>Although we did not grant equity awards to our NEOs in 2020, we previously granted our executive officers Class B Units. These Class B Units are intended to be treated as “profits interests” for U.S. federal income tax purposes and have economic characteristics similar to stock appreciation rights. The Class B Units in AIDH Management Holdings, LLC correspond on a one-for-one basis to Class B Units issued by Definitive OpCo to AIDH Management Holdings, LLC. On September 18, 2019, we granted Class B Units to our NEOs under the 2019 Plan. Prior to the IPO, the vesting of a portion of the Class B Units was tied to the achievement by Advent of certain specified investment multiples and a portion is subject to time-based vesting. Under the terms of the existing award agreements with our executive officers and certain other award holders, upon the initial public offering, the portion of such awards as to which such investment multiples would not be achieved if Advent were to sell its entire investment at the initial public offering price was forfeited. In connection with the initial public offering, such forfeiture condition was waived and, after the IPO, all such unvested awards are subject to time-based vesting, subject to the service provider’s continued service. See “Executive and Director Compensation—Equity Compensation.”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our fiscal 2020 compensation program are described in more detail below:</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Cash Compensation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Base Salary</w:t>
      </w:r>
    </w:p>
    <w:p>
      <w:pPr>
        <w:spacing w:after="0" w:line="108"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Base salary is paid to attract and retain qualified talent and is set at a level that is commensurate with the executive’s duties and authorities, contributions, prior experience and sustained performance. The annual base salaries for each of Messrs. Krantz, Shone and Mirisola for fiscal 2020 are set forth in the Summary Compensation Table above in the “Salary” column.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2020 Annual Cash Incentive Awards and Bonus</w:t>
      </w:r>
    </w:p>
    <w:p>
      <w:pPr>
        <w:spacing w:after="0" w:line="108"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In fiscal 2020, we awarded annual cash incentive opportunities to each of our NEOs under the Definitive Healthcare 2020 Corporate Bonus Program (the “2020 Bonus Program”). We generally use our bonus program to provide annual performance-based cash incentive awards to motivate and reward eligible employees for the Company’s achievement of financial objectives, as established by the Board each year.</w:t>
      </w:r>
    </w:p>
    <w:p>
      <w:pPr>
        <w:spacing w:after="0" w:line="157"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For fiscal 2020, performance was measured against the Company’s “Cash Revenue Performance,” defined as the bookings from new revenue, upsell revenue, renewals revenue and non-recurring revenue that are closed by the Company in calendar 2020 and based on base, target and stretch performance objectives. The performance objectives were established at the beginning of fiscal 2020, and later adjusted downward to reflect the impact of the COVID-19 pandemic in order to retain and appropriately incentivize employees. If the performance objective is achieved at target, our executive officers, including our NEOs, receive a cash payment equal to their target bonus. If performance exceeds or falls short of the targets, then payouts are adjusted according to the level of achievement, as such level of achievement is approved by the Compensation Committee.</w:t>
      </w:r>
    </w:p>
    <w:p>
      <w:pPr>
        <w:spacing w:after="0" w:line="155" w:lineRule="exact"/>
        <w:rPr>
          <w:sz w:val="20"/>
          <w:szCs w:val="20"/>
          <w:color w:val="auto"/>
        </w:rPr>
      </w:pPr>
    </w:p>
    <w:p>
      <w:pPr>
        <w:jc w:val="both"/>
        <w:ind w:left="460" w:right="460" w:firstLine="413"/>
        <w:spacing w:after="0" w:line="311" w:lineRule="auto"/>
        <w:rPr>
          <w:sz w:val="20"/>
          <w:szCs w:val="20"/>
          <w:color w:val="auto"/>
        </w:rPr>
      </w:pPr>
      <w:r>
        <w:rPr>
          <w:rFonts w:ascii="Arial" w:cs="Arial" w:eastAsia="Arial" w:hAnsi="Arial"/>
          <w:sz w:val="15"/>
          <w:szCs w:val="15"/>
          <w:color w:val="auto"/>
        </w:rPr>
        <w:t>Mr. Krantz’s, base achievement, target achievement and stretch achievement payments for fiscal 2020 were up to 68% of his base salary for achievement of any of base, target and stretch goals. Mr. Shone’s base, target and stretch achievement were set at $50,000, $75,000 and $100,000 respectively, and Mr. Mirisola’s base, target and stretch achievement were set at $75,000, $125,000 and $175,000 respectively.</w:t>
      </w:r>
    </w:p>
    <w:p>
      <w:pPr>
        <w:spacing w:after="0" w:line="140"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The Board also approved an incremental tier (“Executive Stretch”) of $25,000 pursuant to the 2020 Bonus Program for executive leaders, including our NEOs for above stretch achievement.</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760"/>
          </w:cols>
          <w:pgMar w:left="320" w:top="466" w:right="81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Based on achievement of Cash Revenue Performance in fiscal 2020 of $136.607 million, our compensation committee approved the following payments to our NEOs: for Mr. Krantz, $285,770; for Mr. Shone, $100,000; and for Mr. Mirisola, $175,000, in each case reflecting the achievement of the Executive Stretch for achieving stretch achievement. In addition, the Board also approved payment of the Executive Stretch Tier of $25,000 for each of our NEOs in its discretion in recognition of 2020 performance.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Employment Arrangements</w:t>
      </w:r>
    </w:p>
    <w:p>
      <w:pPr>
        <w:spacing w:after="0" w:line="112"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The following is a summary of the material terms of the employment arrangements that we have with each of our NEOs, which includes our employment agreements with Messrs. Krantz and Shone. Mr. Mirisola does not have an employment agreement, but has entered into an Assignment of Inventions, Non-Disclosure and Non-Competition Agreement with Definitive Healthcare, LLC.</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Jason Krantz</w:t>
      </w:r>
    </w:p>
    <w:p>
      <w:pPr>
        <w:spacing w:after="0" w:line="108"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We entered into an employment agreement with Mr. Krantz (the “Krantz Employment Agreement”) on February 18, 2015. The Krantz Employment Agreement provides for at-will employment, and further provides that Mr. Krantz will receive a base salary, which is reviewed on an annual basis by the Compensation Committee of the Board to determine whether it should be increased. See the “Summary Compensation Table” above for Mr. Krantz’s base salary for fiscal 2020.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82" w:lineRule="exact"/>
        <w:rPr>
          <w:sz w:val="20"/>
          <w:szCs w:val="20"/>
          <w:color w:val="auto"/>
        </w:rPr>
      </w:pPr>
    </w:p>
    <w:p>
      <w:pPr>
        <w:jc w:val="both"/>
        <w:ind w:left="460" w:right="40" w:firstLine="413"/>
        <w:spacing w:after="0" w:line="311" w:lineRule="auto"/>
        <w:rPr>
          <w:sz w:val="20"/>
          <w:szCs w:val="20"/>
          <w:color w:val="auto"/>
        </w:rPr>
      </w:pPr>
      <w:r>
        <w:rPr>
          <w:rFonts w:ascii="Arial" w:cs="Arial" w:eastAsia="Arial" w:hAnsi="Arial"/>
          <w:sz w:val="15"/>
          <w:szCs w:val="15"/>
          <w:color w:val="auto"/>
        </w:rPr>
        <w:t>In addition to the above, Mr. Krantz participates in the employee benefits programs offered by us to our similarly-situated employees. The Krantz Employment Agreement provides for the reimbursement of 100% of all health insurance premiums for Mr. Krantz and his family. The cost of the health insurance premiums reimbursed to Mr. Krantz are set forth in the “Summary Compensation Table” above in the “All Other Compensation” column.</w:t>
      </w:r>
    </w:p>
    <w:p>
      <w:pPr>
        <w:spacing w:after="0" w:line="140" w:lineRule="exact"/>
        <w:rPr>
          <w:sz w:val="20"/>
          <w:szCs w:val="20"/>
          <w:color w:val="auto"/>
        </w:rPr>
      </w:pPr>
    </w:p>
    <w:p>
      <w:pPr>
        <w:jc w:val="both"/>
        <w:ind w:left="460" w:right="140" w:firstLine="413"/>
        <w:spacing w:after="0" w:line="260" w:lineRule="auto"/>
        <w:rPr>
          <w:sz w:val="20"/>
          <w:szCs w:val="20"/>
          <w:color w:val="auto"/>
        </w:rPr>
      </w:pPr>
      <w:r>
        <w:rPr>
          <w:rFonts w:ascii="Arial" w:cs="Arial" w:eastAsia="Arial" w:hAnsi="Arial"/>
          <w:sz w:val="17"/>
          <w:szCs w:val="17"/>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75"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 (i) 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70"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Krantz Employment Agreement includes customary confidentiality provisions, as well as provisions relating to noncompetition, assignment of inventions, and non-solicitation of our employees.</w:t>
      </w:r>
    </w:p>
    <w:p>
      <w:pPr>
        <w:spacing w:after="0" w:line="165"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7"/>
          <w:szCs w:val="17"/>
          <w:color w:val="auto"/>
        </w:rPr>
        <w:t>For purposes of the Krantz Employment Agreement, “Cause” means that the Mr. Krantz has: (i) breached any fiduciary duty or legal or material contractual obligation to us, which breach, if curable, is not cured within</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760"/>
          </w:cols>
          <w:pgMar w:left="320" w:top="466" w:right="81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spacing w:after="0" w:line="253" w:lineRule="auto"/>
        <w:rPr>
          <w:sz w:val="20"/>
          <w:szCs w:val="20"/>
          <w:color w:val="auto"/>
        </w:rPr>
      </w:pPr>
      <w:r>
        <w:rPr>
          <w:rFonts w:ascii="Arial" w:cs="Arial" w:eastAsia="Arial" w:hAnsi="Arial"/>
          <w:sz w:val="17"/>
          <w:szCs w:val="17"/>
          <w:color w:val="auto"/>
        </w:rPr>
        <w:t xml:space="preserve">15 days after written notice to the Executive thereof or, if cured, recurs; (ii) failed to follow any reasonable directive of the Board, which failure, if curable, is not cured within 15 days after notice to the Executive thereof or, if cured, recurs; (iii) engaged in gross negligence, fraud, embezzlement, acts of dishonesty or a conflict of interest relating to the affairs of the Company or any of our affiliates, in each case as determined by the Board; (iv) been convicted of or pleaded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any misdemeanor relating to the affairs of the Company or any of our affiliates or (B) any felony (excluding any motor vehicle offense for which a non-custodial sentence is received for Mr. Shone); or (v) engaged in a willful violation of any federal or state securities laws.</w:t>
      </w:r>
    </w:p>
    <w:p>
      <w:pPr>
        <w:spacing w:after="0" w:line="182" w:lineRule="exact"/>
        <w:rPr>
          <w:sz w:val="20"/>
          <w:szCs w:val="20"/>
          <w:color w:val="auto"/>
        </w:rPr>
      </w:pPr>
    </w:p>
    <w:p>
      <w:pPr>
        <w:ind w:left="460" w:right="120" w:firstLine="413"/>
        <w:spacing w:after="0" w:line="290" w:lineRule="auto"/>
        <w:rPr>
          <w:sz w:val="20"/>
          <w:szCs w:val="20"/>
          <w:color w:val="auto"/>
        </w:rPr>
      </w:pPr>
      <w:r>
        <w:rPr>
          <w:rFonts w:ascii="Arial" w:cs="Arial" w:eastAsia="Arial" w:hAnsi="Arial"/>
          <w:sz w:val="15"/>
          <w:szCs w:val="15"/>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ind w:left="460"/>
        <w:spacing w:after="0" w:line="292" w:lineRule="auto"/>
        <w:rPr>
          <w:sz w:val="20"/>
          <w:szCs w:val="20"/>
          <w:color w:val="auto"/>
        </w:rPr>
      </w:pPr>
      <w:r>
        <w:rPr>
          <w:rFonts w:ascii="Arial" w:cs="Arial" w:eastAsia="Arial" w:hAnsi="Arial"/>
          <w:sz w:val="15"/>
          <w:szCs w:val="15"/>
          <w:color w:val="auto"/>
        </w:rPr>
        <w:t>Mr. Krantz’s then-current base salary by twenty percent (20%) or more provided that any such reduction that applies to all management employees in the 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155"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In connection with the IPO, we amended Mr. Krantz’s employment agreement to provide him with additional benefits if we terminate Mr. Krantz’s employment without Cause or Mr. Krantz terminates his employment for Good Reason, in each case within a 12 month period after a change of control. If Mr. Krantz’s employment terminates on such basis within a 12 month period after a change of control, under his amended employment agreement we would provide Mr. Krantz with (i) severance in the amount of 150% of the sum of Mr. Krantz’s base salary and target bonus at the rate in effect on the date of termination; (ii) a prorated portion of the annual bonus Mr. Krantz would have earned at target level; and (iii) if Mr. Krantz is eligible, continuation of payments of the group health continuation coverage premiums for Mr. Krantz and his eligible dependents for a period of up to 18 months. In addition, we would accelerate the vesting of all of Mr. Krantz’s unvested equity awards. The payments and benefits described above may be reduced if they would result in Mr. Krantz receiving a lower amount on an after-tax basis due to the application of the excise tax on “golden parachutes.”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Kevin Shone</w:t>
      </w:r>
    </w:p>
    <w:p>
      <w:pPr>
        <w:spacing w:after="0" w:line="108"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We entered into an employment agreement with Mr. Shone (the “Shone Employment Agreement”), effective as of April 24, 2018. The Shone Employment Agreement provides for employment on an “at will” basis, and further provides for a base salary which will be reviewed on an annual basis by the Compensation Committee of the Board to determine whether it should be increased. See the “Summary Compensation Table” above for</w:t>
      </w:r>
    </w:p>
    <w:p>
      <w:pPr>
        <w:spacing w:after="0" w:line="1" w:lineRule="exact"/>
        <w:rPr>
          <w:sz w:val="20"/>
          <w:szCs w:val="20"/>
          <w:color w:val="auto"/>
        </w:rPr>
      </w:pPr>
    </w:p>
    <w:p>
      <w:pPr>
        <w:ind w:left="460" w:right="140"/>
        <w:spacing w:after="0" w:line="276" w:lineRule="auto"/>
        <w:rPr>
          <w:sz w:val="20"/>
          <w:szCs w:val="20"/>
          <w:color w:val="auto"/>
        </w:rPr>
      </w:pPr>
      <w:r>
        <w:rPr>
          <w:rFonts w:ascii="Arial" w:cs="Arial" w:eastAsia="Arial" w:hAnsi="Arial"/>
          <w:sz w:val="16"/>
          <w:szCs w:val="16"/>
          <w:color w:val="auto"/>
        </w:rPr>
        <w:t>Mr. Shone’s base salary for fiscal 2020. The Shone Employment Agreement also provides that Mr. Shone is eligible to receive an annual cash bonus based on the Company achieving specific revenue targets which are determined on an annual basis for the following year by the Board. Pursuant to his employment agreement, Mr. Shone received Class B Units as described in the Class B Units section.</w:t>
      </w:r>
    </w:p>
    <w:p>
      <w:pPr>
        <w:spacing w:after="0" w:line="164" w:lineRule="exact"/>
        <w:rPr>
          <w:sz w:val="20"/>
          <w:szCs w:val="20"/>
          <w:color w:val="auto"/>
        </w:rPr>
      </w:pPr>
    </w:p>
    <w:p>
      <w:pPr>
        <w:ind w:left="460" w:right="160" w:firstLine="413"/>
        <w:spacing w:after="0" w:line="311" w:lineRule="auto"/>
        <w:rPr>
          <w:sz w:val="20"/>
          <w:szCs w:val="20"/>
          <w:color w:val="auto"/>
        </w:rPr>
      </w:pPr>
      <w:r>
        <w:rPr>
          <w:rFonts w:ascii="Arial" w:cs="Arial" w:eastAsia="Arial" w:hAnsi="Arial"/>
          <w:sz w:val="15"/>
          <w:szCs w:val="15"/>
          <w:color w:val="auto"/>
        </w:rPr>
        <w:t>In addition to the above, Mr. Shone participates in the employee benefits programs offered by us to our similarly-situated employees. The Shone Employment Agreement provides for the reimbursement of 100% of all health insurance premiums for Mr. Shone. The cost of the health insurance premiums reimbursed to Mr. Shone are set forth in the “Summary Compensation Table” above in the “All other compensation” column.</w:t>
      </w:r>
    </w:p>
    <w:p>
      <w:pPr>
        <w:spacing w:after="0" w:line="140"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Mr. Shone’s employment may be terminated at any time (i) by us with or without Cause (as defined below), (ii) by Mr. Shone for any or no reason (including Good Reason, as defined below), or (iii) by either us or Mr. Shone in the event of Mr. Shone’s Disability (as defined in the Shone Employment Agreement) or (iv) as a result of Mr. Shone’s death.</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780"/>
          </w:cols>
          <w:pgMar w:left="320" w:top="465" w:right="79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If we terminate Mr. Shone’s employment without Cause (other than as a result of death or disability), or Mr. Shone terminates his employment for Good Reason, then we must provide Mr. Shone with continuation of base salary (at the rate in effect on the date of termination) for a period of nine months from the date of termination of employment, payable in accordance with our regular payroll schedule, subject to his execution of an effective release of claims and continued compliance with restrictive covenants.</w:t>
      </w:r>
    </w:p>
    <w:p>
      <w:pPr>
        <w:spacing w:after="0" w:line="179" w:lineRule="exact"/>
        <w:rPr>
          <w:sz w:val="20"/>
          <w:szCs w:val="20"/>
          <w:color w:val="auto"/>
        </w:rPr>
      </w:pPr>
    </w:p>
    <w:p>
      <w:pPr>
        <w:ind w:left="460" w:right="740" w:firstLine="413"/>
        <w:spacing w:after="0" w:line="272" w:lineRule="auto"/>
        <w:rPr>
          <w:sz w:val="20"/>
          <w:szCs w:val="20"/>
          <w:color w:val="auto"/>
        </w:rPr>
      </w:pPr>
      <w:r>
        <w:rPr>
          <w:rFonts w:ascii="Arial" w:cs="Arial" w:eastAsia="Arial" w:hAnsi="Arial"/>
          <w:sz w:val="17"/>
          <w:szCs w:val="17"/>
          <w:color w:val="auto"/>
        </w:rPr>
        <w:t>The Shone Employment Agreement includes confidentiality provisions, as well as provisions relating to noncompetition, assignment of inventions, and non-solicitation of our employees.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“Cause” under the Shone Employment Agreement has the same meaning as under the Krantz Employment Agreement.</w:t>
      </w:r>
    </w:p>
    <w:p>
      <w:pPr>
        <w:spacing w:after="0" w:line="210"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For purposes of the Shone Employment Agreement, “Good Reason” means (i) a material diminution (of ten percent (10%) or more) of the Base Salary or target bonus (i.e., the size of the target bonus that Mr. Shone has the opportunity to earn) unless such reduction is part of, and proportionate to, an across the board reduction in the base salary of all Company executives; or (ii) any material breach by us of any written agreement between us and Mr. Shone; or (iii) a relocation of our principal office more than thirty (30) miles; or (iv) a material diminution of the duties, title, authority or responsibilities of Mr. Shone other than those duties, titles, authority or responsibilities that are by their nature or specifically identified as temporary; provided that no condition set forth in the preceding will be deemed Good Reason unless within 30 days from the initial existence of such condition, Mr. Shone notifies us, in writing, describing the conditions giving rise to the Good Reason and allowing us fifteen (15) days’ notice to remedy such condition and providing further that Mr. Shone has actually terminated his employment within sixty (60) days after the initial existence of said condition by providing us written notice of such termination.</w:t>
      </w:r>
    </w:p>
    <w:p>
      <w:pPr>
        <w:spacing w:after="0" w:line="170" w:lineRule="exact"/>
        <w:rPr>
          <w:sz w:val="20"/>
          <w:szCs w:val="20"/>
          <w:color w:val="auto"/>
        </w:rPr>
      </w:pPr>
    </w:p>
    <w:p>
      <w:pPr>
        <w:ind w:left="460" w:right="40" w:firstLine="413"/>
        <w:spacing w:after="0" w:line="289" w:lineRule="auto"/>
        <w:rPr>
          <w:sz w:val="20"/>
          <w:szCs w:val="20"/>
          <w:color w:val="auto"/>
        </w:rPr>
      </w:pPr>
      <w:r>
        <w:rPr>
          <w:rFonts w:ascii="Arial" w:cs="Arial" w:eastAsia="Arial" w:hAnsi="Arial"/>
          <w:sz w:val="15"/>
          <w:szCs w:val="15"/>
          <w:color w:val="auto"/>
        </w:rPr>
        <w:t>Mr. Shone retired from the Company on September 30, 2021. In connection with his retirement, we are providing Mr. Shone with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were modified for the change of the vesting condition after the consummation of the proposed initial public offering. A revaluation of the awards will be performed in accordance with GAAP as if granted on the date of the modification. Incremental compensation expense of approximately $1.8 million was recorded during the third quarter 2021. Upon separation, Mr. Shone forfeited 37,917 of his remaining unvested time-based Class B units and 75,833 of his remaining unvested performance-based Class B units.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Joseph Mirisola</w:t>
      </w:r>
    </w:p>
    <w:p>
      <w:pPr>
        <w:spacing w:after="0" w:line="108"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Mr. Mirisola does not have an employment agreement, but if he is terminated under qualifying conditions under our severance policy, he would be entitled to: (i) base salary continuation for 28 weeks from the date of termination, (ii) continuation of payment of the group health continuation coverage premiums for a period of up to 28 weeks, (iii) only if Mr. Mirisola is terminated in the fourth quarter, a prorated portion of the bonus that Mr. Mirisola would have earned had his employment continued through the end of the fiscal year and (iv) six months of outplacement services. Mr. Mirisola entered into an Assignment of Inventions, Non-disclosure and Non-competition Agreement with Definitive Healthcare, LLC, which includes customary confidentiality provisions, as well as provisions relating to noncompetition, assignment of inventions, and non-solicitation of our employees.</w:t>
      </w:r>
    </w:p>
    <w:p>
      <w:pPr>
        <w:spacing w:after="0" w:line="155"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We intend to enter into employment agreements with Mr. Mirisola and other senior executives that would provide them with certain severance benefits. If we terminate the executive’s employment without cause (to be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760"/>
          </w:cols>
          <w:pgMar w:left="320" w:top="465" w:right="81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84" w:lineRule="auto"/>
        <w:rPr>
          <w:sz w:val="20"/>
          <w:szCs w:val="20"/>
          <w:color w:val="auto"/>
        </w:rPr>
      </w:pPr>
      <w:r>
        <w:rPr>
          <w:rFonts w:ascii="Arial" w:cs="Arial" w:eastAsia="Arial" w:hAnsi="Arial"/>
          <w:sz w:val="15"/>
          <w:szCs w:val="15"/>
          <w:color w:val="auto"/>
        </w:rPr>
        <w:t>defined in such agreement) or the executive terminates his or her employment for good reason (to be defined in such agreement) we would provide such executive with (i) continuation of payments of their base salary at the rate in effect on the date of termination for a period of 12 months; (ii) a prorated portion of the annual bonus such executive would have earned; and (iii) if the executive is eligible, continuation of payments of the group health continuation coverage premiums for such executive and his eligible dependents for a period of up to 12 months. If such termination occurs within a 12 month period after a change of control we would provide such executive with (i) severance in the amount of the sum of such executive’s base salary and target bonus at the rate in effect on the date of termination; (ii) a prorated portion of the annual bonus such executive would have earned at target level;</w:t>
      </w:r>
    </w:p>
    <w:p>
      <w:pPr>
        <w:spacing w:after="0" w:line="3" w:lineRule="exact"/>
        <w:rPr>
          <w:sz w:val="20"/>
          <w:szCs w:val="20"/>
          <w:color w:val="auto"/>
        </w:rPr>
      </w:pPr>
    </w:p>
    <w:p>
      <w:pPr>
        <w:ind w:left="460" w:right="240" w:hanging="3"/>
        <w:spacing w:after="0" w:line="251" w:lineRule="auto"/>
        <w:tabs>
          <w:tab w:leader="none" w:pos="75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if the executive is eligible, continuation of payments of the group health continuation coverage premiums for such executive and his eligible dependents for a period of up to 12 months. In addition, we would accelerate the vesting of all of such executive’s unvested equity awards. The payments and benefits described above may be reduced if they would result in the executive receiving a lower amount on an after-tax basis due to the application of the excise tax on “golden parachutes.”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Equity Compensation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2019 Equity Incentive Plan</w:t>
      </w:r>
    </w:p>
    <w:p>
      <w:pPr>
        <w:spacing w:after="0" w:line="108" w:lineRule="exact"/>
        <w:rPr>
          <w:sz w:val="20"/>
          <w:szCs w:val="20"/>
          <w:color w:val="auto"/>
        </w:rPr>
      </w:pPr>
    </w:p>
    <w:p>
      <w:pPr>
        <w:jc w:val="both"/>
        <w:ind w:left="460" w:right="60" w:firstLine="413"/>
        <w:spacing w:after="0" w:line="284" w:lineRule="auto"/>
        <w:rPr>
          <w:sz w:val="20"/>
          <w:szCs w:val="20"/>
          <w:color w:val="auto"/>
        </w:rPr>
      </w:pPr>
      <w:r>
        <w:rPr>
          <w:rFonts w:ascii="Arial" w:cs="Arial" w:eastAsia="Arial" w:hAnsi="Arial"/>
          <w:sz w:val="16"/>
          <w:szCs w:val="16"/>
          <w:color w:val="auto"/>
        </w:rPr>
        <w:t>The 2019 Plan provides for the grant of awards of Class B Units to employees, independent directors and other service providers of the Company, our subsidiaries and AIDH Management Holdings, LLC. A total of 6,001,081 Class B Units are subject to outstanding awards under the 2019 Plan as of April 28, 2021. After completion of this offering we do not intend to grant any further awards under the 2019 Plan.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Outstanding Class B Units at Fiscal Year End</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sets forth certain information with respect to outstanding unvested Class B Units held by our NEOs as of December 31, 2020.</w:t>
      </w:r>
    </w:p>
    <w:p>
      <w:pPr>
        <w:spacing w:after="0" w:line="233"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The Class B Unit agreement provides that 25% of the time-based Class B Units vest on each of the first four anniversaries of the vesting commencement date, and that any unvested time-based Class B Units vest upon a change in control (as such term is defined in the 2019 Plan), subject to continued employment through such vesting commencement date or the change in control, as applicable.</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3"/>
              </w:rPr>
              <w:t>Class B Units</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gridSpan w:val="2"/>
          </w:tcPr>
          <w:p>
            <w:pPr>
              <w:jc w:val="center"/>
              <w:ind w:right="220"/>
              <w:spacing w:after="0" w:line="112" w:lineRule="exact"/>
              <w:rPr>
                <w:sz w:val="20"/>
                <w:szCs w:val="20"/>
                <w:color w:val="auto"/>
              </w:rPr>
            </w:pPr>
            <w:r>
              <w:rPr>
                <w:rFonts w:ascii="Arial" w:cs="Arial" w:eastAsia="Arial" w:hAnsi="Arial"/>
                <w:sz w:val="12"/>
                <w:szCs w:val="12"/>
                <w:b w:val="1"/>
                <w:bCs w:val="1"/>
                <w:color w:val="auto"/>
              </w:rPr>
              <w:t>Number of</w:t>
            </w:r>
          </w:p>
        </w:tc>
        <w:tc>
          <w:tcPr>
            <w:tcW w:w="240" w:type="dxa"/>
            <w:vAlign w:val="bottom"/>
          </w:tcPr>
          <w:p>
            <w:pPr>
              <w:spacing w:after="0"/>
              <w:rPr>
                <w:sz w:val="9"/>
                <w:szCs w:val="9"/>
                <w:color w:val="auto"/>
              </w:rPr>
            </w:pPr>
          </w:p>
        </w:tc>
        <w:tc>
          <w:tcPr>
            <w:tcW w:w="920" w:type="dxa"/>
            <w:vAlign w:val="bottom"/>
            <w:gridSpan w:val="2"/>
          </w:tcPr>
          <w:p>
            <w:pPr>
              <w:spacing w:after="0" w:line="112" w:lineRule="exact"/>
              <w:rPr>
                <w:sz w:val="20"/>
                <w:szCs w:val="20"/>
                <w:color w:val="auto"/>
              </w:rPr>
            </w:pPr>
            <w:r>
              <w:rPr>
                <w:rFonts w:ascii="Arial" w:cs="Arial" w:eastAsia="Arial" w:hAnsi="Arial"/>
                <w:sz w:val="12"/>
                <w:szCs w:val="12"/>
                <w:b w:val="1"/>
                <w:bCs w:val="1"/>
                <w:color w:val="auto"/>
              </w:rPr>
              <w:t>Market value of</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Class B Units</w:t>
            </w:r>
          </w:p>
        </w:tc>
        <w:tc>
          <w:tcPr>
            <w:tcW w:w="240" w:type="dxa"/>
            <w:vAlign w:val="bottom"/>
          </w:tcPr>
          <w:p>
            <w:pPr>
              <w:spacing w:after="0"/>
              <w:rPr>
                <w:sz w:val="12"/>
                <w:szCs w:val="12"/>
                <w:color w:val="auto"/>
              </w:rPr>
            </w:pPr>
          </w:p>
        </w:tc>
        <w:tc>
          <w:tcPr>
            <w:tcW w:w="98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0"/>
              </w:rPr>
              <w:t>Class B Units</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4"/>
              </w:rPr>
              <w:t>that have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that have</w:t>
            </w:r>
          </w:p>
        </w:tc>
        <w:tc>
          <w:tcPr>
            <w:tcW w:w="0" w:type="dxa"/>
            <w:vAlign w:val="bottom"/>
          </w:tcPr>
          <w:p>
            <w:pPr>
              <w:spacing w:after="0"/>
              <w:rPr>
                <w:sz w:val="1"/>
                <w:szCs w:val="1"/>
                <w:color w:val="auto"/>
              </w:rPr>
            </w:pPr>
          </w:p>
        </w:tc>
      </w:tr>
      <w:tr>
        <w:trPr>
          <w:trHeight w:val="139"/>
        </w:trPr>
        <w:tc>
          <w:tcPr>
            <w:tcW w:w="6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40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Grant Date</w:t>
            </w:r>
          </w:p>
        </w:tc>
        <w:tc>
          <w:tcPr>
            <w:tcW w:w="10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9"/>
              </w:rPr>
              <w:t>not vested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9"/>
              </w:rPr>
              <w:t>not vested</w:t>
            </w:r>
          </w:p>
        </w:tc>
        <w:tc>
          <w:tcPr>
            <w:tcW w:w="0" w:type="dxa"/>
            <w:vAlign w:val="bottom"/>
          </w:tcPr>
          <w:p>
            <w:pPr>
              <w:spacing w:after="0"/>
              <w:rPr>
                <w:sz w:val="1"/>
                <w:szCs w:val="1"/>
                <w:color w:val="auto"/>
              </w:rPr>
            </w:pPr>
          </w:p>
        </w:tc>
      </w:tr>
      <w:tr>
        <w:trPr>
          <w:trHeight w:val="134"/>
        </w:trPr>
        <w:tc>
          <w:tcPr>
            <w:tcW w:w="63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82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vertAlign w:val="subscript"/>
              </w:rPr>
              <w:t>(#)</w:t>
            </w:r>
            <w:r>
              <w:rPr>
                <w:rFonts w:ascii="Arial" w:cs="Arial" w:eastAsia="Arial" w:hAnsi="Arial"/>
                <w:sz w:val="7"/>
                <w:szCs w:val="7"/>
                <w:b w:val="1"/>
                <w:bCs w:val="1"/>
                <w:color w:val="auto"/>
              </w:rPr>
              <w:t>(3)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1"/>
              <w:spacing w:after="0" w:line="114"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Jason Krantz</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w w:val="72"/>
              </w:rPr>
              <w:t>9/18/2019(1)</w:t>
            </w: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3"/>
              </w:rPr>
              <w:t>505,554.75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7,659,340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460"/>
              <w:spacing w:after="0"/>
              <w:rPr>
                <w:sz w:val="20"/>
                <w:szCs w:val="20"/>
                <w:color w:val="auto"/>
              </w:rPr>
            </w:pPr>
            <w:r>
              <w:rPr>
                <w:rFonts w:ascii="Arial" w:cs="Arial" w:eastAsia="Arial" w:hAnsi="Arial"/>
                <w:sz w:val="17"/>
                <w:szCs w:val="17"/>
                <w:color w:val="auto"/>
              </w:rPr>
              <w:t>9/18/2019(2)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674,073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10,212,453</w:t>
            </w:r>
          </w:p>
        </w:tc>
        <w:tc>
          <w:tcPr>
            <w:tcW w:w="0" w:type="dxa"/>
            <w:vAlign w:val="bottom"/>
          </w:tcPr>
          <w:p>
            <w:pPr>
              <w:spacing w:after="0"/>
              <w:rPr>
                <w:sz w:val="1"/>
                <w:szCs w:val="1"/>
                <w:color w:val="auto"/>
              </w:rPr>
            </w:pPr>
          </w:p>
        </w:tc>
      </w:tr>
      <w:tr>
        <w:trPr>
          <w:trHeight w:val="190"/>
        </w:trPr>
        <w:tc>
          <w:tcPr>
            <w:tcW w:w="6300" w:type="dxa"/>
            <w:vAlign w:val="bottom"/>
            <w:gridSpan w:val="2"/>
          </w:tcPr>
          <w:p>
            <w:pPr>
              <w:spacing w:after="0" w:line="190" w:lineRule="exact"/>
              <w:rPr>
                <w:sz w:val="20"/>
                <w:szCs w:val="20"/>
                <w:color w:val="auto"/>
              </w:rPr>
            </w:pPr>
            <w:r>
              <w:rPr>
                <w:rFonts w:ascii="Arial" w:cs="Arial" w:eastAsia="Arial" w:hAnsi="Arial"/>
                <w:sz w:val="17"/>
                <w:szCs w:val="17"/>
                <w:color w:val="auto"/>
              </w:rPr>
              <w:t>Kevin Shone</w:t>
            </w:r>
          </w:p>
        </w:tc>
        <w:tc>
          <w:tcPr>
            <w:tcW w:w="1780" w:type="dxa"/>
            <w:vAlign w:val="bottom"/>
            <w:gridSpan w:val="3"/>
          </w:tcPr>
          <w:p>
            <w:pPr>
              <w:ind w:left="460"/>
              <w:spacing w:after="0" w:line="190" w:lineRule="exact"/>
              <w:rPr>
                <w:sz w:val="20"/>
                <w:szCs w:val="20"/>
                <w:color w:val="auto"/>
              </w:rPr>
            </w:pPr>
            <w:r>
              <w:rPr>
                <w:rFonts w:ascii="Arial" w:cs="Arial" w:eastAsia="Arial" w:hAnsi="Arial"/>
                <w:sz w:val="17"/>
                <w:szCs w:val="17"/>
                <w:color w:val="auto"/>
              </w:rPr>
              <w:t>9/18/2019(1)</w:t>
            </w:r>
          </w:p>
        </w:tc>
        <w:tc>
          <w:tcPr>
            <w:tcW w:w="1040" w:type="dxa"/>
            <w:vAlign w:val="bottom"/>
            <w:gridSpan w:val="2"/>
          </w:tcPr>
          <w:p>
            <w:pPr>
              <w:jc w:val="right"/>
              <w:ind w:right="220"/>
              <w:spacing w:after="0" w:line="190" w:lineRule="exact"/>
              <w:rPr>
                <w:sz w:val="20"/>
                <w:szCs w:val="20"/>
                <w:color w:val="auto"/>
              </w:rPr>
            </w:pPr>
            <w:r>
              <w:rPr>
                <w:rFonts w:ascii="Arial" w:cs="Arial" w:eastAsia="Arial" w:hAnsi="Arial"/>
                <w:sz w:val="17"/>
                <w:szCs w:val="17"/>
                <w:color w:val="auto"/>
                <w:w w:val="93"/>
              </w:rPr>
              <w:t>113,749.88</w:t>
            </w:r>
          </w:p>
        </w:tc>
        <w:tc>
          <w:tcPr>
            <w:tcW w:w="360" w:type="dxa"/>
            <w:vAlign w:val="bottom"/>
            <w:gridSpan w:val="2"/>
          </w:tcPr>
          <w:p>
            <w:pPr>
              <w:ind w:left="240"/>
              <w:spacing w:after="0" w:line="190"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60"/>
              <w:spacing w:after="0" w:line="190" w:lineRule="exact"/>
              <w:rPr>
                <w:sz w:val="20"/>
                <w:szCs w:val="20"/>
                <w:color w:val="auto"/>
              </w:rPr>
            </w:pPr>
            <w:r>
              <w:rPr>
                <w:rFonts w:ascii="Arial" w:cs="Arial" w:eastAsia="Arial" w:hAnsi="Arial"/>
                <w:sz w:val="17"/>
                <w:szCs w:val="17"/>
                <w:color w:val="auto"/>
              </w:rPr>
              <w:t>1,723,352</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780" w:type="dxa"/>
            <w:vAlign w:val="bottom"/>
            <w:gridSpan w:val="3"/>
          </w:tcPr>
          <w:p>
            <w:pPr>
              <w:ind w:left="460"/>
              <w:spacing w:after="0"/>
              <w:rPr>
                <w:sz w:val="20"/>
                <w:szCs w:val="20"/>
                <w:color w:val="auto"/>
              </w:rPr>
            </w:pPr>
            <w:r>
              <w:rPr>
                <w:rFonts w:ascii="Arial" w:cs="Arial" w:eastAsia="Arial" w:hAnsi="Arial"/>
                <w:sz w:val="17"/>
                <w:szCs w:val="17"/>
                <w:color w:val="auto"/>
              </w:rPr>
              <w:t>9/18/2019(2)</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151,666.5</w:t>
            </w: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2,297,803</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1780" w:type="dxa"/>
            <w:vAlign w:val="bottom"/>
            <w:gridSpan w:val="3"/>
            <w:shd w:val="clear" w:color="auto" w:fill="CCEEFF"/>
          </w:tcPr>
          <w:p>
            <w:pPr>
              <w:ind w:left="460"/>
              <w:spacing w:after="0"/>
              <w:rPr>
                <w:sz w:val="20"/>
                <w:szCs w:val="20"/>
                <w:color w:val="auto"/>
              </w:rPr>
            </w:pPr>
            <w:r>
              <w:rPr>
                <w:rFonts w:ascii="Arial" w:cs="Arial" w:eastAsia="Arial" w:hAnsi="Arial"/>
                <w:sz w:val="17"/>
                <w:szCs w:val="17"/>
                <w:color w:val="auto"/>
              </w:rPr>
              <w:t>9/18/2019(1)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3"/>
              </w:rPr>
              <w:t>113,749.88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1,723,352</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460"/>
              <w:spacing w:after="0"/>
              <w:rPr>
                <w:sz w:val="20"/>
                <w:szCs w:val="20"/>
                <w:color w:val="auto"/>
              </w:rPr>
            </w:pPr>
            <w:r>
              <w:rPr>
                <w:rFonts w:ascii="Arial" w:cs="Arial" w:eastAsia="Arial" w:hAnsi="Arial"/>
                <w:sz w:val="17"/>
                <w:szCs w:val="17"/>
                <w:color w:val="auto"/>
              </w:rPr>
              <w:t>9/18/2019(2)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151,666.5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2,297,803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960" w:right="120" w:hanging="503"/>
        <w:spacing w:after="0" w:line="252" w:lineRule="auto"/>
        <w:tabs>
          <w:tab w:leader="none" w:pos="9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Class B Unit agreement provides that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 w:lineRule="exact"/>
        <w:rPr>
          <w:rFonts w:ascii="Arial" w:cs="Arial" w:eastAsia="Arial" w:hAnsi="Arial"/>
          <w:sz w:val="17"/>
          <w:szCs w:val="17"/>
          <w:color w:val="auto"/>
        </w:rPr>
      </w:pPr>
    </w:p>
    <w:p>
      <w:pPr>
        <w:ind w:left="860" w:hanging="403"/>
        <w:spacing w:after="0"/>
        <w:tabs>
          <w:tab w:leader="none" w:pos="8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unvested performance-based units converted into units with time-based vesting upon the consummation of our IPO.</w:t>
      </w:r>
    </w:p>
    <w:p>
      <w:pPr>
        <w:spacing w:after="0" w:line="13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800"/>
          </w:cols>
          <w:pgMar w:left="320" w:top="466" w:right="77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right="20" w:hanging="403"/>
        <w:spacing w:after="0" w:line="272" w:lineRule="auto"/>
        <w:tabs>
          <w:tab w:leader="none" w:pos="8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market value was determined assuming an initial public offering price of $27.00 per share (the midpoint of the estimated public offering price range set forth on the cover page of this prospectus) and gives effect to the Reorganization Transactions.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 B Units</w:t>
      </w:r>
    </w:p>
    <w:p>
      <w:pPr>
        <w:spacing w:after="0" w:line="108"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Mr. Krantz has received awards in the form of Class B Units directly in AIDH TopCo, LLC. Messrs. Shone and Mirisola have received awards in the form of Class B Units in AIDH Management Holdings, LLC, which correspond to Class B Units issued by AIDH TopCo, LLC to AIDH Management Holdings, LLC. In connection with the Reorganization, the Class B Units in AIDH Management Holdings, LLC were reclassified into the Reclassified Management Holdings Class B Units with corresponding Class B Units issued by AIDH TopCo, LLC reclassified into Reclassified Class B LLC Units, which remain subject to the vesting terms described below. In connection with the reorganization, Class B common stock was issued to each holder of Reclassified Management Holdings Class B Units (or in the case of Mr. Krantz, with respect to his Class B Units in AIDH TopCo, LLC) on a one-for-one basis to such holder’s Reclassified Management Holdings Class B Units (or in the case of Mr. Krantz, on a one-for-one basis to his Reclassified Class B LLC Units), provided that such Class B common stock are not entitled to any voting rights until such time as the Reclassified Management Holdings Class B Units or Reclassified Class B LLC Units vest. Once vested, the holders of Reclassified Management Holdings Class B Units will have the right, pursuant to the terms of the amended and restated limited liability company agreement of AIDH Management Holdings, LLC, to cause AIDH TopCo to redeem or exchange their Reclassified Management Holdings Class B LLC Units for newly issued shares of Class A common stock on a one-for-one basis, pursuant to the terms of the Amended LLC Agreement.</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 B Unit Agreements with Messrs. Krantz, Shone and Mirisola</w:t>
      </w:r>
    </w:p>
    <w:p>
      <w:pPr>
        <w:spacing w:after="0" w:line="108" w:lineRule="exact"/>
        <w:rPr>
          <w:sz w:val="20"/>
          <w:szCs w:val="20"/>
          <w:color w:val="auto"/>
        </w:rPr>
      </w:pPr>
    </w:p>
    <w:p>
      <w:pPr>
        <w:ind w:left="460" w:right="20" w:firstLine="413"/>
        <w:spacing w:after="0" w:line="293" w:lineRule="auto"/>
        <w:rPr>
          <w:sz w:val="20"/>
          <w:szCs w:val="20"/>
          <w:color w:val="auto"/>
        </w:rPr>
      </w:pPr>
      <w:r>
        <w:rPr>
          <w:rFonts w:ascii="Arial" w:cs="Arial" w:eastAsia="Arial" w:hAnsi="Arial"/>
          <w:sz w:val="15"/>
          <w:szCs w:val="15"/>
          <w:color w:val="auto"/>
        </w:rPr>
        <w:t>The Class B Unit agreements that we entered into with Messrs. Krantz, Shone and Mirisola provide that 25% of the time-based Class B Units vest on each of the first four anniversaries of the vesting commencement date, and that any unvested time-based Class B Units will vest upon a change in control (as such term is defined in the 2019 Plan), subject to continued employment through such vesting commencement date or the change in control, as applicable.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55"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 Class B Unit agreements further provide that, subject to Messrs. Krantz, Mirisola and previously Mr. Shone’s continued service through consummation of the IPO, any performance-vesting Class B Units that would meet the applicable prescribed investment multiple if Advent were to sell its investment at the IPO price will be converted into an award of what would become Reclassified Management Holdings Class B Units and any performance-vesting Class B Units that would not meet the applicable prescribed investment multiple would be forfeited. In connection with the consummation of our IPO, such forfeiture condition was waived. One-third of such Reclassified Management Holdings Class B Units vest on each of the first, second and third anniversaries of the IPO, subject to the service provider’s continued service through the applicable vesting date. Any unvested time-vesting units will continue to vest, subject to the service provider’s continued service, according to the normal vesting schedule (25% of the time-vesting Class B Units vest on each of the first four anniversaries of July 16, 2019) following the IPO.</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Potential Payments Upon Termination or Change-In-Control</w:t>
      </w:r>
    </w:p>
    <w:p>
      <w:pPr>
        <w:spacing w:after="0" w:line="112" w:lineRule="exact"/>
        <w:rPr>
          <w:sz w:val="20"/>
          <w:szCs w:val="20"/>
          <w:color w:val="auto"/>
        </w:rPr>
      </w:pPr>
    </w:p>
    <w:p>
      <w:pPr>
        <w:jc w:val="both"/>
        <w:ind w:left="460" w:right="480" w:firstLine="413"/>
        <w:spacing w:after="0" w:line="284" w:lineRule="auto"/>
        <w:rPr>
          <w:sz w:val="20"/>
          <w:szCs w:val="20"/>
          <w:color w:val="auto"/>
        </w:rPr>
      </w:pPr>
      <w:r>
        <w:rPr>
          <w:rFonts w:ascii="Arial" w:cs="Arial" w:eastAsia="Arial" w:hAnsi="Arial"/>
          <w:sz w:val="16"/>
          <w:szCs w:val="16"/>
          <w:color w:val="auto"/>
        </w:rPr>
        <w:t>The employment agreements with Messrs. Krantz and Shone and our severance policy that is applicable to Mr. Mirisola provide for certain potential payments upon termination or a change-in-control. A description of these potential payments is included in the summaries of the Krantz Employment Agreement and the Shone Employment Agreement in the Employments Arrangements section above.</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760"/>
          </w:cols>
          <w:pgMar w:left="320" w:top="465" w:right="81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Treatment of Class B Units</w:t>
      </w:r>
    </w:p>
    <w:p>
      <w:pPr>
        <w:spacing w:after="0" w:line="108" w:lineRule="exact"/>
        <w:rPr>
          <w:sz w:val="20"/>
          <w:szCs w:val="20"/>
          <w:color w:val="auto"/>
        </w:rPr>
      </w:pPr>
    </w:p>
    <w:p>
      <w:pPr>
        <w:ind w:left="460" w:right="440" w:firstLine="413"/>
        <w:spacing w:after="0" w:line="272" w:lineRule="auto"/>
        <w:rPr>
          <w:sz w:val="20"/>
          <w:szCs w:val="20"/>
          <w:color w:val="auto"/>
        </w:rPr>
      </w:pPr>
      <w:r>
        <w:rPr>
          <w:rFonts w:ascii="Arial" w:cs="Arial" w:eastAsia="Arial" w:hAnsi="Arial"/>
          <w:sz w:val="17"/>
          <w:szCs w:val="17"/>
          <w:color w:val="auto"/>
        </w:rPr>
        <w:t>If there is a change in control, all unvested reclassified units will vest as described in the Class B Units section. All references to “change in control” in this section refer to such term as it is defined in the 2019 Plan.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Executive Severance</w:t>
      </w:r>
    </w:p>
    <w:p>
      <w:pPr>
        <w:spacing w:after="0" w:line="112" w:lineRule="exact"/>
        <w:rPr>
          <w:sz w:val="20"/>
          <w:szCs w:val="20"/>
          <w:color w:val="auto"/>
        </w:rPr>
      </w:pPr>
    </w:p>
    <w:p>
      <w:pPr>
        <w:ind w:left="460" w:firstLine="413"/>
        <w:spacing w:after="0" w:line="289" w:lineRule="auto"/>
        <w:rPr>
          <w:sz w:val="20"/>
          <w:szCs w:val="20"/>
          <w:color w:val="auto"/>
        </w:rPr>
      </w:pPr>
      <w:r>
        <w:rPr>
          <w:rFonts w:ascii="Arial" w:cs="Arial" w:eastAsia="Arial" w:hAnsi="Arial"/>
          <w:sz w:val="15"/>
          <w:szCs w:val="15"/>
          <w:color w:val="auto"/>
        </w:rPr>
        <w:t>Mr. Shone retired from the Company on September 30, 2021. In connection with his retirement, we entered into a Separation Agreement with Mr. Shone, providing for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were modified for the change of the vesting condition after the consummation of the proposed IPO. A revaluation of the awards was performed in accordance with GAAP as if granted on the date of the modification. Incremental compensation expense of $1.8 million was recorded during the third quarter 2021. Upon separation, Mr. Shone forfeited 37,917 of his remaining unvested time-based Class B units and 75,833 of his remaining unvested performance-based Class B units.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Retirement Benefits</w:t>
      </w:r>
    </w:p>
    <w:p>
      <w:pPr>
        <w:spacing w:after="0" w:line="112" w:lineRule="exact"/>
        <w:rPr>
          <w:sz w:val="20"/>
          <w:szCs w:val="20"/>
          <w:color w:val="auto"/>
        </w:rPr>
      </w:pPr>
    </w:p>
    <w:p>
      <w:pPr>
        <w:jc w:val="both"/>
        <w:ind w:left="460" w:right="20" w:firstLine="413"/>
        <w:spacing w:after="0" w:line="311" w:lineRule="auto"/>
        <w:rPr>
          <w:sz w:val="20"/>
          <w:szCs w:val="20"/>
          <w:color w:val="auto"/>
        </w:rPr>
      </w:pPr>
      <w:r>
        <w:rPr>
          <w:rFonts w:ascii="Arial" w:cs="Arial" w:eastAsia="Arial" w:hAnsi="Arial"/>
          <w:sz w:val="15"/>
          <w:szCs w:val="15"/>
          <w:color w:val="auto"/>
        </w:rPr>
        <w:t>Messrs. Krantz, Shone and Mirisola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Definitive Healthcare Corp. 2021 Equity Incentive Plan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Summary</w:t>
      </w:r>
    </w:p>
    <w:p>
      <w:pPr>
        <w:spacing w:after="0" w:line="108"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In connection with our IPO, we adopted the 2021 Plan, effective as of September 14, 2021. The principal features of the 2021 Plan are summarized below. This summary does not purport to be a complete statement of the terms of the 2021 Plan and is qualified in its entirety by reference to the full text of the 2021 Plan, a copy of which is attached as Exhibit 10.2 to our Registration Statement on Form S-1 filed on August 20, 2021, as amended and supplemented and incorporated by reference herein.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Purpose</w:t>
      </w:r>
    </w:p>
    <w:p>
      <w:pPr>
        <w:spacing w:after="0" w:line="108" w:lineRule="exact"/>
        <w:rPr>
          <w:sz w:val="20"/>
          <w:szCs w:val="20"/>
          <w:color w:val="auto"/>
        </w:rPr>
      </w:pPr>
    </w:p>
    <w:p>
      <w:pPr>
        <w:jc w:val="both"/>
        <w:ind w:left="460" w:right="120" w:firstLine="413"/>
        <w:spacing w:after="0" w:line="260" w:lineRule="auto"/>
        <w:rPr>
          <w:sz w:val="20"/>
          <w:szCs w:val="20"/>
          <w:color w:val="auto"/>
        </w:rPr>
      </w:pPr>
      <w:r>
        <w:rPr>
          <w:rFonts w:ascii="Arial" w:cs="Arial" w:eastAsia="Arial" w:hAnsi="Arial"/>
          <w:sz w:val="17"/>
          <w:szCs w:val="17"/>
          <w:color w:val="auto"/>
        </w:rPr>
        <w:t>The purpose of the Incentive Plan is to align the interests of eligible participants with our stockholders by providing incentive compensation tied to Definitive’s performance. The intent of the Incentive Plan is to advance Definitive’s interests and increase stockholder value by attracting, retaining and motivating key personnel.</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Awards</w:t>
      </w:r>
    </w:p>
    <w:p>
      <w:pPr>
        <w:spacing w:after="0" w:line="108" w:lineRule="exact"/>
        <w:rPr>
          <w:sz w:val="20"/>
          <w:szCs w:val="20"/>
          <w:color w:val="auto"/>
        </w:rPr>
      </w:pPr>
    </w:p>
    <w:p>
      <w:pPr>
        <w:ind w:left="460" w:right="40" w:firstLine="413"/>
        <w:spacing w:after="0" w:line="303" w:lineRule="auto"/>
        <w:rPr>
          <w:sz w:val="20"/>
          <w:szCs w:val="20"/>
          <w:color w:val="auto"/>
        </w:rPr>
      </w:pPr>
      <w:r>
        <w:rPr>
          <w:rFonts w:ascii="Arial" w:cs="Arial" w:eastAsia="Arial" w:hAnsi="Arial"/>
          <w:sz w:val="16"/>
          <w:szCs w:val="16"/>
          <w:color w:val="auto"/>
        </w:rPr>
        <w:t>The types of awards available under the 2021 Plan include stock options (both incentive and non-qualified), SARs, restricted stock awards, RSUs and stock-based awards. All awards granted to participants under the 2021 Plan are represented by an award agreement.</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Shares Available</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Approximately 8,989,039 shares of Class A common stock as of the consummation of the IPO were available for awards under the 2021 Plan.</w:t>
      </w:r>
    </w:p>
    <w:p>
      <w:pPr>
        <w:spacing w:after="0" w:line="16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740"/>
          </w:cols>
          <w:pgMar w:left="320" w:top="465" w:right="8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6"/>
          <w:szCs w:val="16"/>
          <w:color w:val="auto"/>
        </w:rPr>
        <w:t>We refer to the aggregate number of shares available for awards under the 2021 Plan as the “share reserve.” On the first day of each fiscal year, commencing on January 1, 2023 and ending on (and including) January 1, 2032, the share reserve will automatically increase by a number equal to the least of (i) 5% of the total number of shares of Class A common stock actually issued and outstanding on the last day of the preceding fiscal year, (ii) a number of shares of Class A common stock determined by the Board; and (iii) 8,989,039 shares of Class A common stock. Within the share reserve, a total of 8,989,039 shares, which is subject to increase in future years by the evergreen provision, of Class A common stock as of the consummation of the IPO are available for awards of incentive stock options.</w:t>
      </w:r>
    </w:p>
    <w:p>
      <w:pPr>
        <w:spacing w:after="0" w:line="167"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If any award granted under the 2021 Plan is cancelled, expired, repurchased, forfeited, surrendered, exchanged for cash, settled in cash or by delivery of fewer shares of Class A common stock than the number underlying the award, or otherwise terminated without consideration or delivery of the shares to the participant, then such unissued shares will be returned to the 2021 Plan and be available for future awards under the 2021 Plan. Shares that are withheld from any award in payment of the exercise, base or purchase price or taxes related to such an award will be available for future awards under the 2021 Plan and will increase the share reserve by one share for each share that is retained or returned to Definitive. Shares of common stock repurchased by Definitive on the open market with the proceeds of a stock option, will not be returned to the 2021 Plan nor be available for future awards under the 2021 Plan. The payment of dividend equivalents in cash in conjunction with any outstanding award shall not count against the share reserve.</w:t>
      </w:r>
    </w:p>
    <w:p>
      <w:pPr>
        <w:spacing w:after="0" w:line="182"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The share reserve will be reduced by one share for each share subject to an award. If a share that was subject to an award is returned to the share reserve, the share reserve will be credited with one share.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Eligibility</w:t>
      </w:r>
    </w:p>
    <w:p>
      <w:pPr>
        <w:spacing w:after="0" w:line="108"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Any employee, officer, non-employee director or any natural person who is a consultant or other personal service provider to Definitive or any of its subsidiaries or affiliates can participate in the 2021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Administration</w:t>
      </w:r>
    </w:p>
    <w:p>
      <w:pPr>
        <w:spacing w:after="0" w:line="108" w:lineRule="exact"/>
        <w:rPr>
          <w:sz w:val="20"/>
          <w:szCs w:val="20"/>
          <w:color w:val="auto"/>
        </w:rPr>
      </w:pPr>
    </w:p>
    <w:p>
      <w:pPr>
        <w:ind w:left="460" w:right="140" w:firstLine="413"/>
        <w:spacing w:after="0" w:line="288" w:lineRule="auto"/>
        <w:rPr>
          <w:sz w:val="20"/>
          <w:szCs w:val="20"/>
          <w:color w:val="auto"/>
        </w:rPr>
      </w:pPr>
      <w:r>
        <w:rPr>
          <w:rFonts w:ascii="Arial" w:cs="Arial" w:eastAsia="Arial" w:hAnsi="Arial"/>
          <w:sz w:val="15"/>
          <w:szCs w:val="15"/>
          <w:color w:val="auto"/>
        </w:rPr>
        <w:t>Pursuant to its terms, the 2021 Plan may be administered by the Compensation Committee of the Board, such other committee of the Board appointed by the Board to administer the 2021 Plan or the Board, as determined by the Board (such administrator of the 2021 Plan, the “Committee”). The Committee has the power and discretion necessary to administer the 2021 Plan, with such powers including, but not limited to, the authority to select persons to participate in the 2021 Plan, determine the form and substance of awards under the 2021 Plan, determine the conditions and restrictions, if any, subject to which such awards will be made, modify the terms of awards, accelerate the vesting of awards, and make determinations regarding a participant’s termination of employment or service for purposes of an award. The Committee’s determinations, interpretations and actions under the 2021 Plan are binding on Definitive, the participants in the 2021 Plan and all other parties. It is anticipated that the 2021 Plan will be administered by our Compensation Committee, which solely consists of independent directors, as appointed by the Board from time to time. The Compensation Committee may delegate authority to one or more officers of Definitive to grant awards to eligible persons other than members of the Definitive Board or who are subject to Rule 16b-3 of the Exchange Act, as permitted under the 2021 Plan and under applicable law.</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Options</w:t>
      </w:r>
    </w:p>
    <w:p>
      <w:pPr>
        <w:spacing w:after="0" w:line="108" w:lineRule="exact"/>
        <w:rPr>
          <w:sz w:val="20"/>
          <w:szCs w:val="20"/>
          <w:color w:val="auto"/>
        </w:rPr>
      </w:pPr>
    </w:p>
    <w:p>
      <w:pPr>
        <w:jc w:val="both"/>
        <w:ind w:left="460" w:right="400" w:firstLine="413"/>
        <w:spacing w:after="0" w:line="260" w:lineRule="auto"/>
        <w:rPr>
          <w:sz w:val="20"/>
          <w:szCs w:val="20"/>
          <w:color w:val="auto"/>
        </w:rPr>
      </w:pPr>
      <w:r>
        <w:rPr>
          <w:rFonts w:ascii="Arial" w:cs="Arial" w:eastAsia="Arial" w:hAnsi="Arial"/>
          <w:sz w:val="17"/>
          <w:szCs w:val="17"/>
          <w:color w:val="auto"/>
        </w:rPr>
        <w:t>A stock option grant entitles a participant to purchase a specified number of shares of Class A common stock during a specified term (with a maximum term of ten years) at an exercise price that will not be less than the fair market value of a share as of the date of grant (unless otherwise determined by the Committee).</w:t>
      </w:r>
    </w:p>
    <w:p>
      <w:pPr>
        <w:spacing w:after="0" w:line="11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740"/>
          </w:cols>
          <w:pgMar w:left="320" w:top="465" w:right="83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The Committee will determine the requirements for vesting and exercisability of the stock options, which may be based on the continued employment or service of the participant with Definitive for a specified time period, upon the attainment of performance goals or both. The stock options may terminate prior to the end of the term or vesting date upon termination of employment or service (or for any other reason), as determined by the Committee. If the fair market value of a share of Class A common stock exceeds the exercise price on the last day the stock option may be exercised under an award agreement, the participant shall be deemed to have exercised the vested portion of such option in a net exercise and net share withholding for taxes, without taking further action. Unless approved by the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w:t>
      </w:r>
    </w:p>
    <w:p>
      <w:pPr>
        <w:spacing w:after="0" w:line="170" w:lineRule="exact"/>
        <w:rPr>
          <w:sz w:val="20"/>
          <w:szCs w:val="20"/>
          <w:color w:val="auto"/>
        </w:rPr>
      </w:pPr>
    </w:p>
    <w:p>
      <w:pPr>
        <w:ind w:left="460" w:right="260" w:firstLine="413"/>
        <w:spacing w:after="0" w:line="260" w:lineRule="auto"/>
        <w:rPr>
          <w:sz w:val="20"/>
          <w:szCs w:val="20"/>
          <w:color w:val="auto"/>
        </w:rPr>
      </w:pPr>
      <w:r>
        <w:rPr>
          <w:rFonts w:ascii="Arial" w:cs="Arial" w:eastAsia="Arial" w:hAnsi="Arial"/>
          <w:sz w:val="17"/>
          <w:szCs w:val="17"/>
          <w:color w:val="auto"/>
        </w:rPr>
        <w:t>Stock options granted under the 2021 Plan will be either non-qualified stock options or incentive stock options (with incentive stock options intended to meet the applicable requirements under the Internal Revenue Code of 1986, as amended (the “Code”)). Stock options are nontransferable except in limited circumstances.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08" w:lineRule="exact"/>
        <w:rPr>
          <w:sz w:val="20"/>
          <w:szCs w:val="20"/>
          <w:color w:val="auto"/>
        </w:rPr>
      </w:pPr>
    </w:p>
    <w:p>
      <w:pPr>
        <w:ind w:left="460" w:right="20" w:firstLine="413"/>
        <w:spacing w:after="0" w:line="291" w:lineRule="auto"/>
        <w:rPr>
          <w:sz w:val="20"/>
          <w:szCs w:val="20"/>
          <w:color w:val="auto"/>
        </w:rPr>
      </w:pPr>
      <w:r>
        <w:rPr>
          <w:rFonts w:ascii="Arial" w:cs="Arial" w:eastAsia="Arial" w:hAnsi="Arial"/>
          <w:sz w:val="15"/>
          <w:szCs w:val="15"/>
          <w:color w:val="auto"/>
        </w:rPr>
        <w:t>A SAR granted under the 2021 Plan gives the participant a right to receive, upon exercise or other payment of the SAR, an amount in cash, shares of Class A common stock or a combination of both equal to (i) the excess of (a) the fair market value of a share on the date of exercise less (b) the base price of the SAR that the Committee specified on the date of the grant multiplied by (ii) the number of shares as to which such SAR is exercised or paid. The base price of a SAR will not be less than the fair market value of a share as of the date of grant. The right of exercise in connection with a SAR may be made by the participant or automatically upon a specified date or event. If the fair market value of a share of Class A common stock exceeds the base price on the last day the SAR may be exercised under an award agreement, the participant shall be deemed to have exercised the vested portion of such SAR in a net exercise and net share withholding for taxes, without taking further action. SARs are nontransferable, except in limited circumstances.</w:t>
      </w:r>
    </w:p>
    <w:p>
      <w:pPr>
        <w:spacing w:after="0" w:line="157" w:lineRule="exact"/>
        <w:rPr>
          <w:sz w:val="20"/>
          <w:szCs w:val="20"/>
          <w:color w:val="auto"/>
        </w:rPr>
      </w:pPr>
    </w:p>
    <w:p>
      <w:pPr>
        <w:ind w:left="460" w:right="40" w:firstLine="413"/>
        <w:spacing w:after="0" w:line="293" w:lineRule="auto"/>
        <w:rPr>
          <w:sz w:val="20"/>
          <w:szCs w:val="20"/>
          <w:color w:val="auto"/>
        </w:rPr>
      </w:pPr>
      <w:r>
        <w:rPr>
          <w:rFonts w:ascii="Arial" w:cs="Arial" w:eastAsia="Arial" w:hAnsi="Arial"/>
          <w:sz w:val="15"/>
          <w:szCs w:val="15"/>
          <w:color w:val="auto"/>
        </w:rPr>
        <w:t>The Committees determine the requirements for vesting and exercisability of the SARs, which may be based on the continued employment or service of the participant with Definitive for a specified time period or upon the attainment of specific performance goals. The SARs may be terminated prior to the end of the term (with a maximum term of ten years) upon termination of employment or service, as determined by the Committee. Unless approved by Definitive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A restricted stock award is a grant of a specified number of shares of Class A common stock to a participant, which restrictions will lapse upon the terms that the Committee determines at the time of grant. The Committee will determine the requirements for the lapse of the restrictions for the restricted stock awards, which may be based on the continued employment or service of the participant with Definitive over a specified time period, upon the attainment of performance goals, or both.</w:t>
      </w:r>
    </w:p>
    <w:p>
      <w:pPr>
        <w:spacing w:after="0" w:line="179" w:lineRule="exact"/>
        <w:rPr>
          <w:sz w:val="20"/>
          <w:szCs w:val="20"/>
          <w:color w:val="auto"/>
        </w:rPr>
      </w:pPr>
    </w:p>
    <w:p>
      <w:pPr>
        <w:ind w:left="460" w:right="100" w:firstLine="413"/>
        <w:spacing w:after="0" w:line="301" w:lineRule="auto"/>
        <w:rPr>
          <w:sz w:val="20"/>
          <w:szCs w:val="20"/>
          <w:color w:val="auto"/>
        </w:rPr>
      </w:pPr>
      <w:r>
        <w:rPr>
          <w:rFonts w:ascii="Arial" w:cs="Arial" w:eastAsia="Arial" w:hAnsi="Arial"/>
          <w:sz w:val="15"/>
          <w:szCs w:val="15"/>
          <w:color w:val="auto"/>
        </w:rPr>
        <w:t>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w:t>
      </w:r>
    </w:p>
    <w:p>
      <w:pPr>
        <w:spacing w:after="0" w:line="8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780"/>
          </w:cols>
          <w:pgMar w:left="320" w:top="466" w:right="79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A restricted stock unit (“RSU”) granted under the 2021 Plan gives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w:t>
      </w:r>
    </w:p>
    <w:p>
      <w:pPr>
        <w:spacing w:after="0" w:line="181"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Committee determines the requirements for vesting and payment of the RSUs, which may be based on the continued employment or service of the participant with Definitive for a specified time period and also upon the attainment of specific performance goals. RSUs will be forfeited if the vesting requirements are not satisfied. RSUs are nontransferable, except in limited circumstances.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08" w:lineRule="exact"/>
        <w:rPr>
          <w:sz w:val="20"/>
          <w:szCs w:val="20"/>
          <w:color w:val="auto"/>
        </w:rPr>
      </w:pPr>
    </w:p>
    <w:p>
      <w:pPr>
        <w:ind w:left="460" w:right="20" w:firstLine="413"/>
        <w:spacing w:after="0" w:line="270" w:lineRule="auto"/>
        <w:rPr>
          <w:sz w:val="20"/>
          <w:szCs w:val="20"/>
          <w:color w:val="auto"/>
        </w:rPr>
      </w:pPr>
      <w:r>
        <w:rPr>
          <w:rFonts w:ascii="Arial" w:cs="Arial" w:eastAsia="Arial" w:hAnsi="Arial"/>
          <w:sz w:val="16"/>
          <w:szCs w:val="16"/>
          <w:color w:val="auto"/>
        </w:rPr>
        <w:t>Stock-based awards may be granted to eligible participants under the 2021 Plan and consist of an award of, or an award that is valued by reference to, shares of Class A common stock. A stock-based award may be granted for past employment or service, in lieu of bonus or other cash compensation, as director’s compensation or any other purpose as determined by the Committee, and shall be based upon or calculated by reference to the common stock. The Committee determines the requirements for the vesting and payment of the stock-based award, with the possibility that awards may be made with no vesting requirements. Upon receipt of the stock-based award that consists of shares of Class A common stock, the participant will not have any rights of a stockholder with respect to the shares of Class A common stock, including the right to vote and receive dividends, until such time as shares of Class A common stock (if any) are issued to the participant.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Plan Amendments or Termination; Term</w:t>
      </w:r>
    </w:p>
    <w:p>
      <w:pPr>
        <w:spacing w:after="0" w:line="108"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The Board may amend, modify, suspend or terminate the 2021 Plan; provided that if such amendment, modification, suspension or termination materially and adversely affects any award, Definitive must obtain the affected participant’s consent, subject to changes that are necessary to comply with applicable laws. Certain amendments or modifications of the 2021 Plan may also be subject to the approval of our stockholders as required by SEC and Nasdaq rules or applicable law.</w:t>
      </w:r>
    </w:p>
    <w:p>
      <w:pPr>
        <w:spacing w:after="0" w:line="179" w:lineRule="exact"/>
        <w:rPr>
          <w:sz w:val="20"/>
          <w:szCs w:val="20"/>
          <w:color w:val="auto"/>
        </w:rPr>
      </w:pPr>
    </w:p>
    <w:p>
      <w:pPr>
        <w:ind w:left="460" w:right="720" w:firstLine="413"/>
        <w:spacing w:after="0" w:line="340" w:lineRule="auto"/>
        <w:rPr>
          <w:sz w:val="20"/>
          <w:szCs w:val="20"/>
          <w:color w:val="auto"/>
        </w:rPr>
      </w:pPr>
      <w:r>
        <w:rPr>
          <w:rFonts w:ascii="Arial" w:cs="Arial" w:eastAsia="Arial" w:hAnsi="Arial"/>
          <w:sz w:val="15"/>
          <w:szCs w:val="15"/>
          <w:color w:val="auto"/>
        </w:rPr>
        <w:t>The 2021 Plan went into effect upon the effectiveness of our registration statement on Form S-1, filed August 20, 2021, as amended and supplemented, on September 14, 2021, and will expire on the tenth anniversary of the date the 2021 Plan became effective.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Termination of Service</w:t>
      </w:r>
    </w:p>
    <w:p>
      <w:pPr>
        <w:spacing w:after="0" w:line="108" w:lineRule="exact"/>
        <w:rPr>
          <w:sz w:val="20"/>
          <w:szCs w:val="20"/>
          <w:color w:val="auto"/>
        </w:rPr>
      </w:pPr>
    </w:p>
    <w:p>
      <w:pPr>
        <w:ind w:left="460" w:right="480" w:firstLine="413"/>
        <w:spacing w:after="0" w:line="272" w:lineRule="auto"/>
        <w:rPr>
          <w:sz w:val="20"/>
          <w:szCs w:val="20"/>
          <w:color w:val="auto"/>
        </w:rPr>
      </w:pPr>
      <w:r>
        <w:rPr>
          <w:rFonts w:ascii="Arial" w:cs="Arial" w:eastAsia="Arial" w:hAnsi="Arial"/>
          <w:sz w:val="17"/>
          <w:szCs w:val="17"/>
          <w:color w:val="auto"/>
        </w:rPr>
        <w:t>Awards under the 2021 Plan may be subject to reduction, cancellation or forfeiture upon termination of service or failure to meet applicable performance conditions or other vesting terms.</w:t>
      </w:r>
    </w:p>
    <w:p>
      <w:pPr>
        <w:spacing w:after="0" w:line="165"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Under the 2021 Plan, unless an award agreement provides otherwise, if a participant’s employment or service is terminated for cause, or if after termination the Committee determines that the participant engaged in an act that falls within the definition of cause, or if after termination the participant engages in conduct that violates any continuing obligation of the participant with respect to Definitive, Definitive may cancel, forfeit and/ or recoup any or all of that participant’s outstanding awards. In addition, if the Committee makes the determination above, Definitive may suspend the participant’s right to exercise any stock option or SAR, receive any payment or vest in any award pending a determination of whether the act falls within the definition of cause (as defined in the 2021 Plan). If a participant voluntarily terminates employment or service in anticipation of an involuntary termination for cause, that shall be deemed a termination for cause.</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780"/>
          </w:cols>
          <w:pgMar w:left="320" w:top="466" w:right="79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Right of Recapture</w:t>
      </w:r>
    </w:p>
    <w:p>
      <w:pPr>
        <w:spacing w:after="0" w:line="108"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6"/>
          <w:szCs w:val="16"/>
          <w:color w:val="auto"/>
        </w:rPr>
        <w:t>Awards granted under the 2021 Plan may be subject to recoupment in accordance with Section 954 of the Dodd-Frank Wall Street Reform and Consumer Protection Act (regarding recoupment of erroneously awarded compensation). Definitive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materially violated any continuing obligation of the participant with respect to Definitive or (c) the Committee determines the participant is subject to recoupment due to a clawback policy.</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Change in Control</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Under the 2021 Plan, in the event of a change in control of Definitive, as defined in the 2021 Plan, all outstanding awards shall either be</w:t>
      </w:r>
    </w:p>
    <w:p>
      <w:pPr>
        <w:spacing w:after="0" w:line="30" w:lineRule="exact"/>
        <w:rPr>
          <w:sz w:val="20"/>
          <w:szCs w:val="20"/>
          <w:color w:val="auto"/>
        </w:rPr>
      </w:pPr>
    </w:p>
    <w:p>
      <w:pPr>
        <w:ind w:left="460" w:right="20" w:hanging="3"/>
        <w:spacing w:after="0" w:line="250" w:lineRule="auto"/>
        <w:tabs>
          <w:tab w:leader="none" w:pos="69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186" w:lineRule="exact"/>
        <w:rPr>
          <w:sz w:val="20"/>
          <w:szCs w:val="20"/>
          <w:color w:val="auto"/>
        </w:rPr>
      </w:pPr>
    </w:p>
    <w:p>
      <w:pPr>
        <w:ind w:left="460" w:right="80" w:firstLine="413"/>
        <w:spacing w:after="0" w:line="252" w:lineRule="auto"/>
        <w:rPr>
          <w:sz w:val="20"/>
          <w:szCs w:val="20"/>
          <w:color w:val="auto"/>
        </w:rPr>
      </w:pPr>
      <w:r>
        <w:rPr>
          <w:rFonts w:ascii="Arial" w:cs="Arial" w:eastAsia="Arial" w:hAnsi="Arial"/>
          <w:sz w:val="17"/>
          <w:szCs w:val="17"/>
          <w:color w:val="auto"/>
        </w:rPr>
        <w:t>Only to the extent that outstanding awards are not continued, assumed or substituted upon or following a change in control, the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other property or any combination of such consideration), less any applicable exercise or base price.</w:t>
      </w:r>
    </w:p>
    <w:p>
      <w:pPr>
        <w:spacing w:after="0" w:line="184"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Notwithstanding the foregoing, if a participant’s employment or service is terminated upon or within 24 months following a change in control by Definitive without cause or upon such other circumstances as determined by the Committee, the unvested portion (if any) of all outstanding awards held by the participant will immediately vest (and, to the extent applicable, become exercisable) and be paid in full upon such termination, with any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Assumption of Awards in Connection with an Acquisition</w:t>
      </w:r>
    </w:p>
    <w:p>
      <w:pPr>
        <w:spacing w:after="0" w:line="108"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2021 Plan if the Committee deems it necessary. The assumed awards will not reduce the total number of shares available for awards under the 2021 Plan.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Adjustments</w:t>
      </w:r>
    </w:p>
    <w:p>
      <w:pPr>
        <w:spacing w:after="0" w:line="108"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w:t>
      </w:r>
    </w:p>
    <w:p>
      <w:pPr>
        <w:spacing w:after="0" w:line="11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740"/>
          </w:cols>
          <w:pgMar w:left="320" w:top="465" w:right="8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hanging="3"/>
        <w:spacing w:after="0" w:line="303" w:lineRule="auto"/>
        <w:tabs>
          <w:tab w:leader="none" w:pos="6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number and kind of shares or other securities available for awards and covered by outstanding awards, (ii) the exercise, base or purchase price or other value determinations of outstanding awards, and/or (iii) any other terms of an award affected by the corporate event.</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Award Limits</w:t>
      </w:r>
    </w:p>
    <w:p>
      <w:pPr>
        <w:spacing w:after="0" w:line="108"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A non-employee director may not be granted during a calendar year awards that have a fair value that, when added to all other cash compensation received in respect of service as a member of the Board that year, exceeds (i) $1,000,000 in the year that the director is first elected to serve as a director on the Board; and (ii) $500,000 in each subsequent year.</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U.S. Federal Tax Consequences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Incentive Stock Options</w:t>
      </w:r>
    </w:p>
    <w:p>
      <w:pPr>
        <w:spacing w:after="0" w:line="108" w:lineRule="exact"/>
        <w:rPr>
          <w:sz w:val="20"/>
          <w:szCs w:val="20"/>
          <w:color w:val="auto"/>
        </w:rPr>
      </w:pPr>
    </w:p>
    <w:p>
      <w:pPr>
        <w:ind w:left="460" w:firstLine="413"/>
        <w:spacing w:after="0" w:line="288" w:lineRule="auto"/>
        <w:rPr>
          <w:sz w:val="20"/>
          <w:szCs w:val="20"/>
          <w:color w:val="auto"/>
        </w:rPr>
      </w:pPr>
      <w:r>
        <w:rPr>
          <w:rFonts w:ascii="Arial" w:cs="Arial" w:eastAsia="Arial" w:hAnsi="Arial"/>
          <w:sz w:val="15"/>
          <w:szCs w:val="15"/>
          <w:color w:val="auto"/>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Definitive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Definitive for federal income tax purposes, except to the extent such deduction is limited by applicable provisions of the Code.</w:t>
      </w:r>
    </w:p>
    <w:p>
      <w:pPr>
        <w:spacing w:after="0" w:line="159" w:lineRule="exact"/>
        <w:rPr>
          <w:sz w:val="20"/>
          <w:szCs w:val="20"/>
          <w:color w:val="auto"/>
        </w:rPr>
      </w:pPr>
    </w:p>
    <w:p>
      <w:pPr>
        <w:ind w:left="460" w:right="120" w:firstLine="413"/>
        <w:spacing w:after="0" w:line="254" w:lineRule="auto"/>
        <w:rPr>
          <w:sz w:val="20"/>
          <w:szCs w:val="20"/>
          <w:color w:val="auto"/>
        </w:rPr>
      </w:pPr>
      <w:r>
        <w:rPr>
          <w:rFonts w:ascii="Arial" w:cs="Arial" w:eastAsia="Arial" w:hAnsi="Arial"/>
          <w:sz w:val="17"/>
          <w:szCs w:val="17"/>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Nonqualified Stock Options</w:t>
      </w:r>
    </w:p>
    <w:p>
      <w:pPr>
        <w:spacing w:after="0" w:line="108"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Options not designated or qualifying as incentive stock options will be nonqualified stock options having no special tax status. An optionee generally recognizes no taxable income as the result of the grant of such an option. Upon exercise of a nonqualified stock option, the optionee normally recognizes ordinary income equal to the amount by which the fair market value of the shares on such date exceeds the exercise price. If the optionee is an employee, such ordinary income generally is subject to withholding of income and employment taxes. Upon the sale of shares acquired by the exercise of a nonqualified stock option, any gain or loss, based on the difference between the sale price and the fair market value on the exercise date, will be taxed as capital gain or loss.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08"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In general, no taxable income is reportable when SARs are granted to a participant. Upon exercise, the participant will recognize ordinary income in an amount equal to the fair market value of any cash or shares</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740"/>
          </w:cols>
          <w:pgMar w:left="320" w:top="465" w:right="8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272" w:lineRule="auto"/>
        <w:rPr>
          <w:sz w:val="20"/>
          <w:szCs w:val="20"/>
          <w:color w:val="auto"/>
        </w:rPr>
      </w:pPr>
      <w:r>
        <w:rPr>
          <w:rFonts w:ascii="Arial" w:cs="Arial" w:eastAsia="Arial" w:hAnsi="Arial"/>
          <w:sz w:val="17"/>
          <w:szCs w:val="17"/>
          <w:color w:val="auto"/>
        </w:rPr>
        <w:t>received. If the participant is an employee, such ordinary income generally is subject to withholding of income and employment taxes. Any additional gain or loss recognized upon any later disposition of the shares would be capital gain or loss.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08"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30 days after the date the shares are acquired.</w:t>
      </w:r>
    </w:p>
    <w:p>
      <w:pPr>
        <w:spacing w:after="0" w:line="179"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7"/>
          <w:szCs w:val="17"/>
          <w:color w:val="auto"/>
        </w:rPr>
        <w:t>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08"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There are no immediate tax consequences of receiving an award of RSUs. A participant who is awarded RSUs will be required to recognize ordinary income in an amount equal to the fair market value of shares issued to such participant at the end of the applicable vesting period or, if later, the settlement date elected by the Committee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The tax consequences associated with any other stock-based award of unrestricted shares or an award that is valued by reference to shares granted under the 2021 Plan will vary depending on the specific terms of the award. A participant acquiring unrestricted shares generally will recognize ordinary income equal to the fair market value of the shares on the grant date. The factors that will determine the timing and character of the income include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Section 409A</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Section 409A provides certain requirements for non-qualified deferred compensation arrangements with respect to an individual’s deferral and distribution elections and permissible distribution events. Certain types of awards granted under the 2021 Plan may be subject to the requirements of Section 409A. It is intended that the .2021 Plan and all awards comply with, or be exempt from,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Tax Effect for Definitive</w:t>
      </w:r>
    </w:p>
    <w:p>
      <w:pPr>
        <w:spacing w:after="0" w:line="108"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Definitive generally is entitled to a tax deduction in connection with an award under the 2021 Plan in an amount equal to the ordinary income realized by a participant and at the time the participant recognizes such</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780"/>
          </w:cols>
          <w:pgMar w:left="320" w:top="466" w:right="79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spacing w:after="0" w:line="272" w:lineRule="auto"/>
        <w:rPr>
          <w:sz w:val="20"/>
          <w:szCs w:val="20"/>
          <w:color w:val="auto"/>
        </w:rPr>
      </w:pPr>
      <w:r>
        <w:rPr>
          <w:rFonts w:ascii="Arial" w:cs="Arial" w:eastAsia="Arial" w:hAnsi="Arial"/>
          <w:sz w:val="16"/>
          <w:szCs w:val="16"/>
          <w:color w:val="auto"/>
        </w:rPr>
        <w:t>income (for example, the exercise of a nonqualified stock option). Special rules limit the deductibility of compensation paid to our chief executive officer, chief financial officer and the other “covered employees” as determined under Section 162(m) and applicable guidance. Under Section 162(m), the annual compensation paid to any of these covered employees, including awards that Definitive grants pursuant to the 2021 Plan,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2021 Plan may not be deductible by Definitive, to the extent that the annual deduction limitation is exceeded.</w:t>
      </w:r>
    </w:p>
    <w:p>
      <w:pPr>
        <w:spacing w:after="0" w:line="167"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FOREGOING IS ONLY A SUMMARY OF THE EFFECT OF CURRENT U.S. FEDERAL INCOME TAXATION UPON PARTICIPANTS AND DEFINITIVE WITH RESPECT TO AWARDS UNDER THE 2021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2021 Plan Grants</w:t>
      </w:r>
    </w:p>
    <w:p>
      <w:pPr>
        <w:spacing w:after="0" w:line="112" w:lineRule="exact"/>
        <w:rPr>
          <w:sz w:val="20"/>
          <w:szCs w:val="20"/>
          <w:color w:val="auto"/>
        </w:rPr>
      </w:pPr>
    </w:p>
    <w:p>
      <w:pPr>
        <w:ind w:left="460" w:right="220" w:firstLine="413"/>
        <w:spacing w:after="0" w:line="311" w:lineRule="auto"/>
        <w:rPr>
          <w:sz w:val="20"/>
          <w:szCs w:val="20"/>
          <w:color w:val="auto"/>
        </w:rPr>
      </w:pPr>
      <w:r>
        <w:rPr>
          <w:rFonts w:ascii="Arial" w:cs="Arial" w:eastAsia="Arial" w:hAnsi="Arial"/>
          <w:sz w:val="15"/>
          <w:szCs w:val="15"/>
          <w:color w:val="auto"/>
        </w:rPr>
        <w:t>We granted equity awards to approximately 560 employees. These grants are expected to have an estimated fair value at grant of $22.0 million. These awards will be restricted stock units that vest over four years, with 25% vesting on the first anniversary of grant, and the remainder vesting quarterly, subject to continued employment or other service. The related expense will be recognized ratably over the four year vesting period.</w:t>
      </w:r>
    </w:p>
    <w:p>
      <w:pPr>
        <w:spacing w:after="0" w:line="140"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In addition, we granted equity awards to 10 members of the executive leadership team, including our executive officers. These awards will be in the form of restricted stock units, 75% of which will vest based on the performance of employment or other service and 25% will vest based on achievement of performance metric(s) and continued employment or other service. The former portion will vest over four years, with 25% vesting on the first anniversary of grant, and the remainder vesting quarterly. The latter portion will be tied to a 2022 business metric(s). To the extent the performance criteria is achieved, the restricted stock units will vest ratably on each of January 1, 2023, January 1, 2024 and January 1, 2025. We recently granted equity awards to our new President in the form of restricted stock units that vest over time. His first award vests over four years with 25% vesting on the first anniversary of grant and the remainder vesting quarterly. The second award vests over three years with 33% vesting on the first anniversary of grant, and the remainder vesting quarterly. The estimated fair value of these awards at grant is $17.5 million. The related expense will be recognized at the time of vesting.</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Definitive Healthcare Corp. 2021 Employee Stock Purchase Plan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Summary</w:t>
      </w:r>
    </w:p>
    <w:p>
      <w:pPr>
        <w:spacing w:after="0" w:line="112" w:lineRule="exact"/>
        <w:rPr>
          <w:sz w:val="20"/>
          <w:szCs w:val="20"/>
          <w:color w:val="auto"/>
        </w:rPr>
      </w:pPr>
    </w:p>
    <w:p>
      <w:pPr>
        <w:ind w:left="460" w:right="140" w:firstLine="413"/>
        <w:spacing w:after="0" w:line="303" w:lineRule="auto"/>
        <w:rPr>
          <w:sz w:val="20"/>
          <w:szCs w:val="20"/>
          <w:color w:val="auto"/>
        </w:rPr>
      </w:pPr>
      <w:r>
        <w:rPr>
          <w:rFonts w:ascii="Arial" w:cs="Arial" w:eastAsia="Arial" w:hAnsi="Arial"/>
          <w:sz w:val="16"/>
          <w:szCs w:val="16"/>
          <w:color w:val="auto"/>
        </w:rPr>
        <w:t>In connection our IPO, we adopted the Definitive Healthcare Corp. 2021 Employee Stock Purchase Plan (the “ESPP”). The principal features of the ESPP are summarized below. This summary does not purport to be a complete statement of the terms of the ESPP.</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Purpose</w:t>
      </w:r>
    </w:p>
    <w:p>
      <w:pPr>
        <w:spacing w:after="0" w:line="108" w:lineRule="exact"/>
        <w:rPr>
          <w:sz w:val="20"/>
          <w:szCs w:val="20"/>
          <w:color w:val="auto"/>
        </w:rPr>
      </w:pPr>
    </w:p>
    <w:p>
      <w:pPr>
        <w:ind w:left="460" w:right="120" w:firstLine="413"/>
        <w:spacing w:after="0" w:line="254" w:lineRule="auto"/>
        <w:rPr>
          <w:sz w:val="20"/>
          <w:szCs w:val="20"/>
          <w:color w:val="auto"/>
        </w:rPr>
      </w:pPr>
      <w:r>
        <w:rPr>
          <w:rFonts w:ascii="Arial" w:cs="Arial" w:eastAsia="Arial" w:hAnsi="Arial"/>
          <w:sz w:val="17"/>
          <w:szCs w:val="17"/>
          <w:color w:val="auto"/>
        </w:rPr>
        <w:t>The ESPP provides a means by which eligible employees and/or eligible service providers of either Definitive or an affiliate may be given an opportunity to purchase shares of common stock. The ESPP permits us to grant a series of purchase rights to eligible employees and/or eligible service providers. By means of the ESPP, we seek to retain and assist our affiliates in retaining the services of such eligible employees and eligible service providers, to secure and retain the services of new eligible employees and eligible service providers and to provide incentives for such persons to exert maximum efforts for our success and that of our affiliates.</w:t>
      </w:r>
    </w:p>
    <w:p>
      <w:pPr>
        <w:spacing w:after="0" w:line="181"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The ESPP includes two components: a “423 Component” and a “Non-423 Component.” We intend the 423 Component to qualify as an employee stock purchase plan pursuant to Section 423 of the Code. The provisions of</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760"/>
          </w:cols>
          <w:pgMar w:left="320" w:top="466" w:right="81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72" w:lineRule="auto"/>
        <w:rPr>
          <w:sz w:val="20"/>
          <w:szCs w:val="20"/>
          <w:color w:val="auto"/>
        </w:rPr>
      </w:pPr>
      <w:r>
        <w:rPr>
          <w:rFonts w:ascii="Arial" w:cs="Arial" w:eastAsia="Arial" w:hAnsi="Arial"/>
          <w:sz w:val="16"/>
          <w:szCs w:val="16"/>
          <w:color w:val="auto"/>
        </w:rPr>
        <w:t>the 423 Component are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Board, the Non-423 Component operates and is administered in the same manner as the 423 Component. Eligible employees are able to participate in the 423 Component or Non-423 Component of the ESPP. Eligible service providers (who may or may not be eligible employees) are only able to participate in the Non-423 Component of the ESPP.</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Administration</w:t>
      </w:r>
    </w:p>
    <w:p>
      <w:pPr>
        <w:spacing w:after="0" w:line="108"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The Board administers the ESPP and has the final power to construe and interpret both the ESPP and the rights granted under it. Further, the Board has the power, subject to the provisions of the ESPP, to determine when and how rights to purchase common stock will be granted, the provisions of each offering of such rights (which need not be identical), and whether any employee or other service provider will be eligible to participate in the ESPP.</w:t>
      </w:r>
    </w:p>
    <w:p>
      <w:pPr>
        <w:spacing w:after="0" w:line="179" w:lineRule="exact"/>
        <w:rPr>
          <w:sz w:val="20"/>
          <w:szCs w:val="20"/>
          <w:color w:val="auto"/>
        </w:rPr>
      </w:pPr>
    </w:p>
    <w:p>
      <w:pPr>
        <w:ind w:left="460" w:right="120" w:firstLine="413"/>
        <w:spacing w:after="0" w:line="256" w:lineRule="auto"/>
        <w:rPr>
          <w:sz w:val="20"/>
          <w:szCs w:val="20"/>
          <w:color w:val="auto"/>
        </w:rPr>
      </w:pPr>
      <w:r>
        <w:rPr>
          <w:rFonts w:ascii="Arial" w:cs="Arial" w:eastAsia="Arial" w:hAnsi="Arial"/>
          <w:sz w:val="17"/>
          <w:szCs w:val="17"/>
          <w:color w:val="auto"/>
        </w:rPr>
        <w:t>The Board has the power to delegate administration of the ESPP to a committee composed of one or more members of the Board. As used herein with respect to the ESPP, the term “Board” refers to any committee the Board appoints, and to the Board. Whether or not the Board has delegated administration of the ESPP to a committee, the Board has the final power to determine all questions of policy and expediency that may arise in the administration of the ESPP.</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 Subject to the ESPP</w:t>
      </w:r>
    </w:p>
    <w:p>
      <w:pPr>
        <w:spacing w:after="0" w:line="108" w:lineRule="exact"/>
        <w:rPr>
          <w:sz w:val="20"/>
          <w:szCs w:val="20"/>
          <w:color w:val="auto"/>
        </w:rPr>
      </w:pPr>
    </w:p>
    <w:p>
      <w:pPr>
        <w:ind w:left="460" w:right="260" w:firstLine="413"/>
        <w:spacing w:after="0" w:line="286" w:lineRule="auto"/>
        <w:rPr>
          <w:sz w:val="20"/>
          <w:szCs w:val="20"/>
          <w:color w:val="auto"/>
        </w:rPr>
      </w:pPr>
      <w:r>
        <w:rPr>
          <w:rFonts w:ascii="Arial" w:cs="Arial" w:eastAsia="Arial" w:hAnsi="Arial"/>
          <w:sz w:val="15"/>
          <w:szCs w:val="15"/>
          <w:color w:val="auto"/>
        </w:rPr>
        <w:t>Subject to adjustments as provided in the ESPP, the maximum number of shares of common stock that may be issued under the ESPP will not exceed 1,498,173 shares of common stock. On the first day of each fiscal year, commencing on January 1, 2023 and ending on (and including) January 1, 2032, the share reserve will automatically increase by a number equal to the least of (i) 1% of the total number of shares of common stock actually issued and outstanding on the last day of the preceding fiscal year, (ii) a number of shares of common stock determined by the Board; and</w:t>
      </w:r>
    </w:p>
    <w:p>
      <w:pPr>
        <w:ind w:left="460" w:right="20" w:hanging="3"/>
        <w:spacing w:after="0" w:line="251" w:lineRule="auto"/>
        <w:tabs>
          <w:tab w:leader="none" w:pos="75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1,498,173 shares of common stock. If any purchase right granted under the ESPP terminates without having been exercised in full, the shares of common stock not purchased under such purchase right will again become available for issuance under the ESPP. The ESPP will be effective on the day immediately prior to the date on which the Registration Statement is declared effective by the SEC under the Securities Act until the 10 year anniversary following the date the ESPP became effective.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Offerings</w:t>
      </w:r>
    </w:p>
    <w:p>
      <w:pPr>
        <w:spacing w:after="0" w:line="108"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The ESPP is implemented by offerings of rights to all eligible employees and eligible service providers from time to time. Offerings may comprise one or more purchase periods. The maximum length for an offering under the ESPP is 27 months. The provisions of separate offerings need not be identical. When a participant elects to join an offering, he or she is granted a purchase right to acquire shares of common stock on each purchase date within the offering, each corresponding to the end of a purchase period within such offering. On each purchase date, all payroll deductions collected from the participant during such purchase period are automatically applied to the purchase of common stock, subject to certain limitations.</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Eligibility</w:t>
      </w:r>
    </w:p>
    <w:p>
      <w:pPr>
        <w:spacing w:after="0" w:line="108" w:lineRule="exact"/>
        <w:rPr>
          <w:sz w:val="20"/>
          <w:szCs w:val="20"/>
          <w:color w:val="auto"/>
        </w:rPr>
      </w:pPr>
    </w:p>
    <w:p>
      <w:pPr>
        <w:ind w:left="460" w:right="80" w:firstLine="413"/>
        <w:spacing w:after="0" w:line="311" w:lineRule="auto"/>
        <w:rPr>
          <w:sz w:val="20"/>
          <w:szCs w:val="20"/>
          <w:color w:val="auto"/>
        </w:rPr>
      </w:pPr>
      <w:r>
        <w:rPr>
          <w:rFonts w:ascii="Arial" w:cs="Arial" w:eastAsia="Arial" w:hAnsi="Arial"/>
          <w:sz w:val="15"/>
          <w:szCs w:val="15"/>
          <w:color w:val="auto"/>
        </w:rPr>
        <w:t>Purchase rights may be granted only to our employees, employees of qualifying related corporations or, solely with respect to the Non-423 Component, employees of an affiliate (other than a qualifying related corporation) or eligible service providers. The Board may provide that employees will not be eligible to be granted purchase rights under the ESPP if, on the offering date, the employee (i) has not completed at least two</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780"/>
          </w:cols>
          <w:pgMar w:left="320" w:top="465" w:right="79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color w:val="auto"/>
        </w:rPr>
        <w:t>years of service since the employee’s last hire date (or such lesser period as the Board may determine), (ii) customarily works not more than 20 hours per week (or such lesser period as the Board may determine), (iii) customarily works not more than five months per calendar year (or such lesser period as the Board may determine), (iv) is an officer within the meaning of Section 16 of the Exchange Act, (v) is a highly compensated employee within the meaning of the Code, or (vi) has not satisfied such other criteria as the Board may determine consistent with Section 423 of the Code. Unless otherwise determined by the Board for any offering, an employee will not be eligible to be granted purchase rights unless, on the offering date, the employee customarily works more than 20 hours per week and more than five months per calendar year, and has been employed by us or a related corporation or affiliate for at least three continuous months preceding such offering date.</w:t>
      </w:r>
    </w:p>
    <w:p>
      <w:pPr>
        <w:spacing w:after="0" w:line="172" w:lineRule="exact"/>
        <w:rPr>
          <w:sz w:val="20"/>
          <w:szCs w:val="20"/>
          <w:color w:val="auto"/>
        </w:rPr>
      </w:pPr>
    </w:p>
    <w:p>
      <w:pPr>
        <w:ind w:left="460" w:right="80" w:firstLine="413"/>
        <w:spacing w:after="0" w:line="277" w:lineRule="auto"/>
        <w:rPr>
          <w:sz w:val="20"/>
          <w:szCs w:val="20"/>
          <w:color w:val="auto"/>
        </w:rPr>
      </w:pPr>
      <w:r>
        <w:rPr>
          <w:rFonts w:ascii="Arial" w:cs="Arial" w:eastAsia="Arial" w:hAnsi="Arial"/>
          <w:sz w:val="16"/>
          <w:szCs w:val="16"/>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 do not permit such eligible employee’s rights to purchase stock in excess of $25,000 worth of stock in any calendar year.</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Participation in the ESPP</w:t>
      </w:r>
    </w:p>
    <w:p>
      <w:pPr>
        <w:spacing w:after="0" w:line="108"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On each offering date, each eligible employee or eligible service provider, pursuant to an offering made under the ESPP, will be granted a purchase right to purchase up to that number of shares of common stock purchasable either with a percentage or with a maximum dollar amount, as designated by the Board; provided however, that in the case of eligible employees, such percentage or maximum dollar amount will in either case not exceed 15% of such employee’s earnings during the period that begins on the offering date (or such later date as the Board determines for a particular offering) and ends on the date stated in the offering, which date will be no later than the end of the offering, unless otherwise provided for in an offering.</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Purchase Price</w:t>
      </w:r>
    </w:p>
    <w:p>
      <w:pPr>
        <w:spacing w:after="0" w:line="108"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The purchase price of shares of common stock acquired pursuant to purchase rights will be not less than the lesser of (i) 85% of the fair market value of the shares of common stock on the offering date; or (ii) 85% of the fair market value of the shares of common stock on the applicable purchase date (i.e., the last day of the applicable purchase period).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Payment of Purchase Price; Payroll Deductions</w:t>
      </w:r>
    </w:p>
    <w:p>
      <w:pPr>
        <w:spacing w:after="0" w:line="108"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6"/>
          <w:szCs w:val="16"/>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No interest will accrue on such payroll deductions.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Purchase of Stock</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In connection with each offering, the Board may specify a maximum number of shares of common stock that may be purchased by any participant or all participants. If the aggregate purchase of shares of common stock</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760"/>
          </w:cols>
          <w:pgMar w:left="320" w:top="465" w:right="81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color w:val="auto"/>
        </w:rPr>
        <w:t>issuable 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Withdrawal</w:t>
      </w:r>
    </w:p>
    <w:p>
      <w:pPr>
        <w:spacing w:after="0" w:line="108" w:lineRule="exact"/>
        <w:rPr>
          <w:sz w:val="20"/>
          <w:szCs w:val="20"/>
          <w:color w:val="auto"/>
        </w:rPr>
      </w:pPr>
    </w:p>
    <w:p>
      <w:pPr>
        <w:ind w:left="460" w:right="280" w:firstLine="413"/>
        <w:spacing w:after="0" w:line="253" w:lineRule="auto"/>
        <w:rPr>
          <w:sz w:val="20"/>
          <w:szCs w:val="20"/>
          <w:color w:val="auto"/>
        </w:rPr>
      </w:pPr>
      <w:r>
        <w:rPr>
          <w:rFonts w:ascii="Arial" w:cs="Arial" w:eastAsia="Arial" w:hAnsi="Arial"/>
          <w:sz w:val="17"/>
          <w:szCs w:val="17"/>
          <w:color w:val="auto"/>
        </w:rPr>
        <w:t>During an offering, a participant may cease making contributions and withdraw from the offering by delivering a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Termination of Employment</w:t>
      </w:r>
    </w:p>
    <w:p>
      <w:pPr>
        <w:spacing w:after="0" w:line="108"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shall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Restrictions on Transfer</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Exercise of Purchase Rights</w:t>
      </w:r>
    </w:p>
    <w:p>
      <w:pPr>
        <w:spacing w:after="0" w:line="108" w:lineRule="exact"/>
        <w:rPr>
          <w:sz w:val="20"/>
          <w:szCs w:val="20"/>
          <w:color w:val="auto"/>
        </w:rPr>
      </w:pPr>
    </w:p>
    <w:p>
      <w:pPr>
        <w:ind w:left="460" w:right="140" w:firstLine="413"/>
        <w:spacing w:after="0" w:line="301" w:lineRule="auto"/>
        <w:rPr>
          <w:sz w:val="20"/>
          <w:szCs w:val="20"/>
          <w:color w:val="auto"/>
        </w:rPr>
      </w:pPr>
      <w:r>
        <w:rPr>
          <w:rFonts w:ascii="Arial" w:cs="Arial" w:eastAsia="Arial" w:hAnsi="Arial"/>
          <w:sz w:val="15"/>
          <w:szCs w:val="15"/>
          <w:color w:val="auto"/>
        </w:rPr>
        <w:t>On each purchase date, each participant’s accumulated contributions will be applied to the purchase of shares of common stock, up to the maximum number of shares of common stock permitted by the ESPP and the applicable offering, at the purchase price specified in the offering. Unless otherwise specified in the ESPP, no fractional shares will be issued and, if any amount of accumulated contributions remains in a participant’s account after the purchase of shares of common stock on the final purchase date in an offering, such remaining amount will roll over to the next offering.</w:t>
      </w:r>
    </w:p>
    <w:p>
      <w:pPr>
        <w:spacing w:after="0" w:line="148" w:lineRule="exact"/>
        <w:rPr>
          <w:sz w:val="20"/>
          <w:szCs w:val="20"/>
          <w:color w:val="auto"/>
        </w:rPr>
      </w:pPr>
    </w:p>
    <w:p>
      <w:pPr>
        <w:ind w:left="460" w:right="60" w:firstLine="413"/>
        <w:spacing w:after="0" w:line="253" w:lineRule="auto"/>
        <w:rPr>
          <w:sz w:val="20"/>
          <w:szCs w:val="20"/>
          <w:color w:val="auto"/>
        </w:rPr>
      </w:pPr>
      <w:r>
        <w:rPr>
          <w:rFonts w:ascii="Arial" w:cs="Arial" w:eastAsia="Arial" w:hAnsi="Arial"/>
          <w:sz w:val="17"/>
          <w:szCs w:val="17"/>
          <w:color w:val="auto"/>
        </w:rPr>
        <w:t>No purchase rights may be exercised to any extent unless and until the shares of common stock to be issued on such exercise under the ESPP are covered by an effective registration statement pursuant to the Securities Act, and the ESPP is in material compliance with all applicable U.S. federal and state, foreign and other securities, exchange control, and other laws applicable to the ESPP. If, on the purchase date, as delayed to the maximum extent permissible, the shares of common stock are not registered and the ESPP is not in material compliance with all applicable laws or regulations, no purchase rights will be exercised and all accumulated but unused contributions will be distributed as soon as practicable to the participants without interest.</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Capitalization Adjustments</w:t>
      </w:r>
    </w:p>
    <w:p>
      <w:pPr>
        <w:spacing w:after="0" w:line="108" w:lineRule="exact"/>
        <w:rPr>
          <w:sz w:val="20"/>
          <w:szCs w:val="20"/>
          <w:color w:val="auto"/>
        </w:rPr>
      </w:pPr>
    </w:p>
    <w:p>
      <w:pPr>
        <w:jc w:val="both"/>
        <w:ind w:left="460" w:right="460" w:firstLine="413"/>
        <w:spacing w:after="0" w:line="260" w:lineRule="auto"/>
        <w:rPr>
          <w:sz w:val="20"/>
          <w:szCs w:val="20"/>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ESPP, (ii) the classes and maximum number of securities by which the share reserve is to increase automatically each year pursuant to the ESPP, (iii) the classes</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800"/>
          </w:cols>
          <w:pgMar w:left="320" w:top="466" w:right="77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color w:val="auto"/>
        </w:rPr>
        <w:t>and number of securities subject to, and the purchase price applicable to outstanding offerings and purchase rights, and (iv) the classes and number of securities that are the subject of the purchase limits under each ongoing offering.</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Dissolution or Liquidation</w:t>
      </w:r>
    </w:p>
    <w:p>
      <w:pPr>
        <w:spacing w:after="0" w:line="108" w:lineRule="exact"/>
        <w:rPr>
          <w:sz w:val="20"/>
          <w:szCs w:val="20"/>
          <w:color w:val="auto"/>
        </w:rPr>
      </w:pPr>
    </w:p>
    <w:p>
      <w:pPr>
        <w:ind w:left="460" w:right="120" w:firstLine="413"/>
        <w:spacing w:after="0" w:line="277" w:lineRule="auto"/>
        <w:rPr>
          <w:sz w:val="20"/>
          <w:szCs w:val="20"/>
          <w:color w:val="auto"/>
        </w:rPr>
      </w:pPr>
      <w:r>
        <w:rPr>
          <w:rFonts w:ascii="Arial" w:cs="Arial" w:eastAsia="Arial" w:hAnsi="Arial"/>
          <w:sz w:val="16"/>
          <w:szCs w:val="16"/>
          <w:color w:val="auto"/>
        </w:rPr>
        <w:t>In the event of Definitive’s dissolution or liquidation, the Board will shorten any offering then in progress by setting a new purchase date prior to the consummation of such proposed dissolution or liquidation.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Effect of a Change in Control:</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Upon any of the following events (each a Change in Control under the ESPP):</w:t>
      </w:r>
    </w:p>
    <w:p>
      <w:pPr>
        <w:spacing w:after="0" w:line="121" w:lineRule="exact"/>
        <w:rPr>
          <w:sz w:val="20"/>
          <w:szCs w:val="20"/>
          <w:color w:val="auto"/>
        </w:rPr>
      </w:pPr>
    </w:p>
    <w:p>
      <w:pPr>
        <w:ind w:left="1360" w:right="40" w:hanging="396"/>
        <w:spacing w:after="0" w:line="284" w:lineRule="auto"/>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person (other than Definitive, any trustee or other fiduciary holding securities under any employee benefit plan of Definitive, or any company owned, directly or indirectly by stockholders of Definitive in substantially the same proportions as their shares of common stock) becomes the beneficial owner, directly or indirectly, of at least 50% of our then outstanding capital stock;</w:t>
      </w:r>
    </w:p>
    <w:p>
      <w:pPr>
        <w:spacing w:after="0" w:line="68" w:lineRule="exact"/>
        <w:rPr>
          <w:rFonts w:ascii="Arial" w:cs="Arial" w:eastAsia="Arial" w:hAnsi="Arial"/>
          <w:sz w:val="16"/>
          <w:szCs w:val="16"/>
          <w:color w:val="auto"/>
        </w:rPr>
      </w:pPr>
    </w:p>
    <w:p>
      <w:pPr>
        <w:ind w:left="1360" w:right="180" w:hanging="396"/>
        <w:spacing w:after="0" w:line="272" w:lineRule="auto"/>
        <w:tabs>
          <w:tab w:leader="none" w:pos="13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cease for any reason to constitute at least a majority of the Board;</w:t>
      </w:r>
    </w:p>
    <w:p>
      <w:pPr>
        <w:spacing w:after="0" w:line="76" w:lineRule="exact"/>
        <w:rPr>
          <w:rFonts w:ascii="Arial" w:cs="Arial" w:eastAsia="Arial" w:hAnsi="Arial"/>
          <w:sz w:val="17"/>
          <w:szCs w:val="17"/>
          <w:color w:val="auto"/>
        </w:rPr>
      </w:pPr>
    </w:p>
    <w:p>
      <w:pPr>
        <w:ind w:left="1360" w:right="60" w:hanging="396"/>
        <w:spacing w:after="0" w:line="272" w:lineRule="auto"/>
        <w:tabs>
          <w:tab w:leader="none" w:pos="13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 amalgamation, merger, or consolidation of Definitive with any other company or corporation or a scheme of arrangement involving any other company or corporation; or</w:t>
      </w:r>
    </w:p>
    <w:p>
      <w:pPr>
        <w:spacing w:after="0" w:line="76" w:lineRule="exact"/>
        <w:rPr>
          <w:rFonts w:ascii="Arial" w:cs="Arial" w:eastAsia="Arial" w:hAnsi="Arial"/>
          <w:sz w:val="17"/>
          <w:szCs w:val="17"/>
          <w:color w:val="auto"/>
        </w:rPr>
      </w:pPr>
    </w:p>
    <w:p>
      <w:pPr>
        <w:ind w:left="1360" w:hanging="396"/>
        <w:spacing w:after="0"/>
        <w:tabs>
          <w:tab w:leader="none" w:pos="13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sale or disposition of all or substantially all of Definitive’s assets;</w:t>
      </w:r>
    </w:p>
    <w:p>
      <w:pPr>
        <w:spacing w:after="0" w:line="210"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color w:val="auto"/>
        </w:rPr>
        <w:t>any surviving corporation or acquiring corporation (or the surviving or acquiring corporation’s parent company) may assume or continue outstanding purchase rights or may substitute similar rights for outstanding purchase rights, or, if any surviving or acquiring corporation (or its parent company) does not assume or continue such purchase rights or does not substitute similar rights for such purchase rights, then the participants’ accumulated contributions will be used to purchase shares of common stock prior to the Change in Control under the outstanding purchase rights, and the purchase rights will terminate immediately after such purchase.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Amendment, Termination or Suspension of the ESPP; Term</w:t>
      </w:r>
    </w:p>
    <w:p>
      <w:pPr>
        <w:spacing w:after="0" w:line="108" w:lineRule="exact"/>
        <w:rPr>
          <w:sz w:val="20"/>
          <w:szCs w:val="20"/>
          <w:color w:val="auto"/>
        </w:rPr>
      </w:pPr>
    </w:p>
    <w:p>
      <w:pPr>
        <w:ind w:left="460" w:right="320" w:firstLine="413"/>
        <w:spacing w:after="0" w:line="286" w:lineRule="auto"/>
        <w:rPr>
          <w:sz w:val="20"/>
          <w:szCs w:val="20"/>
          <w:color w:val="auto"/>
        </w:rPr>
      </w:pPr>
      <w:r>
        <w:rPr>
          <w:rFonts w:ascii="Arial" w:cs="Arial" w:eastAsia="Arial" w:hAnsi="Arial"/>
          <w:sz w:val="15"/>
          <w:szCs w:val="15"/>
          <w:color w:val="auto"/>
        </w:rPr>
        <w:t>The Board may amend the ESPP at any time in any respect the Board deems necessary or advisable. However, except with respect to capitalization adjustments described above, stockholder approval will be required for any amendment of the ESPP for which stockholder approval is required by applicable laws, regulations or listing requirements, including any amendment that either (i) increases the number of shares of common stock available for issuance under the ESPP, (ii) expands the class of individuals eligible to become participants and receive purchase rights,</w:t>
      </w:r>
    </w:p>
    <w:p>
      <w:pPr>
        <w:ind w:left="460" w:right="60" w:hanging="3"/>
        <w:spacing w:after="0" w:line="253" w:lineRule="auto"/>
        <w:tabs>
          <w:tab w:leader="none" w:pos="75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materially increases the benefits accruing to participants under the ESPP or reduces the price at which shares of common stock may be purchased under the ESPP, (iv) extends the term of the ESPP, or (v) expands the types of awards available for issuance under the ESPP, but in each case only to the extent stockholder approval is required by applicable laws, regulations, or listing requirements.</w:t>
      </w:r>
    </w:p>
    <w:p>
      <w:pPr>
        <w:spacing w:after="0" w:line="181"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The Board may suspend or terminate the ESPP at any time. No purchase rights may be granted under the ESPP while the ESPP is suspended or after it is terminated.</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800"/>
          </w:cols>
          <w:pgMar w:left="320" w:top="466" w:right="77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ESPP became effective on September 13, 2021, and will expire on the tenth anniversary of the date the ESPP became effective.</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U.S. Federal Income Tax Consequences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423 Component</w:t>
      </w:r>
    </w:p>
    <w:p>
      <w:pPr>
        <w:spacing w:after="0" w:line="108" w:lineRule="exact"/>
        <w:rPr>
          <w:sz w:val="20"/>
          <w:szCs w:val="20"/>
          <w:color w:val="auto"/>
        </w:rPr>
      </w:pPr>
    </w:p>
    <w:p>
      <w:pPr>
        <w:ind w:left="460" w:right="380" w:firstLine="413"/>
        <w:spacing w:after="0" w:line="303" w:lineRule="auto"/>
        <w:rPr>
          <w:sz w:val="20"/>
          <w:szCs w:val="20"/>
          <w:color w:val="auto"/>
        </w:rPr>
      </w:pPr>
      <w:r>
        <w:rPr>
          <w:rFonts w:ascii="Arial" w:cs="Arial" w:eastAsia="Arial" w:hAnsi="Arial"/>
          <w:sz w:val="16"/>
          <w:szCs w:val="16"/>
          <w:color w:val="auto"/>
        </w:rPr>
        <w:t>Rights granted under the 423 Component of the ESPP are intended to qualify for favorable U.S. federal income tax treatment associated with rights granted under an employee stock purchase plan which qualifies under the provisions of Section 423 of the Code.</w:t>
      </w:r>
    </w:p>
    <w:p>
      <w:pPr>
        <w:spacing w:after="0" w:line="143" w:lineRule="exact"/>
        <w:rPr>
          <w:sz w:val="20"/>
          <w:szCs w:val="20"/>
          <w:color w:val="auto"/>
        </w:rPr>
      </w:pPr>
    </w:p>
    <w:p>
      <w:pPr>
        <w:ind w:left="460" w:right="360" w:firstLine="413"/>
        <w:spacing w:after="0" w:line="284" w:lineRule="auto"/>
        <w:rPr>
          <w:sz w:val="20"/>
          <w:szCs w:val="20"/>
          <w:color w:val="auto"/>
        </w:rPr>
      </w:pPr>
      <w:r>
        <w:rPr>
          <w:rFonts w:ascii="Arial" w:cs="Arial" w:eastAsia="Arial" w:hAnsi="Arial"/>
          <w:sz w:val="16"/>
          <w:szCs w:val="16"/>
          <w:color w:val="auto"/>
        </w:rPr>
        <w:t>A participant will be taxed on amounts withheld for the purchase of shares of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w:t>
      </w:r>
    </w:p>
    <w:p>
      <w:pPr>
        <w:spacing w:after="0" w:line="157"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81" w:lineRule="exact"/>
        <w:rPr>
          <w:sz w:val="20"/>
          <w:szCs w:val="20"/>
          <w:color w:val="auto"/>
        </w:rPr>
      </w:pPr>
    </w:p>
    <w:p>
      <w:pPr>
        <w:ind w:left="460" w:right="180" w:firstLine="413"/>
        <w:spacing w:after="0" w:line="340" w:lineRule="auto"/>
        <w:rPr>
          <w:sz w:val="20"/>
          <w:szCs w:val="20"/>
          <w:color w:val="auto"/>
        </w:rPr>
      </w:pPr>
      <w:r>
        <w:rPr>
          <w:rFonts w:ascii="Arial" w:cs="Arial" w:eastAsia="Arial" w:hAnsi="Arial"/>
          <w:sz w:val="15"/>
          <w:szCs w:val="15"/>
          <w:color w:val="auto"/>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w:t>
      </w:r>
    </w:p>
    <w:p>
      <w:pPr>
        <w:spacing w:after="0" w:line="11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Non-423 Component</w:t>
      </w:r>
    </w:p>
    <w:p>
      <w:pPr>
        <w:spacing w:after="0" w:line="108" w:lineRule="exact"/>
        <w:rPr>
          <w:sz w:val="20"/>
          <w:szCs w:val="20"/>
          <w:color w:val="auto"/>
        </w:rPr>
      </w:pPr>
    </w:p>
    <w:p>
      <w:pPr>
        <w:ind w:left="460" w:right="60" w:firstLine="413"/>
        <w:spacing w:after="0" w:line="296" w:lineRule="auto"/>
        <w:rPr>
          <w:sz w:val="20"/>
          <w:szCs w:val="20"/>
          <w:color w:val="auto"/>
        </w:rPr>
      </w:pPr>
      <w:r>
        <w:rPr>
          <w:rFonts w:ascii="Arial" w:cs="Arial" w:eastAsia="Arial" w:hAnsi="Arial"/>
          <w:sz w:val="15"/>
          <w:szCs w:val="15"/>
          <w:color w:val="auto"/>
        </w:rPr>
        <w:t>A participant will be taxed on amounts withheld for the purchase of shares of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Definitive or one of its affiliates, that income will be subject to withholding taxes. The participant’s tax basis in those shares will be equal to the fair market value of the shares on the date of exercise of the purchase right, and the participant’s capital gain holding period for those shares will begin on the day after the shares are transferred to the participant.</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Tax Effects for Definitive</w:t>
      </w:r>
    </w:p>
    <w:p>
      <w:pPr>
        <w:spacing w:after="0" w:line="112"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There are no U.S. federal income tax consequences to Definitive by reason of the grant or exercise of rights under the ESPP. Definitive is entitled to a deduction to the extent amounts are taxed as ordinary income to a</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780"/>
          </w:cols>
          <w:pgMar w:left="320" w:top="465" w:right="79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740"/>
        <w:spacing w:after="0" w:line="303" w:lineRule="auto"/>
        <w:rPr>
          <w:sz w:val="20"/>
          <w:szCs w:val="20"/>
          <w:color w:val="auto"/>
        </w:rPr>
      </w:pPr>
      <w:r>
        <w:rPr>
          <w:rFonts w:ascii="Arial" w:cs="Arial" w:eastAsia="Arial" w:hAnsi="Arial"/>
          <w:sz w:val="16"/>
          <w:szCs w:val="16"/>
          <w:color w:val="auto"/>
        </w:rPr>
        <w:t>participant for shares sold or otherwise disposed of before the expiration of the holding periods described above (subject to the requirement of reasonableness, the deduction limits under Section 162(m) of the Code and the satisfaction of tax reporting obligations).</w:t>
      </w:r>
    </w:p>
    <w:p>
      <w:pPr>
        <w:spacing w:after="0" w:line="143"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THE FOREGOING IS ONLY A SUMMARY OF THE EFFECT OF CURRENT U.S. FEDERAL INCOME TAXATION UPON PARTICIPANTS AND DEFINITIVE WITH RESPECT TO AWARDS UNDER THE ESPP. IT DOES NOT PURPORT TO BE COMPLETE AND DOES NOT DISCUSS THE IMPACT OF EMPLOYMENT OR OTHER TAX REQUIREMENTS, THE TAX CONSEQUENCES OF A PARTICIPANT’S DEATH, OR THE PROVISIONS OF THE INCOME TAX LAWS OF ANY MUNICIPALITY, STATE, OR FOREIGN COUNTRY IN WHICH THE PARTICIPANT MAY RESIDE. THE ESPP IS NOT QUALIFIED UNDER THE PROVISIONS OF SECTION 401(A) OF THE CODE AND IS NOT SUBJECT TO ANY OF THE PROVISIONS OF THE EMPLOYEE RETIREMENT INCOME SECURITY ACT OF 1974, AS AMENDED.</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Director Compensation</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Any director who is an employee receives no additional compensation for services as a director or as a member of a committee of our Board.</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concerning the compensation of our directors for fiscal year 2020.</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Fees earned or</w:t>
            </w:r>
          </w:p>
        </w:tc>
        <w:tc>
          <w:tcPr>
            <w:tcW w:w="22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Stock</w:t>
            </w: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7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200" w:type="dxa"/>
            <w:vAlign w:val="bottom"/>
            <w:gridSpan w:val="3"/>
          </w:tcPr>
          <w:p>
            <w:pPr>
              <w:jc w:val="right"/>
              <w:ind w:right="381"/>
              <w:spacing w:after="0" w:line="139" w:lineRule="exact"/>
              <w:rPr>
                <w:sz w:val="20"/>
                <w:szCs w:val="20"/>
                <w:color w:val="auto"/>
              </w:rPr>
            </w:pPr>
            <w:r>
              <w:rPr>
                <w:rFonts w:ascii="Arial" w:cs="Arial" w:eastAsia="Arial" w:hAnsi="Arial"/>
                <w:sz w:val="13"/>
                <w:szCs w:val="13"/>
                <w:b w:val="1"/>
                <w:bCs w:val="1"/>
                <w:color w:val="auto"/>
                <w:w w:val="98"/>
              </w:rPr>
              <w:t>paid in cash</w:t>
            </w:r>
          </w:p>
        </w:tc>
        <w:tc>
          <w:tcPr>
            <w:tcW w:w="220" w:type="dxa"/>
            <w:vAlign w:val="bottom"/>
          </w:tcPr>
          <w:p>
            <w:pPr>
              <w:spacing w:after="0"/>
              <w:rPr>
                <w:sz w:val="12"/>
                <w:szCs w:val="12"/>
                <w:color w:val="auto"/>
              </w:rPr>
            </w:pPr>
          </w:p>
        </w:tc>
        <w:tc>
          <w:tcPr>
            <w:tcW w:w="112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93"/>
              </w:rPr>
              <w:t>awards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1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ind w:right="258"/>
              <w:spacing w:after="0" w:line="114"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1"/>
                <w:szCs w:val="11"/>
                <w:color w:val="auto"/>
              </w:rPr>
            </w:pPr>
          </w:p>
        </w:tc>
        <w:tc>
          <w:tcPr>
            <w:tcW w:w="960" w:type="dxa"/>
            <w:vAlign w:val="bottom"/>
            <w:gridSpan w:val="2"/>
          </w:tcPr>
          <w:p>
            <w:pPr>
              <w:jc w:val="center"/>
              <w:ind w:left="153"/>
              <w:spacing w:after="0" w:line="114" w:lineRule="exact"/>
              <w:rPr>
                <w:sz w:val="20"/>
                <w:szCs w:val="20"/>
                <w:color w:val="auto"/>
              </w:rPr>
            </w:pPr>
            <w:r>
              <w:rPr>
                <w:rFonts w:ascii="Arial" w:cs="Arial" w:eastAsia="Arial" w:hAnsi="Arial"/>
                <w:sz w:val="13"/>
                <w:szCs w:val="13"/>
                <w:b w:val="1"/>
                <w:bCs w:val="1"/>
                <w:color w:val="auto"/>
                <w:w w:val="87"/>
              </w:rPr>
              <w:t>($)</w:t>
            </w:r>
          </w:p>
        </w:tc>
        <w:tc>
          <w:tcPr>
            <w:tcW w:w="380" w:type="dxa"/>
            <w:vAlign w:val="bottom"/>
          </w:tcPr>
          <w:p>
            <w:pPr>
              <w:spacing w:after="0"/>
              <w:rPr>
                <w:sz w:val="11"/>
                <w:szCs w:val="11"/>
                <w:color w:val="auto"/>
              </w:rPr>
            </w:pPr>
          </w:p>
        </w:tc>
        <w:tc>
          <w:tcPr>
            <w:tcW w:w="560" w:type="dxa"/>
            <w:vAlign w:val="bottom"/>
          </w:tcPr>
          <w:p>
            <w:pPr>
              <w:jc w:val="right"/>
              <w:ind w:right="120"/>
              <w:spacing w:after="0" w:line="114"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180" w:type="dxa"/>
            <w:vAlign w:val="bottom"/>
            <w:gridSpan w:val="2"/>
            <w:shd w:val="clear" w:color="auto" w:fill="CCEEFF"/>
          </w:tcPr>
          <w:p>
            <w:pPr>
              <w:spacing w:after="0" w:line="181" w:lineRule="exact"/>
              <w:rPr>
                <w:sz w:val="20"/>
                <w:szCs w:val="20"/>
                <w:color w:val="auto"/>
              </w:rPr>
            </w:pPr>
            <w:r>
              <w:rPr>
                <w:rFonts w:ascii="Arial" w:cs="Arial" w:eastAsia="Arial" w:hAnsi="Arial"/>
                <w:sz w:val="15"/>
                <w:szCs w:val="15"/>
                <w:color w:val="auto"/>
              </w:rPr>
              <w:t>Samuel A. Hamood</w:t>
            </w:r>
            <w:r>
              <w:rPr>
                <w:rFonts w:ascii="Arial" w:cs="Arial" w:eastAsia="Arial" w:hAnsi="Arial"/>
                <w:sz w:val="20"/>
                <w:szCs w:val="20"/>
                <w:color w:val="auto"/>
                <w:vertAlign w:val="superscript"/>
              </w:rPr>
              <w:t>(1)</w:t>
            </w:r>
          </w:p>
        </w:tc>
        <w:tc>
          <w:tcPr>
            <w:tcW w:w="2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17,500</w:t>
            </w:r>
          </w:p>
        </w:tc>
        <w:tc>
          <w:tcPr>
            <w:tcW w:w="360" w:type="dxa"/>
            <w:vAlign w:val="bottom"/>
            <w:shd w:val="clear" w:color="auto" w:fill="CCEEFF"/>
          </w:tcPr>
          <w:p>
            <w:pPr>
              <w:jc w:val="right"/>
              <w:ind w:right="161"/>
              <w:spacing w:after="0" w:line="130" w:lineRule="exact"/>
              <w:rPr>
                <w:sz w:val="20"/>
                <w:szCs w:val="20"/>
                <w:color w:val="auto"/>
              </w:rPr>
            </w:pPr>
            <w:r>
              <w:rPr>
                <w:rFonts w:ascii="Arial" w:cs="Arial" w:eastAsia="Arial" w:hAnsi="Arial"/>
                <w:sz w:val="12"/>
                <w:szCs w:val="12"/>
                <w:color w:val="auto"/>
                <w:w w:val="81"/>
              </w:rPr>
              <w:t>(2)</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line="181" w:lineRule="exact"/>
              <w:rPr>
                <w:sz w:val="20"/>
                <w:szCs w:val="20"/>
                <w:color w:val="auto"/>
              </w:rPr>
            </w:pPr>
            <w:r>
              <w:rPr>
                <w:rFonts w:ascii="Arial" w:cs="Arial" w:eastAsia="Arial" w:hAnsi="Arial"/>
                <w:sz w:val="15"/>
                <w:szCs w:val="15"/>
                <w:color w:val="auto"/>
                <w:w w:val="99"/>
              </w:rPr>
              <w:t>$30,974</w:t>
            </w:r>
            <w:r>
              <w:rPr>
                <w:rFonts w:ascii="Arial" w:cs="Arial" w:eastAsia="Arial" w:hAnsi="Arial"/>
                <w:sz w:val="20"/>
                <w:szCs w:val="20"/>
                <w:color w:val="auto"/>
                <w:w w:val="99"/>
                <w:vertAlign w:val="superscript"/>
              </w:rPr>
              <w:t>(3)</w:t>
            </w: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87"/>
              </w:rPr>
              <w:t>$48,474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80" w:type="dxa"/>
            <w:vAlign w:val="bottom"/>
            <w:gridSpan w:val="2"/>
          </w:tcPr>
          <w:p>
            <w:pPr>
              <w:spacing w:after="0"/>
              <w:rPr>
                <w:sz w:val="20"/>
                <w:szCs w:val="20"/>
                <w:color w:val="auto"/>
              </w:rPr>
            </w:pPr>
            <w:r>
              <w:rPr>
                <w:rFonts w:ascii="Arial" w:cs="Arial" w:eastAsia="Arial" w:hAnsi="Arial"/>
                <w:sz w:val="17"/>
                <w:szCs w:val="17"/>
                <w:color w:val="auto"/>
              </w:rPr>
              <w:t>John Maldonado</w:t>
            </w:r>
          </w:p>
        </w:tc>
        <w:tc>
          <w:tcPr>
            <w:tcW w:w="220" w:type="dxa"/>
            <w:vAlign w:val="bottom"/>
          </w:tcPr>
          <w:p>
            <w:pPr>
              <w:spacing w:after="0"/>
              <w:rPr>
                <w:sz w:val="17"/>
                <w:szCs w:val="17"/>
                <w:color w:val="auto"/>
              </w:rPr>
            </w:pPr>
          </w:p>
        </w:tc>
        <w:tc>
          <w:tcPr>
            <w:tcW w:w="980" w:type="dxa"/>
            <w:vAlign w:val="bottom"/>
            <w:gridSpan w:val="2"/>
          </w:tcPr>
          <w:p>
            <w:pPr>
              <w:jc w:val="right"/>
              <w:ind w:right="381"/>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7"/>
                <w:szCs w:val="17"/>
                <w:color w:val="auto"/>
                <w:w w:val="93"/>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Christopher Egan</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1"/>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3"/>
              </w:rPr>
              <w: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gridSpan w:val="2"/>
          </w:tcPr>
          <w:p>
            <w:pPr>
              <w:spacing w:after="0"/>
              <w:rPr>
                <w:sz w:val="20"/>
                <w:szCs w:val="20"/>
                <w:color w:val="auto"/>
              </w:rPr>
            </w:pPr>
            <w:r>
              <w:rPr>
                <w:rFonts w:ascii="Arial" w:cs="Arial" w:eastAsia="Arial" w:hAnsi="Arial"/>
                <w:sz w:val="17"/>
                <w:szCs w:val="17"/>
                <w:color w:val="auto"/>
              </w:rPr>
              <w:t>Lauren Young</w:t>
            </w:r>
          </w:p>
        </w:tc>
        <w:tc>
          <w:tcPr>
            <w:tcW w:w="220" w:type="dxa"/>
            <w:vAlign w:val="bottom"/>
          </w:tcPr>
          <w:p>
            <w:pPr>
              <w:spacing w:after="0"/>
              <w:rPr>
                <w:sz w:val="17"/>
                <w:szCs w:val="17"/>
                <w:color w:val="auto"/>
              </w:rPr>
            </w:pPr>
          </w:p>
        </w:tc>
        <w:tc>
          <w:tcPr>
            <w:tcW w:w="980" w:type="dxa"/>
            <w:vAlign w:val="bottom"/>
            <w:gridSpan w:val="2"/>
          </w:tcPr>
          <w:p>
            <w:pPr>
              <w:jc w:val="right"/>
              <w:ind w:right="381"/>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7"/>
                <w:szCs w:val="17"/>
                <w:color w:val="auto"/>
                <w:w w:val="93"/>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 Mitchell</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1"/>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3"/>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180" w:type="dxa"/>
            <w:vAlign w:val="bottom"/>
            <w:gridSpan w:val="2"/>
          </w:tcPr>
          <w:p>
            <w:pPr>
              <w:spacing w:after="0"/>
              <w:rPr>
                <w:sz w:val="20"/>
                <w:szCs w:val="20"/>
                <w:color w:val="auto"/>
              </w:rPr>
            </w:pPr>
            <w:r>
              <w:rPr>
                <w:rFonts w:ascii="Arial" w:cs="Arial" w:eastAsia="Arial" w:hAnsi="Arial"/>
                <w:sz w:val="17"/>
                <w:szCs w:val="17"/>
                <w:color w:val="auto"/>
              </w:rPr>
              <w:t>Jeff Haywood</w:t>
            </w:r>
          </w:p>
        </w:tc>
        <w:tc>
          <w:tcPr>
            <w:tcW w:w="220" w:type="dxa"/>
            <w:vAlign w:val="bottom"/>
          </w:tcPr>
          <w:p>
            <w:pPr>
              <w:spacing w:after="0"/>
              <w:rPr>
                <w:sz w:val="17"/>
                <w:szCs w:val="17"/>
                <w:color w:val="auto"/>
              </w:rPr>
            </w:pPr>
          </w:p>
        </w:tc>
        <w:tc>
          <w:tcPr>
            <w:tcW w:w="980" w:type="dxa"/>
            <w:vAlign w:val="bottom"/>
            <w:gridSpan w:val="2"/>
          </w:tcPr>
          <w:p>
            <w:pPr>
              <w:jc w:val="right"/>
              <w:ind w:right="381"/>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7"/>
                <w:szCs w:val="17"/>
                <w:color w:val="auto"/>
                <w:w w:val="93"/>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 Randall Winn</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1"/>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3"/>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5" w:lineRule="exact"/>
        <w:rPr>
          <w:sz w:val="20"/>
          <w:szCs w:val="20"/>
          <w:color w:val="auto"/>
        </w:rPr>
      </w:pPr>
    </w:p>
    <w:p>
      <w:pPr>
        <w:ind w:left="860" w:hanging="403"/>
        <w:spacing w:after="0"/>
        <w:tabs>
          <w:tab w:leader="none" w:pos="8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Our only director who received compensation in fiscal 2020 was Mr. Hamood, who joined the Board in September 2020.</w:t>
      </w:r>
    </w:p>
    <w:p>
      <w:pPr>
        <w:spacing w:after="0" w:line="18" w:lineRule="exact"/>
        <w:rPr>
          <w:rFonts w:ascii="Arial" w:cs="Arial" w:eastAsia="Arial" w:hAnsi="Arial"/>
          <w:sz w:val="17"/>
          <w:szCs w:val="17"/>
          <w:color w:val="auto"/>
        </w:rPr>
      </w:pPr>
    </w:p>
    <w:p>
      <w:pPr>
        <w:ind w:left="860" w:hanging="403"/>
        <w:spacing w:after="0"/>
        <w:tabs>
          <w:tab w:leader="none" w:pos="8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Earned for Mr. Hamood’s service on the Board and as chair of the Audit Committee in 2020, which was paid in January 2021.</w:t>
      </w:r>
    </w:p>
    <w:p>
      <w:pPr>
        <w:spacing w:after="0" w:line="7" w:lineRule="exact"/>
        <w:rPr>
          <w:rFonts w:ascii="Arial" w:cs="Arial" w:eastAsia="Arial" w:hAnsi="Arial"/>
          <w:sz w:val="17"/>
          <w:szCs w:val="17"/>
          <w:color w:val="auto"/>
        </w:rPr>
      </w:pPr>
    </w:p>
    <w:p>
      <w:pPr>
        <w:ind w:left="860" w:hanging="403"/>
        <w:spacing w:after="0"/>
        <w:tabs>
          <w:tab w:leader="none" w:pos="8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Mr. Hamood received a grant of 34,037 Class B Units on April 28, 2021 in consideration for his joining the Board.</w:t>
      </w:r>
    </w:p>
    <w:p>
      <w:pPr>
        <w:spacing w:after="0" w:line="13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800"/>
          </w:cols>
          <w:pgMar w:left="320" w:top="465" w:right="77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95"/>
        </w:trPr>
        <w:tc>
          <w:tcPr>
            <w:tcW w:w="1320" w:type="dxa"/>
            <w:vAlign w:val="bottom"/>
            <w:gridSpan w:val="2"/>
          </w:tcPr>
          <w:p>
            <w:pPr>
              <w:spacing w:after="0"/>
              <w:rPr>
                <w:rFonts w:ascii="Arial" w:cs="Arial" w:eastAsia="Arial" w:hAnsi="Arial"/>
                <w:sz w:val="17"/>
                <w:szCs w:val="17"/>
                <w:b w:val="1"/>
                <w:bCs w:val="1"/>
                <w:color w:val="0000EE"/>
                <w:w w:val="90"/>
              </w:rPr>
            </w:pPr>
            <w:hyperlink w:anchor="page3">
              <w:r>
                <w:rPr>
                  <w:rFonts w:ascii="Arial" w:cs="Arial" w:eastAsia="Arial" w:hAnsi="Arial"/>
                  <w:sz w:val="17"/>
                  <w:szCs w:val="17"/>
                  <w:b w:val="1"/>
                  <w:bCs w:val="1"/>
                  <w:color w:val="0000EE"/>
                  <w:w w:val="90"/>
                </w:rPr>
                <w:t>Table of Contents</w:t>
              </w:r>
            </w:hyperlink>
          </w:p>
        </w:tc>
        <w:tc>
          <w:tcPr>
            <w:tcW w:w="69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499"/>
        </w:trPr>
        <w:tc>
          <w:tcPr>
            <w:tcW w:w="1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tcPr>
          <w:p>
            <w:pPr>
              <w:ind w:left="3120"/>
              <w:spacing w:after="0"/>
              <w:rPr>
                <w:sz w:val="20"/>
                <w:szCs w:val="20"/>
                <w:color w:val="auto"/>
              </w:rPr>
            </w:pPr>
            <w:r>
              <w:rPr>
                <w:rFonts w:ascii="Arial" w:cs="Arial" w:eastAsia="Arial" w:hAnsi="Arial"/>
                <w:sz w:val="17"/>
                <w:szCs w:val="17"/>
                <w:b w:val="1"/>
                <w:bCs w:val="1"/>
                <w:color w:val="auto"/>
              </w:rPr>
              <w:t>PRINCIPAL STOCKHOLDERS</w:t>
            </w:r>
          </w:p>
        </w:tc>
        <w:tc>
          <w:tcPr>
            <w:tcW w:w="2100" w:type="dxa"/>
            <w:vAlign w:val="bottom"/>
          </w:tcPr>
          <w:p>
            <w:pPr>
              <w:spacing w:after="0"/>
              <w:rPr>
                <w:sz w:val="24"/>
                <w:szCs w:val="24"/>
                <w:color w:val="auto"/>
              </w:rPr>
            </w:pPr>
          </w:p>
        </w:tc>
      </w:tr>
      <w:tr>
        <w:trPr>
          <w:trHeight w:val="393"/>
        </w:trPr>
        <w:tc>
          <w:tcPr>
            <w:tcW w:w="8300" w:type="dxa"/>
            <w:vAlign w:val="bottom"/>
            <w:gridSpan w:val="3"/>
          </w:tcPr>
          <w:p>
            <w:pPr>
              <w:ind w:left="880"/>
              <w:spacing w:after="0"/>
              <w:rPr>
                <w:sz w:val="20"/>
                <w:szCs w:val="20"/>
                <w:color w:val="auto"/>
              </w:rPr>
            </w:pPr>
            <w:r>
              <w:rPr>
                <w:rFonts w:ascii="Arial" w:cs="Arial" w:eastAsia="Arial" w:hAnsi="Arial"/>
                <w:sz w:val="17"/>
                <w:szCs w:val="17"/>
                <w:color w:val="auto"/>
                <w:w w:val="95"/>
              </w:rPr>
              <w:t>The following table sets forth information regarding the beneficial ownership of our common stock as of</w:t>
            </w:r>
          </w:p>
        </w:tc>
        <w:tc>
          <w:tcPr>
            <w:tcW w:w="2100" w:type="dxa"/>
            <w:vAlign w:val="bottom"/>
          </w:tcPr>
          <w:p>
            <w:pPr>
              <w:ind w:left="360"/>
              <w:spacing w:after="0"/>
              <w:rPr>
                <w:sz w:val="20"/>
                <w:szCs w:val="20"/>
                <w:color w:val="auto"/>
              </w:rPr>
            </w:pPr>
            <w:r>
              <w:rPr>
                <w:rFonts w:ascii="Arial" w:cs="Arial" w:eastAsia="Arial" w:hAnsi="Arial"/>
                <w:sz w:val="17"/>
                <w:szCs w:val="17"/>
                <w:color w:val="auto"/>
                <w:w w:val="88"/>
              </w:rPr>
              <w:t>, 2021 as adjusted for this</w:t>
            </w:r>
          </w:p>
        </w:tc>
      </w:tr>
      <w:tr>
        <w:trPr>
          <w:trHeight w:val="214"/>
        </w:trPr>
        <w:tc>
          <w:tcPr>
            <w:tcW w:w="8300" w:type="dxa"/>
            <w:vAlign w:val="bottom"/>
            <w:gridSpan w:val="3"/>
          </w:tcPr>
          <w:p>
            <w:pPr>
              <w:ind w:left="460"/>
              <w:spacing w:after="0"/>
              <w:rPr>
                <w:sz w:val="20"/>
                <w:szCs w:val="20"/>
                <w:color w:val="auto"/>
              </w:rPr>
            </w:pPr>
            <w:r>
              <w:rPr>
                <w:rFonts w:ascii="Arial" w:cs="Arial" w:eastAsia="Arial" w:hAnsi="Arial"/>
                <w:sz w:val="17"/>
                <w:szCs w:val="17"/>
                <w:color w:val="auto"/>
              </w:rPr>
              <w:t>offering as described in “Use of Proceeds” by:</w:t>
            </w:r>
          </w:p>
        </w:tc>
        <w:tc>
          <w:tcPr>
            <w:tcW w:w="2100" w:type="dxa"/>
            <w:vAlign w:val="bottom"/>
          </w:tcPr>
          <w:p>
            <w:pPr>
              <w:spacing w:after="0"/>
              <w:rPr>
                <w:sz w:val="18"/>
                <w:szCs w:val="18"/>
                <w:color w:val="auto"/>
              </w:rPr>
            </w:pPr>
          </w:p>
        </w:tc>
      </w:tr>
      <w:tr>
        <w:trPr>
          <w:trHeight w:val="317"/>
        </w:trPr>
        <w:tc>
          <w:tcPr>
            <w:tcW w:w="13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6980" w:type="dxa"/>
            <w:vAlign w:val="bottom"/>
          </w:tcPr>
          <w:p>
            <w:pPr>
              <w:ind w:left="40"/>
              <w:spacing w:after="0"/>
              <w:rPr>
                <w:sz w:val="20"/>
                <w:szCs w:val="20"/>
                <w:color w:val="auto"/>
              </w:rPr>
            </w:pPr>
            <w:r>
              <w:rPr>
                <w:rFonts w:ascii="Arial" w:cs="Arial" w:eastAsia="Arial" w:hAnsi="Arial"/>
                <w:sz w:val="17"/>
                <w:szCs w:val="17"/>
                <w:color w:val="auto"/>
                <w:w w:val="98"/>
              </w:rPr>
              <w:t>each person or group whom we know to own beneficially more than 5% of our common stock;</w:t>
            </w:r>
          </w:p>
        </w:tc>
        <w:tc>
          <w:tcPr>
            <w:tcW w:w="2100" w:type="dxa"/>
            <w:vAlign w:val="bottom"/>
          </w:tcPr>
          <w:p>
            <w:pPr>
              <w:spacing w:after="0"/>
              <w:rPr>
                <w:sz w:val="24"/>
                <w:szCs w:val="24"/>
                <w:color w:val="auto"/>
              </w:rPr>
            </w:pPr>
          </w:p>
        </w:tc>
      </w:tr>
      <w:tr>
        <w:trPr>
          <w:trHeight w:val="317"/>
        </w:trPr>
        <w:tc>
          <w:tcPr>
            <w:tcW w:w="13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6980" w:type="dxa"/>
            <w:vAlign w:val="bottom"/>
          </w:tcPr>
          <w:p>
            <w:pPr>
              <w:ind w:left="40"/>
              <w:spacing w:after="0"/>
              <w:rPr>
                <w:sz w:val="20"/>
                <w:szCs w:val="20"/>
                <w:color w:val="auto"/>
              </w:rPr>
            </w:pPr>
            <w:r>
              <w:rPr>
                <w:rFonts w:ascii="Arial" w:cs="Arial" w:eastAsia="Arial" w:hAnsi="Arial"/>
                <w:sz w:val="17"/>
                <w:szCs w:val="17"/>
                <w:color w:val="auto"/>
              </w:rPr>
              <w:t>each of the directors and named executive officers individually; and</w:t>
            </w:r>
          </w:p>
        </w:tc>
        <w:tc>
          <w:tcPr>
            <w:tcW w:w="2100" w:type="dxa"/>
            <w:vAlign w:val="bottom"/>
          </w:tcPr>
          <w:p>
            <w:pPr>
              <w:spacing w:after="0"/>
              <w:rPr>
                <w:sz w:val="24"/>
                <w:szCs w:val="24"/>
                <w:color w:val="auto"/>
              </w:rPr>
            </w:pPr>
          </w:p>
        </w:tc>
      </w:tr>
      <w:tr>
        <w:trPr>
          <w:trHeight w:val="317"/>
        </w:trPr>
        <w:tc>
          <w:tcPr>
            <w:tcW w:w="13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6980" w:type="dxa"/>
            <w:vAlign w:val="bottom"/>
          </w:tcPr>
          <w:p>
            <w:pPr>
              <w:ind w:left="40"/>
              <w:spacing w:after="0"/>
              <w:rPr>
                <w:sz w:val="20"/>
                <w:szCs w:val="20"/>
                <w:color w:val="auto"/>
              </w:rPr>
            </w:pPr>
            <w:r>
              <w:rPr>
                <w:rFonts w:ascii="Arial" w:cs="Arial" w:eastAsia="Arial" w:hAnsi="Arial"/>
                <w:sz w:val="17"/>
                <w:szCs w:val="17"/>
                <w:color w:val="auto"/>
              </w:rPr>
              <w:t>all directors and executive officers as a group.</w:t>
            </w:r>
          </w:p>
        </w:tc>
        <w:tc>
          <w:tcPr>
            <w:tcW w:w="2100" w:type="dxa"/>
            <w:vAlign w:val="bottom"/>
          </w:tcPr>
          <w:p>
            <w:pPr>
              <w:spacing w:after="0"/>
              <w:rPr>
                <w:sz w:val="24"/>
                <w:szCs w:val="24"/>
                <w:color w:val="auto"/>
              </w:rPr>
            </w:pP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p>
    <w:p>
      <w:pPr>
        <w:ind w:left="460" w:firstLine="413"/>
        <w:spacing w:after="0" w:line="252" w:lineRule="auto"/>
        <w:rPr>
          <w:sz w:val="20"/>
          <w:szCs w:val="20"/>
          <w:color w:val="auto"/>
        </w:rPr>
      </w:pPr>
      <w:r>
        <w:rPr>
          <w:rFonts w:ascii="Arial" w:cs="Arial" w:eastAsia="Arial" w:hAnsi="Arial"/>
          <w:sz w:val="17"/>
          <w:szCs w:val="17"/>
          <w:color w:val="auto"/>
        </w:rPr>
        <w:t>The numbers of shares of common stock beneficially owned, percentages of beneficial ownership and percentages of combined voting power before this offering that are set forth below are based on the number of shares of Class A common stock and Class B common stock to be issued and outstanding prior to this offering. See “Prospectus Summary—Organizational Structure.” The numbers of shares of common stock beneficially owned, percentages of beneficial ownership and percentages of combined voting power after this offering that are set forth below are based on the number of shares of Class A common stock and Class B common stock to be issued and outstanding before this offering and immediately after this offering (after giving effect to the use of proceeds therefrom). See “Use of Proceeds.” Each Unitholder holds one share of Class B common stock for each LLC unit such Unitholder beneficially owns.</w:t>
      </w:r>
    </w:p>
    <w:p>
      <w:pPr>
        <w:spacing w:after="0" w:line="184" w:lineRule="exact"/>
        <w:rPr>
          <w:sz w:val="20"/>
          <w:szCs w:val="20"/>
          <w:color w:val="auto"/>
        </w:rPr>
      </w:pPr>
    </w:p>
    <w:p>
      <w:pPr>
        <w:ind w:left="460" w:right="180" w:firstLine="413"/>
        <w:spacing w:after="0" w:line="253" w:lineRule="auto"/>
        <w:rPr>
          <w:sz w:val="20"/>
          <w:szCs w:val="20"/>
          <w:color w:val="auto"/>
        </w:rPr>
      </w:pPr>
      <w:r>
        <w:rPr>
          <w:rFonts w:ascii="Arial" w:cs="Arial" w:eastAsia="Arial" w:hAnsi="Arial"/>
          <w:sz w:val="17"/>
          <w:szCs w:val="17"/>
          <w:color w:val="auto"/>
        </w:rPr>
        <w:t>In accordance with the rules of the SEC, beneficial ownership includes voting or investment power with respect to securities. The number of shares of Class A common stock outstanding after this offering includes shares of common stock being offered for sale by us in this offering and the shares of Class A common stock owned by existing holders.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640"/>
          </w:cols>
          <w:pgMar w:left="320" w:top="451" w:right="9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0"/>
              </w:rPr>
              <w:t>Shares of Class A</w:t>
            </w:r>
          </w:p>
        </w:tc>
        <w:tc>
          <w:tcPr>
            <w:tcW w:w="168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90"/>
              </w:rPr>
              <w:t>Shares of Class A</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Shares of Class B</w:t>
            </w: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Shares of Class B</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common stock</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4"/>
              </w:rPr>
              <w:t>Class A Units in</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common stock</w:t>
            </w: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89"/>
              </w:rPr>
              <w:t>common stock</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240"/>
              <w:spacing w:after="0" w:line="139" w:lineRule="exact"/>
              <w:rPr>
                <w:sz w:val="20"/>
                <w:szCs w:val="20"/>
                <w:color w:val="auto"/>
              </w:rPr>
            </w:pPr>
            <w:r>
              <w:rPr>
                <w:rFonts w:ascii="Arial" w:cs="Arial" w:eastAsia="Arial" w:hAnsi="Arial"/>
                <w:sz w:val="13"/>
                <w:szCs w:val="13"/>
                <w:b w:val="1"/>
                <w:bCs w:val="1"/>
                <w:color w:val="auto"/>
                <w:w w:val="93"/>
              </w:rPr>
              <w:t>beneficially owned after</w:t>
            </w:r>
          </w:p>
        </w:tc>
        <w:tc>
          <w:tcPr>
            <w:tcW w:w="1260" w:type="dxa"/>
            <w:vAlign w:val="bottom"/>
            <w:gridSpan w:val="2"/>
          </w:tcPr>
          <w:p>
            <w:pPr>
              <w:jc w:val="right"/>
              <w:ind w:right="53"/>
              <w:spacing w:after="0" w:line="139" w:lineRule="exact"/>
              <w:rPr>
                <w:sz w:val="20"/>
                <w:szCs w:val="20"/>
                <w:color w:val="auto"/>
              </w:rPr>
            </w:pPr>
            <w:r>
              <w:rPr>
                <w:rFonts w:ascii="Arial" w:cs="Arial" w:eastAsia="Arial" w:hAnsi="Arial"/>
                <w:sz w:val="13"/>
                <w:szCs w:val="13"/>
                <w:b w:val="1"/>
                <w:bCs w:val="1"/>
                <w:color w:val="auto"/>
              </w:rPr>
              <w:t>common stock</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66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beneficially owned after</w:t>
            </w: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beneficially owned after</w:t>
            </w:r>
          </w:p>
        </w:tc>
        <w:tc>
          <w:tcPr>
            <w:tcW w:w="16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6"/>
              </w:rPr>
              <w:t>Units in</w:t>
            </w:r>
          </w:p>
        </w:tc>
        <w:tc>
          <w:tcPr>
            <w:tcW w:w="1660" w:type="dxa"/>
            <w:vAlign w:val="bottom"/>
            <w:gridSpan w:val="3"/>
          </w:tcPr>
          <w:p>
            <w:pPr>
              <w:jc w:val="center"/>
              <w:ind w:right="240"/>
              <w:spacing w:after="0" w:line="139" w:lineRule="exact"/>
              <w:rPr>
                <w:sz w:val="20"/>
                <w:szCs w:val="20"/>
                <w:color w:val="auto"/>
              </w:rPr>
            </w:pPr>
            <w:r>
              <w:rPr>
                <w:rFonts w:ascii="Arial" w:cs="Arial" w:eastAsia="Arial" w:hAnsi="Arial"/>
                <w:sz w:val="13"/>
                <w:szCs w:val="13"/>
                <w:b w:val="1"/>
                <w:bCs w:val="1"/>
                <w:color w:val="auto"/>
                <w:w w:val="93"/>
              </w:rPr>
              <w:t>this offering</w:t>
            </w:r>
          </w:p>
        </w:tc>
        <w:tc>
          <w:tcPr>
            <w:tcW w:w="12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94"/>
              </w:rPr>
              <w:t>beneficially owned af</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6"/>
              </w:rPr>
              <w:t>Definitive OpCo</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this offering (assuming</w:t>
            </w:r>
          </w:p>
        </w:tc>
        <w:tc>
          <w:tcPr>
            <w:tcW w:w="168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1"/>
              </w:rPr>
              <w:t>this offering (assuming</w:t>
            </w:r>
          </w:p>
        </w:tc>
        <w:tc>
          <w:tcPr>
            <w:tcW w:w="1680" w:type="dxa"/>
            <w:vAlign w:val="bottom"/>
            <w:gridSpan w:val="3"/>
            <w:vMerge w:val="continue"/>
          </w:tcPr>
          <w:p>
            <w:pPr>
              <w:spacing w:after="0"/>
              <w:rPr>
                <w:sz w:val="12"/>
                <w:szCs w:val="12"/>
                <w:color w:val="auto"/>
              </w:rPr>
            </w:pP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88"/>
              </w:rPr>
              <w:t>(assuming no exercise</w:t>
            </w:r>
          </w:p>
        </w:tc>
        <w:tc>
          <w:tcPr>
            <w:tcW w:w="12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95"/>
              </w:rPr>
              <w:t>this offering (assumi</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beneficially</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0"/>
              </w:rPr>
              <w:t>no exercise of the option</w:t>
            </w:r>
          </w:p>
        </w:tc>
        <w:tc>
          <w:tcPr>
            <w:tcW w:w="168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1"/>
              </w:rPr>
              <w:t>full exercise of the</w:t>
            </w: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6"/>
              </w:rPr>
              <w:t>Definitive OpCo</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of the option</w:t>
            </w:r>
          </w:p>
        </w:tc>
        <w:tc>
          <w:tcPr>
            <w:tcW w:w="12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full exercise of the</w:t>
            </w: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owned before</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to purchase</w:t>
            </w:r>
          </w:p>
        </w:tc>
        <w:tc>
          <w:tcPr>
            <w:tcW w:w="168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2"/>
              </w:rPr>
              <w:t>option to purchase</w:t>
            </w:r>
          </w:p>
        </w:tc>
        <w:tc>
          <w:tcPr>
            <w:tcW w:w="168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1"/>
              </w:rPr>
              <w:t>beneficially owned</w:t>
            </w:r>
          </w:p>
        </w:tc>
        <w:tc>
          <w:tcPr>
            <w:tcW w:w="166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to purchase</w:t>
            </w:r>
          </w:p>
        </w:tc>
        <w:tc>
          <w:tcPr>
            <w:tcW w:w="12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option to purchase</w:t>
            </w:r>
          </w:p>
        </w:tc>
        <w:tc>
          <w:tcPr>
            <w:tcW w:w="0" w:type="dxa"/>
            <w:vAlign w:val="bottom"/>
          </w:tcPr>
          <w:p>
            <w:pPr>
              <w:spacing w:after="0"/>
              <w:rPr>
                <w:sz w:val="1"/>
                <w:szCs w:val="1"/>
                <w:color w:val="auto"/>
              </w:rPr>
            </w:pPr>
          </w:p>
        </w:tc>
      </w:tr>
      <w:tr>
        <w:trPr>
          <w:trHeight w:val="160"/>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w w:val="91"/>
              </w:rPr>
              <w:t>Name and address of</w:t>
            </w:r>
          </w:p>
        </w:tc>
        <w:tc>
          <w:tcPr>
            <w:tcW w:w="40" w:type="dxa"/>
            <w:vAlign w:val="bottom"/>
          </w:tcPr>
          <w:p>
            <w:pPr>
              <w:spacing w:after="0"/>
              <w:rPr>
                <w:sz w:val="13"/>
                <w:szCs w:val="13"/>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this offering</w:t>
            </w:r>
          </w:p>
        </w:tc>
        <w:tc>
          <w:tcPr>
            <w:tcW w:w="16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additional shares)</w:t>
            </w:r>
          </w:p>
        </w:tc>
        <w:tc>
          <w:tcPr>
            <w:tcW w:w="16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1"/>
              </w:rPr>
              <w:t>additional shares)</w:t>
            </w:r>
          </w:p>
        </w:tc>
        <w:tc>
          <w:tcPr>
            <w:tcW w:w="16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before this offering</w:t>
            </w:r>
          </w:p>
        </w:tc>
        <w:tc>
          <w:tcPr>
            <w:tcW w:w="16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additional shares</w:t>
            </w:r>
          </w:p>
        </w:tc>
        <w:tc>
          <w:tcPr>
            <w:tcW w:w="1260" w:type="dxa"/>
            <w:vAlign w:val="bottom"/>
            <w:gridSpan w:val="2"/>
          </w:tcPr>
          <w:p>
            <w:pPr>
              <w:jc w:val="right"/>
              <w:spacing w:after="0"/>
              <w:rPr>
                <w:sz w:val="20"/>
                <w:szCs w:val="20"/>
                <w:color w:val="auto"/>
              </w:rPr>
            </w:pPr>
            <w:r>
              <w:rPr>
                <w:rFonts w:ascii="Arial" w:cs="Arial" w:eastAsia="Arial" w:hAnsi="Arial"/>
                <w:sz w:val="13"/>
                <w:szCs w:val="13"/>
                <w:b w:val="1"/>
                <w:bCs w:val="1"/>
                <w:color w:val="auto"/>
              </w:rPr>
              <w:t>additional shares)</w:t>
            </w:r>
          </w:p>
        </w:tc>
        <w:tc>
          <w:tcPr>
            <w:tcW w:w="0" w:type="dxa"/>
            <w:vAlign w:val="bottom"/>
          </w:tcPr>
          <w:p>
            <w:pPr>
              <w:spacing w:after="0"/>
              <w:rPr>
                <w:sz w:val="1"/>
                <w:szCs w:val="1"/>
                <w:color w:val="auto"/>
              </w:rPr>
            </w:pPr>
          </w:p>
        </w:tc>
      </w:tr>
      <w:tr>
        <w:trPr>
          <w:trHeight w:val="119"/>
        </w:trPr>
        <w:tc>
          <w:tcPr>
            <w:tcW w:w="12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Number of</w:t>
            </w:r>
          </w:p>
        </w:tc>
        <w:tc>
          <w:tcPr>
            <w:tcW w:w="720" w:type="dxa"/>
            <w:vAlign w:val="bottom"/>
            <w:tcBorders>
              <w:top w:val="single" w:sz="8" w:color="auto"/>
            </w:tcBorders>
          </w:tcPr>
          <w:p>
            <w:pPr>
              <w:jc w:val="center"/>
              <w:ind w:left="13"/>
              <w:spacing w:after="0" w:line="119" w:lineRule="exact"/>
              <w:rPr>
                <w:sz w:val="20"/>
                <w:szCs w:val="20"/>
                <w:color w:val="auto"/>
              </w:rPr>
            </w:pPr>
            <w:r>
              <w:rPr>
                <w:rFonts w:ascii="Arial" w:cs="Arial" w:eastAsia="Arial" w:hAnsi="Arial"/>
                <w:sz w:val="13"/>
                <w:szCs w:val="13"/>
                <w:b w:val="1"/>
                <w:bCs w:val="1"/>
                <w:color w:val="auto"/>
                <w:w w:val="91"/>
              </w:rPr>
              <w:t>Percentage</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Number of</w:t>
            </w: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88"/>
              </w:rPr>
              <w:t>Percentage</w:t>
            </w:r>
          </w:p>
        </w:tc>
        <w:tc>
          <w:tcPr>
            <w:tcW w:w="20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Number of</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1"/>
              </w:rPr>
              <w:t>Percentage</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Number of</w:t>
            </w: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88"/>
              </w:rPr>
              <w:t>Percentage</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Number of</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1"/>
              </w:rPr>
              <w:t>Percentage</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Number of</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39"/>
        </w:trPr>
        <w:tc>
          <w:tcPr>
            <w:tcW w:w="1220" w:type="dxa"/>
            <w:vAlign w:val="bottom"/>
            <w:tcBorders>
              <w:bottom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beneficial owner</w:t>
            </w:r>
          </w:p>
        </w:tc>
        <w:tc>
          <w:tcPr>
            <w:tcW w:w="40" w:type="dxa"/>
            <w:vAlign w:val="bottom"/>
          </w:tcPr>
          <w:p>
            <w:pPr>
              <w:spacing w:after="0"/>
              <w:rPr>
                <w:sz w:val="12"/>
                <w:szCs w:val="12"/>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5"/>
              </w:rPr>
              <w:t>shares</w:t>
            </w:r>
          </w:p>
        </w:tc>
        <w:tc>
          <w:tcPr>
            <w:tcW w:w="9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89"/>
              </w:rPr>
              <w:t>of shares</w:t>
            </w: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5"/>
              </w:rPr>
              <w:t>shares</w:t>
            </w: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86"/>
              </w:rPr>
              <w:t>of shares</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shares</w:t>
            </w:r>
          </w:p>
        </w:tc>
        <w:tc>
          <w:tcPr>
            <w:tcW w:w="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89"/>
              </w:rPr>
              <w:t>of shares</w:t>
            </w: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5"/>
              </w:rPr>
              <w:t>shares</w:t>
            </w:r>
          </w:p>
        </w:tc>
        <w:tc>
          <w:tcPr>
            <w:tcW w:w="9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86"/>
              </w:rPr>
              <w:t>of shares</w:t>
            </w: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shares</w:t>
            </w:r>
          </w:p>
        </w:tc>
        <w:tc>
          <w:tcPr>
            <w:tcW w:w="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89"/>
              </w:rPr>
              <w:t>of shares</w:t>
            </w: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5"/>
              </w:rPr>
              <w:t>shares</w:t>
            </w:r>
          </w:p>
        </w:tc>
        <w:tc>
          <w:tcPr>
            <w:tcW w:w="5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of shar</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b w:val="1"/>
          <w:bCs w:val="1"/>
          <w:u w:val="single" w:color="auto"/>
          <w:color w:val="auto"/>
        </w:rPr>
        <w:t>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-100965</wp:posOffset>
            </wp:positionV>
            <wp:extent cx="69107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10705" cy="128905"/>
                    </a:xfrm>
                    <a:prstGeom prst="rect">
                      <a:avLst/>
                    </a:prstGeom>
                    <a:noFill/>
                  </pic:spPr>
                </pic:pic>
              </a:graphicData>
            </a:graphic>
          </wp:anchor>
        </w:drawing>
      </w:r>
    </w:p>
    <w:p>
      <w:pPr>
        <w:sectPr>
          <w:pgSz w:w="11900" w:h="16838" w:orient="portrait"/>
          <w:cols w:equalWidth="0" w:num="1">
            <w:col w:w="11340"/>
          </w:cols>
          <w:pgMar w:left="320" w:top="466" w:right="239" w:bottom="1440" w:gutter="0" w:footer="0" w:header="0"/>
        </w:sectPr>
      </w:pP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w w:val="96"/>
              </w:rPr>
              <w:t>Funds managed by</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Advent</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International</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Corporation (1)</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w w:val="93"/>
              </w:rPr>
              <w:t>64,596,549</w:t>
            </w:r>
          </w:p>
        </w:tc>
        <w:tc>
          <w:tcPr>
            <w:tcW w:w="680" w:type="dxa"/>
            <w:vAlign w:val="bottom"/>
          </w:tcPr>
          <w:p>
            <w:pPr>
              <w:jc w:val="right"/>
              <w:spacing w:after="0"/>
              <w:rPr>
                <w:sz w:val="20"/>
                <w:szCs w:val="20"/>
                <w:color w:val="auto"/>
              </w:rPr>
            </w:pPr>
            <w:r>
              <w:rPr>
                <w:rFonts w:ascii="Arial" w:cs="Arial" w:eastAsia="Arial" w:hAnsi="Arial"/>
                <w:sz w:val="15"/>
                <w:szCs w:val="15"/>
                <w:color w:val="auto"/>
              </w:rPr>
              <w:t>73.2%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62,493,676</w:t>
            </w:r>
          </w:p>
        </w:tc>
        <w:tc>
          <w:tcPr>
            <w:tcW w:w="680" w:type="dxa"/>
            <w:vAlign w:val="bottom"/>
          </w:tcPr>
          <w:p>
            <w:pPr>
              <w:jc w:val="right"/>
              <w:spacing w:after="0"/>
              <w:rPr>
                <w:sz w:val="20"/>
                <w:szCs w:val="20"/>
                <w:color w:val="auto"/>
              </w:rPr>
            </w:pPr>
            <w:r>
              <w:rPr>
                <w:rFonts w:ascii="Arial" w:cs="Arial" w:eastAsia="Arial" w:hAnsi="Arial"/>
                <w:sz w:val="15"/>
                <w:szCs w:val="15"/>
                <w:color w:val="auto"/>
              </w:rPr>
              <w:t>64.4%</w:t>
            </w:r>
          </w:p>
        </w:tc>
        <w:tc>
          <w:tcPr>
            <w:tcW w:w="740" w:type="dxa"/>
            <w:vAlign w:val="bottom"/>
          </w:tcPr>
          <w:p>
            <w:pPr>
              <w:jc w:val="right"/>
              <w:spacing w:after="0"/>
              <w:rPr>
                <w:sz w:val="20"/>
                <w:szCs w:val="20"/>
                <w:color w:val="auto"/>
              </w:rPr>
            </w:pPr>
            <w:r>
              <w:rPr>
                <w:rFonts w:ascii="Arial" w:cs="Arial" w:eastAsia="Arial" w:hAnsi="Arial"/>
                <w:sz w:val="15"/>
                <w:szCs w:val="15"/>
                <w:color w:val="auto"/>
                <w:w w:val="95"/>
              </w:rPr>
              <w:t>61,626,240</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Affiliates of</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w w:val="99"/>
              </w:rPr>
              <w:t>Spectrum Equity</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720" w:type="dxa"/>
            <w:vAlign w:val="bottom"/>
            <w:gridSpan w:val="2"/>
          </w:tcPr>
          <w:p>
            <w:pPr>
              <w:ind w:left="140"/>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2,885,876</w:t>
            </w:r>
          </w:p>
        </w:tc>
        <w:tc>
          <w:tcPr>
            <w:tcW w:w="680" w:type="dxa"/>
            <w:vAlign w:val="bottom"/>
          </w:tcPr>
          <w:p>
            <w:pPr>
              <w:jc w:val="right"/>
              <w:spacing w:after="0"/>
              <w:rPr>
                <w:sz w:val="20"/>
                <w:szCs w:val="20"/>
                <w:color w:val="auto"/>
              </w:rPr>
            </w:pPr>
            <w:r>
              <w:rPr>
                <w:rFonts w:ascii="Arial" w:cs="Arial" w:eastAsia="Arial" w:hAnsi="Arial"/>
                <w:sz w:val="15"/>
                <w:szCs w:val="15"/>
                <w:color w:val="auto"/>
              </w:rPr>
              <w:t>3.3%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2,791,929</w:t>
            </w:r>
          </w:p>
        </w:tc>
        <w:tc>
          <w:tcPr>
            <w:tcW w:w="680" w:type="dxa"/>
            <w:vAlign w:val="bottom"/>
          </w:tcPr>
          <w:p>
            <w:pPr>
              <w:jc w:val="right"/>
              <w:spacing w:after="0"/>
              <w:rPr>
                <w:sz w:val="20"/>
                <w:szCs w:val="20"/>
                <w:color w:val="auto"/>
              </w:rPr>
            </w:pPr>
            <w:r>
              <w:rPr>
                <w:rFonts w:ascii="Arial" w:cs="Arial" w:eastAsia="Arial" w:hAnsi="Arial"/>
                <w:sz w:val="15"/>
                <w:szCs w:val="15"/>
                <w:color w:val="auto"/>
              </w:rPr>
              <w:t>2.9%</w:t>
            </w:r>
          </w:p>
        </w:tc>
        <w:tc>
          <w:tcPr>
            <w:tcW w:w="740" w:type="dxa"/>
            <w:vAlign w:val="bottom"/>
          </w:tcPr>
          <w:p>
            <w:pPr>
              <w:jc w:val="right"/>
              <w:spacing w:after="0"/>
              <w:rPr>
                <w:sz w:val="20"/>
                <w:szCs w:val="20"/>
                <w:color w:val="auto"/>
              </w:rPr>
            </w:pPr>
            <w:r>
              <w:rPr>
                <w:rFonts w:ascii="Arial" w:cs="Arial" w:eastAsia="Arial" w:hAnsi="Arial"/>
                <w:sz w:val="15"/>
                <w:szCs w:val="15"/>
                <w:color w:val="auto"/>
              </w:rPr>
              <w:t>2,753,176</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Jason Krantz (3)</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w w:val="97"/>
              </w:rPr>
              <w:t>AIDH Management</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Holdings, LLC</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2,353,564</w:t>
            </w:r>
          </w:p>
        </w:tc>
        <w:tc>
          <w:tcPr>
            <w:tcW w:w="680" w:type="dxa"/>
            <w:vAlign w:val="bottom"/>
          </w:tcPr>
          <w:p>
            <w:pPr>
              <w:jc w:val="right"/>
              <w:spacing w:after="0"/>
              <w:rPr>
                <w:sz w:val="20"/>
                <w:szCs w:val="20"/>
                <w:color w:val="auto"/>
              </w:rPr>
            </w:pPr>
            <w:r>
              <w:rPr>
                <w:rFonts w:ascii="Arial" w:cs="Arial" w:eastAsia="Arial" w:hAnsi="Arial"/>
                <w:sz w:val="15"/>
                <w:szCs w:val="15"/>
                <w:color w:val="auto"/>
              </w:rPr>
              <w:t>2.7%</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2,334,675</w:t>
            </w:r>
          </w:p>
        </w:tc>
        <w:tc>
          <w:tcPr>
            <w:tcW w:w="680" w:type="dxa"/>
            <w:vAlign w:val="bottom"/>
          </w:tcPr>
          <w:p>
            <w:pPr>
              <w:jc w:val="right"/>
              <w:spacing w:after="0"/>
              <w:rPr>
                <w:sz w:val="20"/>
                <w:szCs w:val="20"/>
                <w:color w:val="auto"/>
              </w:rPr>
            </w:pPr>
            <w:r>
              <w:rPr>
                <w:rFonts w:ascii="Arial" w:cs="Arial" w:eastAsia="Arial" w:hAnsi="Arial"/>
                <w:sz w:val="15"/>
                <w:szCs w:val="15"/>
                <w:color w:val="auto"/>
              </w:rPr>
              <w:t>2.4%</w:t>
            </w:r>
          </w:p>
        </w:tc>
        <w:tc>
          <w:tcPr>
            <w:tcW w:w="740" w:type="dxa"/>
            <w:vAlign w:val="bottom"/>
          </w:tcPr>
          <w:p>
            <w:pPr>
              <w:jc w:val="right"/>
              <w:spacing w:after="0"/>
              <w:rPr>
                <w:sz w:val="20"/>
                <w:szCs w:val="20"/>
                <w:color w:val="auto"/>
              </w:rPr>
            </w:pPr>
            <w:r>
              <w:rPr>
                <w:rFonts w:ascii="Arial" w:cs="Arial" w:eastAsia="Arial" w:hAnsi="Arial"/>
                <w:sz w:val="15"/>
                <w:szCs w:val="15"/>
                <w:color w:val="auto"/>
              </w:rPr>
              <w:t>2,326,883</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Affiliates of 22C</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Capital (4)</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538,456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520,927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513,696</w:t>
            </w:r>
          </w:p>
        </w:tc>
      </w:tr>
      <w:tr>
        <w:trPr>
          <w:trHeight w:val="260"/>
        </w:trPr>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88"/>
              </w:rPr>
              <w:t>Named executive</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170"/>
        </w:trPr>
        <w:tc>
          <w:tcPr>
            <w:tcW w:w="140" w:type="dxa"/>
            <w:vAlign w:val="bottom"/>
          </w:tcPr>
          <w:p>
            <w:pPr>
              <w:spacing w:after="0"/>
              <w:rPr>
                <w:sz w:val="14"/>
                <w:szCs w:val="14"/>
                <w:color w:val="auto"/>
              </w:rPr>
            </w:pPr>
          </w:p>
        </w:tc>
        <w:tc>
          <w:tcPr>
            <w:tcW w:w="78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5"/>
                <w:szCs w:val="15"/>
                <w:b w:val="1"/>
                <w:bCs w:val="1"/>
                <w:color w:val="auto"/>
                <w:w w:val="89"/>
              </w:rPr>
              <w:t>officers and</w:t>
            </w:r>
          </w:p>
        </w:tc>
        <w:tc>
          <w:tcPr>
            <w:tcW w:w="3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140" w:type="dxa"/>
            <w:vAlign w:val="bottom"/>
          </w:tcPr>
          <w:p>
            <w:pPr>
              <w:spacing w:after="0"/>
              <w:rPr>
                <w:sz w:val="14"/>
                <w:szCs w:val="14"/>
                <w:color w:val="auto"/>
              </w:rPr>
            </w:pPr>
          </w:p>
        </w:tc>
        <w:tc>
          <w:tcPr>
            <w:tcW w:w="1120" w:type="dxa"/>
            <w:vAlign w:val="bottom"/>
            <w:gridSpan w:val="4"/>
          </w:tcPr>
          <w:p>
            <w:pPr>
              <w:spacing w:after="0" w:line="170" w:lineRule="exact"/>
              <w:rPr>
                <w:sz w:val="20"/>
                <w:szCs w:val="20"/>
                <w:color w:val="auto"/>
              </w:rPr>
            </w:pPr>
            <w:r>
              <w:rPr>
                <w:rFonts w:ascii="Arial" w:cs="Arial" w:eastAsia="Arial" w:hAnsi="Arial"/>
                <w:sz w:val="15"/>
                <w:szCs w:val="15"/>
                <w:b w:val="1"/>
                <w:bCs w:val="1"/>
                <w:color w:val="auto"/>
              </w:rPr>
              <w:t>directors</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0"/>
        </w:trPr>
        <w:tc>
          <w:tcPr>
            <w:tcW w:w="1260" w:type="dxa"/>
            <w:vAlign w:val="bottom"/>
            <w:gridSpan w:val="5"/>
          </w:tcPr>
          <w:p>
            <w:pPr>
              <w:spacing w:after="0"/>
              <w:rPr>
                <w:sz w:val="20"/>
                <w:szCs w:val="20"/>
                <w:color w:val="auto"/>
              </w:rPr>
            </w:pPr>
            <w:r>
              <w:rPr>
                <w:rFonts w:ascii="Arial" w:cs="Arial" w:eastAsia="Arial" w:hAnsi="Arial"/>
                <w:sz w:val="15"/>
                <w:szCs w:val="15"/>
                <w:color w:val="auto"/>
              </w:rPr>
              <w:t>Jason Krantz (3)</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Richard Booth</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David Samuels</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Joseph Mirisola</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Kate Shamsuddin</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Chris Mitchell (2)</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720" w:type="dxa"/>
            <w:vAlign w:val="bottom"/>
            <w:gridSpan w:val="2"/>
          </w:tcPr>
          <w:p>
            <w:pPr>
              <w:ind w:left="140"/>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Jeff Haywood</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Lauren Young (6)</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Chris Egan (6)</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Randall Winn (7)</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538,456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520,927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513,696</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w w:val="95"/>
              </w:rPr>
              <w:t>Samuel A. Hamood</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Jill Larsen</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Robert</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Musslewhite (8)</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1260" w:type="dxa"/>
            <w:vAlign w:val="bottom"/>
            <w:gridSpan w:val="5"/>
          </w:tcPr>
          <w:p>
            <w:pPr>
              <w:spacing w:after="0"/>
              <w:rPr>
                <w:sz w:val="20"/>
                <w:szCs w:val="20"/>
                <w:color w:val="auto"/>
              </w:rPr>
            </w:pPr>
            <w:r>
              <w:rPr>
                <w:rFonts w:ascii="Arial" w:cs="Arial" w:eastAsia="Arial" w:hAnsi="Arial"/>
                <w:sz w:val="15"/>
                <w:szCs w:val="15"/>
                <w:color w:val="auto"/>
              </w:rPr>
              <w:t>Kathleen A.</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color w:val="auto"/>
              </w:rPr>
              <w:t>Winters (9)</w:t>
            </w:r>
          </w:p>
        </w:tc>
        <w:tc>
          <w:tcPr>
            <w:tcW w:w="96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86"/>
        </w:trPr>
        <w:tc>
          <w:tcPr>
            <w:tcW w:w="1260" w:type="dxa"/>
            <w:vAlign w:val="bottom"/>
            <w:gridSpan w:val="5"/>
          </w:tcPr>
          <w:p>
            <w:pPr>
              <w:spacing w:after="0"/>
              <w:rPr>
                <w:sz w:val="20"/>
                <w:szCs w:val="20"/>
                <w:color w:val="auto"/>
              </w:rPr>
            </w:pPr>
            <w:r>
              <w:rPr>
                <w:rFonts w:ascii="Arial" w:cs="Arial" w:eastAsia="Arial" w:hAnsi="Arial"/>
                <w:sz w:val="15"/>
                <w:szCs w:val="15"/>
                <w:b w:val="1"/>
                <w:bCs w:val="1"/>
                <w:color w:val="auto"/>
              </w:rPr>
              <w:t>All directors and</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b w:val="1"/>
                <w:bCs w:val="1"/>
                <w:color w:val="auto"/>
              </w:rPr>
              <w:t>executive</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b w:val="1"/>
                <w:bCs w:val="1"/>
                <w:color w:val="auto"/>
              </w:rPr>
              <w:t>officers as a</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b w:val="1"/>
                <w:bCs w:val="1"/>
                <w:color w:val="auto"/>
              </w:rPr>
              <w:t>group (14</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1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5"/>
                <w:szCs w:val="15"/>
                <w:b w:val="1"/>
                <w:bCs w:val="1"/>
                <w:color w:val="auto"/>
              </w:rPr>
              <w:t>persons)</w:t>
            </w:r>
          </w:p>
        </w:tc>
        <w:tc>
          <w:tcPr>
            <w:tcW w:w="960" w:type="dxa"/>
            <w:vAlign w:val="bottom"/>
          </w:tcPr>
          <w:p>
            <w:pPr>
              <w:jc w:val="right"/>
              <w:ind w:right="164"/>
              <w:spacing w:after="0"/>
              <w:rPr>
                <w:sz w:val="20"/>
                <w:szCs w:val="20"/>
                <w:color w:val="auto"/>
              </w:rPr>
            </w:pPr>
            <w:r>
              <w:rPr>
                <w:rFonts w:ascii="Arial" w:cs="Arial" w:eastAsia="Arial" w:hAnsi="Arial"/>
                <w:sz w:val="15"/>
                <w:szCs w:val="15"/>
                <w:color w:val="auto"/>
              </w:rPr>
              <w:t>538,456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520,927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513,696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-4104640</wp:posOffset>
            </wp:positionV>
            <wp:extent cx="6910705" cy="3619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10705" cy="3619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-3622040</wp:posOffset>
            </wp:positionV>
            <wp:extent cx="6910705" cy="2413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10705" cy="24130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-3075305</wp:posOffset>
            </wp:positionV>
            <wp:extent cx="6910705" cy="3619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10705" cy="3619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-2592705</wp:posOffset>
            </wp:positionV>
            <wp:extent cx="6910705" cy="1206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10705" cy="1206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-2351405</wp:posOffset>
            </wp:positionV>
            <wp:extent cx="6910705" cy="1206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10705" cy="1206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-2110105</wp:posOffset>
            </wp:positionV>
            <wp:extent cx="6910705" cy="2413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10705" cy="24130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-1748155</wp:posOffset>
            </wp:positionV>
            <wp:extent cx="6910705" cy="1206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10705" cy="1206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-1506855</wp:posOffset>
            </wp:positionV>
            <wp:extent cx="6910705" cy="1206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10705" cy="1206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-1265555</wp:posOffset>
            </wp:positionV>
            <wp:extent cx="6910705" cy="1206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10705" cy="12065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-903605</wp:posOffset>
            </wp:positionV>
            <wp:extent cx="6910705" cy="2413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10705" cy="24130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84455</wp:posOffset>
            </wp:positionV>
            <wp:extent cx="7239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Pr>
          <w:p>
            <w:pPr>
              <w:jc w:val="right"/>
              <w:ind w:right="4"/>
              <w:spacing w:after="0"/>
              <w:rPr>
                <w:sz w:val="20"/>
                <w:szCs w:val="20"/>
                <w:color w:val="auto"/>
              </w:rPr>
            </w:pPr>
            <w:r>
              <w:rPr>
                <w:rFonts w:ascii="Arial" w:cs="Arial" w:eastAsia="Arial" w:hAnsi="Arial"/>
                <w:sz w:val="15"/>
                <w:szCs w:val="15"/>
                <w:color w:val="auto"/>
                <w:w w:val="84"/>
              </w:rPr>
              <w:t>63.0%</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568"/>
        </w:trPr>
        <w:tc>
          <w:tcPr>
            <w:tcW w:w="460" w:type="dxa"/>
            <w:vAlign w:val="bottom"/>
          </w:tcPr>
          <w:p>
            <w:pPr>
              <w:jc w:val="right"/>
              <w:ind w:right="4"/>
              <w:spacing w:after="0"/>
              <w:rPr>
                <w:sz w:val="20"/>
                <w:szCs w:val="20"/>
                <w:color w:val="auto"/>
              </w:rPr>
            </w:pPr>
            <w:r>
              <w:rPr>
                <w:rFonts w:ascii="Arial" w:cs="Arial" w:eastAsia="Arial" w:hAnsi="Arial"/>
                <w:sz w:val="15"/>
                <w:szCs w:val="15"/>
                <w:color w:val="auto"/>
              </w:rPr>
              <w:t>2.8%</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27,710,989</w:t>
            </w:r>
          </w:p>
        </w:tc>
        <w:tc>
          <w:tcPr>
            <w:tcW w:w="680" w:type="dxa"/>
            <w:vAlign w:val="bottom"/>
          </w:tcPr>
          <w:p>
            <w:pPr>
              <w:jc w:val="right"/>
              <w:spacing w:after="0"/>
              <w:rPr>
                <w:sz w:val="20"/>
                <w:szCs w:val="20"/>
                <w:color w:val="auto"/>
              </w:rPr>
            </w:pPr>
            <w:r>
              <w:rPr>
                <w:rFonts w:ascii="Arial" w:cs="Arial" w:eastAsia="Arial" w:hAnsi="Arial"/>
                <w:sz w:val="15"/>
                <w:szCs w:val="15"/>
                <w:color w:val="auto"/>
              </w:rPr>
              <w:t>46.1%</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w w:val="98"/>
              </w:rPr>
              <w:t>26,808,886</w:t>
            </w:r>
          </w:p>
        </w:tc>
        <w:tc>
          <w:tcPr>
            <w:tcW w:w="700" w:type="dxa"/>
            <w:vAlign w:val="bottom"/>
          </w:tcPr>
          <w:p>
            <w:pPr>
              <w:jc w:val="right"/>
              <w:spacing w:after="0"/>
              <w:rPr>
                <w:sz w:val="20"/>
                <w:szCs w:val="20"/>
                <w:color w:val="auto"/>
              </w:rPr>
            </w:pPr>
            <w:r>
              <w:rPr>
                <w:rFonts w:ascii="Arial" w:cs="Arial" w:eastAsia="Arial" w:hAnsi="Arial"/>
                <w:sz w:val="15"/>
                <w:szCs w:val="15"/>
                <w:color w:val="auto"/>
              </w:rPr>
              <w:t>46.0%</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26,436,769</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1"/>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21,994,281</w:t>
            </w:r>
          </w:p>
        </w:tc>
        <w:tc>
          <w:tcPr>
            <w:tcW w:w="680" w:type="dxa"/>
            <w:vAlign w:val="bottom"/>
          </w:tcPr>
          <w:p>
            <w:pPr>
              <w:jc w:val="right"/>
              <w:spacing w:after="0"/>
              <w:rPr>
                <w:sz w:val="20"/>
                <w:szCs w:val="20"/>
                <w:color w:val="auto"/>
              </w:rPr>
            </w:pPr>
            <w:r>
              <w:rPr>
                <w:rFonts w:ascii="Arial" w:cs="Arial" w:eastAsia="Arial" w:hAnsi="Arial"/>
                <w:sz w:val="15"/>
                <w:szCs w:val="15"/>
                <w:color w:val="auto"/>
              </w:rPr>
              <w:t>36.6%</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w w:val="98"/>
              </w:rPr>
              <w:t>21,299,157</w:t>
            </w:r>
          </w:p>
        </w:tc>
        <w:tc>
          <w:tcPr>
            <w:tcW w:w="700" w:type="dxa"/>
            <w:vAlign w:val="bottom"/>
          </w:tcPr>
          <w:p>
            <w:pPr>
              <w:jc w:val="right"/>
              <w:spacing w:after="0"/>
              <w:rPr>
                <w:sz w:val="20"/>
                <w:szCs w:val="20"/>
                <w:color w:val="auto"/>
              </w:rPr>
            </w:pPr>
            <w:r>
              <w:rPr>
                <w:rFonts w:ascii="Arial" w:cs="Arial" w:eastAsia="Arial" w:hAnsi="Arial"/>
                <w:sz w:val="15"/>
                <w:szCs w:val="15"/>
                <w:color w:val="auto"/>
              </w:rPr>
              <w:t>36.5%</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21,012,418</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80"/>
        </w:trPr>
        <w:tc>
          <w:tcPr>
            <w:tcW w:w="460" w:type="dxa"/>
            <w:vAlign w:val="bottom"/>
          </w:tcPr>
          <w:p>
            <w:pPr>
              <w:jc w:val="right"/>
              <w:ind w:right="4"/>
              <w:spacing w:after="0"/>
              <w:rPr>
                <w:sz w:val="20"/>
                <w:szCs w:val="20"/>
                <w:color w:val="auto"/>
              </w:rPr>
            </w:pPr>
            <w:r>
              <w:rPr>
                <w:rFonts w:ascii="Arial" w:cs="Arial" w:eastAsia="Arial" w:hAnsi="Arial"/>
                <w:sz w:val="15"/>
                <w:szCs w:val="15"/>
                <w:color w:val="auto"/>
              </w:rPr>
              <w:t>2.4%</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6,096,202</w:t>
            </w:r>
          </w:p>
        </w:tc>
        <w:tc>
          <w:tcPr>
            <w:tcW w:w="680" w:type="dxa"/>
            <w:vAlign w:val="bottom"/>
          </w:tcPr>
          <w:p>
            <w:pPr>
              <w:jc w:val="right"/>
              <w:spacing w:after="0"/>
              <w:rPr>
                <w:sz w:val="20"/>
                <w:szCs w:val="20"/>
                <w:color w:val="auto"/>
              </w:rPr>
            </w:pPr>
            <w:r>
              <w:rPr>
                <w:rFonts w:ascii="Arial" w:cs="Arial" w:eastAsia="Arial" w:hAnsi="Arial"/>
                <w:sz w:val="15"/>
                <w:szCs w:val="15"/>
                <w:color w:val="auto"/>
              </w:rPr>
              <w:t>10.1%</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5,985,078</w:t>
            </w:r>
          </w:p>
        </w:tc>
        <w:tc>
          <w:tcPr>
            <w:tcW w:w="700" w:type="dxa"/>
            <w:vAlign w:val="bottom"/>
          </w:tcPr>
          <w:p>
            <w:pPr>
              <w:jc w:val="right"/>
              <w:spacing w:after="0"/>
              <w:rPr>
                <w:sz w:val="20"/>
                <w:szCs w:val="20"/>
                <w:color w:val="auto"/>
              </w:rPr>
            </w:pPr>
            <w:r>
              <w:rPr>
                <w:rFonts w:ascii="Arial" w:cs="Arial" w:eastAsia="Arial" w:hAnsi="Arial"/>
                <w:sz w:val="15"/>
                <w:szCs w:val="15"/>
                <w:color w:val="auto"/>
              </w:rPr>
              <w:t>10.4%</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5,972,770</w:t>
            </w: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38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4,291,202</w:t>
            </w:r>
          </w:p>
        </w:tc>
        <w:tc>
          <w:tcPr>
            <w:tcW w:w="680" w:type="dxa"/>
            <w:vAlign w:val="bottom"/>
          </w:tcPr>
          <w:p>
            <w:pPr>
              <w:jc w:val="right"/>
              <w:spacing w:after="0"/>
              <w:rPr>
                <w:sz w:val="20"/>
                <w:szCs w:val="20"/>
                <w:color w:val="auto"/>
              </w:rPr>
            </w:pPr>
            <w:r>
              <w:rPr>
                <w:rFonts w:ascii="Arial" w:cs="Arial" w:eastAsia="Arial" w:hAnsi="Arial"/>
                <w:sz w:val="15"/>
                <w:szCs w:val="15"/>
                <w:color w:val="auto"/>
              </w:rPr>
              <w:t>7.1%</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4,151,506</w:t>
            </w:r>
          </w:p>
        </w:tc>
        <w:tc>
          <w:tcPr>
            <w:tcW w:w="700" w:type="dxa"/>
            <w:vAlign w:val="bottom"/>
          </w:tcPr>
          <w:p>
            <w:pPr>
              <w:jc w:val="right"/>
              <w:spacing w:after="0"/>
              <w:rPr>
                <w:sz w:val="20"/>
                <w:szCs w:val="20"/>
                <w:color w:val="auto"/>
              </w:rPr>
            </w:pPr>
            <w:r>
              <w:rPr>
                <w:rFonts w:ascii="Arial" w:cs="Arial" w:eastAsia="Arial" w:hAnsi="Arial"/>
                <w:sz w:val="15"/>
                <w:szCs w:val="15"/>
                <w:color w:val="auto"/>
              </w:rPr>
              <w:t>7.1%</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4,093,882</w:t>
            </w:r>
          </w:p>
        </w:tc>
        <w:tc>
          <w:tcPr>
            <w:tcW w:w="300" w:type="dxa"/>
            <w:vAlign w:val="bottom"/>
          </w:tcPr>
          <w:p>
            <w:pPr>
              <w:spacing w:after="0"/>
              <w:rPr>
                <w:sz w:val="24"/>
                <w:szCs w:val="24"/>
                <w:color w:val="auto"/>
              </w:rPr>
            </w:pPr>
          </w:p>
        </w:tc>
      </w:tr>
      <w:tr>
        <w:trPr>
          <w:trHeight w:val="86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21,994,281</w:t>
            </w:r>
          </w:p>
        </w:tc>
        <w:tc>
          <w:tcPr>
            <w:tcW w:w="680" w:type="dxa"/>
            <w:vAlign w:val="bottom"/>
          </w:tcPr>
          <w:p>
            <w:pPr>
              <w:jc w:val="right"/>
              <w:spacing w:after="0"/>
              <w:rPr>
                <w:sz w:val="20"/>
                <w:szCs w:val="20"/>
                <w:color w:val="auto"/>
              </w:rPr>
            </w:pPr>
            <w:r>
              <w:rPr>
                <w:rFonts w:ascii="Arial" w:cs="Arial" w:eastAsia="Arial" w:hAnsi="Arial"/>
                <w:sz w:val="15"/>
                <w:szCs w:val="15"/>
                <w:color w:val="auto"/>
              </w:rPr>
              <w:t>36.6%</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w w:val="98"/>
              </w:rPr>
              <w:t>21,299,157</w:t>
            </w:r>
          </w:p>
        </w:tc>
        <w:tc>
          <w:tcPr>
            <w:tcW w:w="700" w:type="dxa"/>
            <w:vAlign w:val="bottom"/>
          </w:tcPr>
          <w:p>
            <w:pPr>
              <w:jc w:val="right"/>
              <w:spacing w:after="0"/>
              <w:rPr>
                <w:sz w:val="20"/>
                <w:szCs w:val="20"/>
                <w:color w:val="auto"/>
              </w:rPr>
            </w:pPr>
            <w:r>
              <w:rPr>
                <w:rFonts w:ascii="Arial" w:cs="Arial" w:eastAsia="Arial" w:hAnsi="Arial"/>
                <w:sz w:val="15"/>
                <w:szCs w:val="15"/>
                <w:color w:val="auto"/>
              </w:rPr>
              <w:t>36.5%</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21,012,418</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486,827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486,827</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486,827</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228,200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228,200</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228,200</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467,503</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456,981</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452,641</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438,510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438,510</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438,510</w:t>
            </w:r>
          </w:p>
        </w:tc>
        <w:tc>
          <w:tcPr>
            <w:tcW w:w="300" w:type="dxa"/>
            <w:vAlign w:val="bottom"/>
          </w:tcPr>
          <w:p>
            <w:pPr>
              <w:spacing w:after="0"/>
              <w:rPr>
                <w:sz w:val="16"/>
                <w:szCs w:val="16"/>
                <w:color w:val="auto"/>
              </w:rPr>
            </w:pPr>
          </w:p>
        </w:tc>
      </w:tr>
      <w:tr>
        <w:trPr>
          <w:trHeight w:val="378"/>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4,291,202</w:t>
            </w:r>
          </w:p>
        </w:tc>
        <w:tc>
          <w:tcPr>
            <w:tcW w:w="680" w:type="dxa"/>
            <w:vAlign w:val="bottom"/>
          </w:tcPr>
          <w:p>
            <w:pPr>
              <w:jc w:val="right"/>
              <w:spacing w:after="0"/>
              <w:rPr>
                <w:sz w:val="20"/>
                <w:szCs w:val="20"/>
                <w:color w:val="auto"/>
              </w:rPr>
            </w:pPr>
            <w:r>
              <w:rPr>
                <w:rFonts w:ascii="Arial" w:cs="Arial" w:eastAsia="Arial" w:hAnsi="Arial"/>
                <w:sz w:val="15"/>
                <w:szCs w:val="15"/>
                <w:color w:val="auto"/>
              </w:rPr>
              <w:t>7.1%</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4,151,506</w:t>
            </w:r>
          </w:p>
        </w:tc>
        <w:tc>
          <w:tcPr>
            <w:tcW w:w="700" w:type="dxa"/>
            <w:vAlign w:val="bottom"/>
          </w:tcPr>
          <w:p>
            <w:pPr>
              <w:jc w:val="right"/>
              <w:spacing w:after="0"/>
              <w:rPr>
                <w:sz w:val="20"/>
                <w:szCs w:val="20"/>
                <w:color w:val="auto"/>
              </w:rPr>
            </w:pPr>
            <w:r>
              <w:rPr>
                <w:rFonts w:ascii="Arial" w:cs="Arial" w:eastAsia="Arial" w:hAnsi="Arial"/>
                <w:sz w:val="15"/>
                <w:szCs w:val="15"/>
                <w:color w:val="auto"/>
              </w:rPr>
              <w:t>7.1%</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4,093,882</w:t>
            </w:r>
          </w:p>
        </w:tc>
        <w:tc>
          <w:tcPr>
            <w:tcW w:w="300" w:type="dxa"/>
            <w:vAlign w:val="bottom"/>
          </w:tcPr>
          <w:p>
            <w:pPr>
              <w:spacing w:after="0"/>
              <w:rPr>
                <w:sz w:val="16"/>
                <w:szCs w:val="16"/>
                <w:color w:val="auto"/>
              </w:rPr>
            </w:pPr>
          </w:p>
        </w:tc>
      </w:tr>
      <w:tr>
        <w:trPr>
          <w:trHeight w:val="19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310,078</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310,078</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310,078</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44,463</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44,463</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44,463</w:t>
            </w:r>
          </w:p>
        </w:tc>
        <w:tc>
          <w:tcPr>
            <w:tcW w:w="300" w:type="dxa"/>
            <w:vAlign w:val="bottom"/>
          </w:tcPr>
          <w:p>
            <w:pPr>
              <w:spacing w:after="0"/>
              <w:rPr>
                <w:sz w:val="16"/>
                <w:szCs w:val="16"/>
                <w:color w:val="auto"/>
              </w:rPr>
            </w:pPr>
          </w:p>
        </w:tc>
      </w:tr>
      <w:tr>
        <w:trPr>
          <w:trHeight w:val="38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478,156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rPr>
              <w:t>478,156</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478,156</w:t>
            </w:r>
          </w:p>
        </w:tc>
        <w:tc>
          <w:tcPr>
            <w:tcW w:w="300" w:type="dxa"/>
            <w:vAlign w:val="bottom"/>
          </w:tcPr>
          <w:p>
            <w:pPr>
              <w:spacing w:after="0"/>
              <w:rPr>
                <w:sz w:val="24"/>
                <w:szCs w:val="24"/>
                <w:color w:val="auto"/>
              </w:rPr>
            </w:pPr>
          </w:p>
        </w:tc>
      </w:tr>
      <w:tr>
        <w:trPr>
          <w:trHeight w:val="380"/>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r>
      <w:tr>
        <w:trPr>
          <w:trHeight w:val="1051"/>
        </w:trPr>
        <w:tc>
          <w:tcPr>
            <w:tcW w:w="4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28,739,220</w:t>
            </w:r>
          </w:p>
        </w:tc>
        <w:tc>
          <w:tcPr>
            <w:tcW w:w="680" w:type="dxa"/>
            <w:vAlign w:val="bottom"/>
          </w:tcPr>
          <w:p>
            <w:pPr>
              <w:jc w:val="right"/>
              <w:spacing w:after="0"/>
              <w:rPr>
                <w:sz w:val="20"/>
                <w:szCs w:val="20"/>
                <w:color w:val="auto"/>
              </w:rPr>
            </w:pPr>
            <w:r>
              <w:rPr>
                <w:rFonts w:ascii="Arial" w:cs="Arial" w:eastAsia="Arial" w:hAnsi="Arial"/>
                <w:sz w:val="15"/>
                <w:szCs w:val="15"/>
                <w:color w:val="auto"/>
              </w:rPr>
              <w:t>47.8%</w:t>
            </w:r>
          </w:p>
        </w:tc>
        <w:tc>
          <w:tcPr>
            <w:tcW w:w="980" w:type="dxa"/>
            <w:vAlign w:val="bottom"/>
          </w:tcPr>
          <w:p>
            <w:pPr>
              <w:jc w:val="right"/>
              <w:ind w:right="144"/>
              <w:spacing w:after="0"/>
              <w:rPr>
                <w:sz w:val="20"/>
                <w:szCs w:val="20"/>
                <w:color w:val="auto"/>
              </w:rPr>
            </w:pPr>
            <w:r>
              <w:rPr>
                <w:rFonts w:ascii="Arial" w:cs="Arial" w:eastAsia="Arial" w:hAnsi="Arial"/>
                <w:sz w:val="15"/>
                <w:szCs w:val="15"/>
                <w:color w:val="auto"/>
                <w:w w:val="98"/>
              </w:rPr>
              <w:t>27,893,878</w:t>
            </w:r>
          </w:p>
        </w:tc>
        <w:tc>
          <w:tcPr>
            <w:tcW w:w="700" w:type="dxa"/>
            <w:vAlign w:val="bottom"/>
          </w:tcPr>
          <w:p>
            <w:pPr>
              <w:jc w:val="right"/>
              <w:spacing w:after="0"/>
              <w:rPr>
                <w:sz w:val="20"/>
                <w:szCs w:val="20"/>
                <w:color w:val="auto"/>
              </w:rPr>
            </w:pPr>
            <w:r>
              <w:rPr>
                <w:rFonts w:ascii="Arial" w:cs="Arial" w:eastAsia="Arial" w:hAnsi="Arial"/>
                <w:sz w:val="15"/>
                <w:szCs w:val="15"/>
                <w:color w:val="auto"/>
              </w:rPr>
              <w:t>47.9%</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27,545,175</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bl>
    <w:p>
      <w:pPr>
        <w:spacing w:after="0" w:line="166" w:lineRule="exact"/>
        <w:rPr>
          <w:sz w:val="20"/>
          <w:szCs w:val="20"/>
          <w:color w:val="auto"/>
        </w:rPr>
      </w:pPr>
    </w:p>
    <w:p>
      <w:pPr>
        <w:sectPr>
          <w:pgSz w:w="11900" w:h="16838" w:orient="portrait"/>
          <w:cols w:equalWidth="0" w:num="2">
            <w:col w:w="5780" w:space="480"/>
            <w:col w:w="5080"/>
          </w:cols>
          <w:pgMar w:left="320" w:top="466" w:right="239" w:bottom="1440" w:gutter="0" w:footer="0" w:header="0"/>
          <w:type w:val="continuous"/>
        </w:sectPr>
      </w:pPr>
    </w:p>
    <w:p>
      <w:pPr>
        <w:ind w:left="860" w:hanging="403"/>
        <w:spacing w:after="0"/>
        <w:tabs>
          <w:tab w:leader="none" w:pos="86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104" w:lineRule="exact"/>
        <w:rPr>
          <w:sz w:val="20"/>
          <w:szCs w:val="20"/>
          <w:color w:val="auto"/>
        </w:rPr>
      </w:pPr>
    </w:p>
    <w:p>
      <w:pPr>
        <w:ind w:left="860" w:right="760" w:hanging="403"/>
        <w:spacing w:after="0" w:line="241" w:lineRule="auto"/>
        <w:tabs>
          <w:tab w:leader="none" w:pos="86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Amount beneficially owned after this offering includes: (i) 16,955,510 shares of Class A common stock (or 16,720,160 assuming full exercise of the underwriters’ option) held by Advent International GPE IX Limited Partnership (“GPE-IX LP”); (ii) 3,359,809 shares of Class A common stock (or 3,313,174 assuming full exercise of the underwriters’ option) held by Advent</w:t>
      </w:r>
    </w:p>
    <w:p>
      <w:pPr>
        <w:spacing w:after="0" w:line="11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340"/>
          </w:cols>
          <w:pgMar w:left="320" w:top="466" w:right="239" w:bottom="1440" w:gutter="0" w:footer="0" w:header="0"/>
          <w:type w:val="continuous"/>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860"/>
        <w:spacing w:after="0" w:line="244" w:lineRule="auto"/>
        <w:rPr>
          <w:sz w:val="20"/>
          <w:szCs w:val="20"/>
          <w:color w:val="auto"/>
        </w:rPr>
      </w:pPr>
      <w:r>
        <w:rPr>
          <w:rFonts w:ascii="Arial" w:cs="Arial" w:eastAsia="Arial" w:hAnsi="Arial"/>
          <w:sz w:val="12"/>
          <w:szCs w:val="12"/>
          <w:color w:val="auto"/>
        </w:rPr>
        <w:t>International GPE IX-B Limited Partnership (“GPE IX-B LP”); (iii) 1,394,766 shares of Class A common stock (or 1,375,406 assuming full exercise of the underwriters’ option) held by Advent International GPE IX-C Limited Partnership (“GPE IX-C LP”); (iv) 1,463,380 shares of Class A common stock (or 1,443,068 assuming full exercise of the underwriters’ option) held by Advent International GPE IX-F Limited Partnership (“GPE IX-F LP”); (v) 4,815,226 shares of Class A common stock (or 4,748,389 assuming full exercise of the underwriters’ option) held by Advent International GPE IX-G Limited Partnership (“GPE IX-G LP”); (vi) 5,428,915 shares of Class A common stock (or 5,353,560 assuming full exercise of the underwriters’ option) held by Advent International GPE IX-H Limited Partnership (“GPE IX-H LP”); (vii) 3,075,053 shares of Class A common stock (or 3,032,370 assuming full exercise of the underwriters’ option) held by Advent International GPE IX-I Limited Partnership (“GPE IX-I LP”); (viii) 4,985,850 shares of Class A common stock (or 4,916,645 assuming full exercise of the underwriters’ option) held by Advent International GPE IX-A SCSP (“GPE IX-A SCSP”); (ix) 1,061,241 shares of Class A common stock (or 1,046,511 assuming full exercise of the underwriters’ option) held by Advent International GPE IX-D SCSP (“GPE IX-D SCSP”); (x) 2,156,723 shares of Class A common stock (or 2,126,787 assuming full exercise of the underwriters’ option) held by Advent International GPE IX-E SCSP (“GPE IX-E SCSP”); (xi) 97,427 shares of Class A common stock (or 96,075 assuming full exercise of the underwriters’ option) held by Advent Partners GPE IX Strategic Investors SCSP (“GPE IX Strategic Investors SCSP”); (xii) 55,642 shares of Class A common stock (or 54,870 assuming full exercise of the underwriters’ option) held by Advent Partners GPE IX Limited Partnership (“AP GPE IX LP”); (xiii) 128,669 shares of Class A common stock (or 126,883 assuming full exercise of the underwriters’ option) held by Advent Partners GPE IX-A Limited Partnership (“AP GPE IX-A LP”); (xiv) 321,070 shares of Class A common stock (or 316,613 assuming full exercise of the underwriters’ option) held by Advent Partners GPE IX Cayman Limited Partnership (“AP GPE IX Cayman LP”); (xv) 54,121 shares of Class A common stock (or 53,370 assuming full exercise of the underwriters’ option) held by Advent Partners GPE IX Cayman Limited Partnership (“AP GPE IX-A Cayman LP”); (xvi) 898,507 shares of Class A common stock (or 886,035 assuming full exercise of the underwriters’ option) held by Advent Partners GPE IX-B Cayman Limited Partnership (“AP GPE IX-B Cayman LP”); (xvii) 3,818,770 shares of Class A common stock (or 3,765,764 assuming full exercise of the underwriters’ option) held by Advent Global Technology Limited Partnership (“Global Technology LP”); (xviii) 2,971,879 shares of Class A common stock (or 2,930,628 assuming full exercise of the underwriters’ option) held by Advent Global Technology-B Limited Partnership (“Global Technology-B LP”); (xix) 1,609,070 shares of Class A common stock (or 1,586,735 assuming full exercise of the underwriters’ option) held by Advent Global Technology-C Limited Partnership (“Global Technology-C LP”); (xx) 1,926,387 shares of Class A common stock (or 1,899,648 assuming full exercise of the underwriters’ option) held by Advent Global Technology-D Limited Partnership (“Global Technology-D LP”); (xxi) 1,885,069 shares of Class A common stock (or 1,858,904 assuming full exercise of the underwriters’ option) held by Advent Global Technology-A SCSP (“Global Technology-A SCSP”); (xxii) 5,990 shares of Class A common stock (or 5,907 assuming full exercise of the underwriters’ option) held by Advent Partners AGT Limited Partnership (“AGT LP”); (xxiii) 27,373 shares of Class A common stock (or 26,993 assuming full exercise of the underwriters’ option) held by Advent Partners AGT-A Limited Partnership (“AGT-A LP”); (xxiv) 342,900 shares of Class A common stock (or 338,140 assuming full exercise of the underwriters’ option) held by Advent Partners AGT Cayman Limited Partnership (“AGT Cayman LP”); (xxv) 30,542 shares of Class A common stock (or 30,118 assuming full exercise of the underwriters’ option) held by Advent Global Technology Strategic Investors Limited Partnership (“AGT Strategic Investors LP”); and (xxvi) 3,623,787 shares of Class A common stock (or 3,573,487 assuming full exercise of the underwriters’ option) held by Sunley House Capital Master Limited Partnership (“Sunley House Master Fund”).</w:t>
      </w:r>
    </w:p>
    <w:p>
      <w:pPr>
        <w:spacing w:after="0" w:line="228" w:lineRule="exact"/>
        <w:rPr>
          <w:sz w:val="20"/>
          <w:szCs w:val="20"/>
          <w:color w:val="auto"/>
        </w:rPr>
      </w:pPr>
    </w:p>
    <w:p>
      <w:pPr>
        <w:ind w:left="860"/>
        <w:spacing w:after="0" w:line="246" w:lineRule="auto"/>
        <w:rPr>
          <w:sz w:val="20"/>
          <w:szCs w:val="20"/>
          <w:color w:val="auto"/>
        </w:rPr>
      </w:pPr>
      <w:r>
        <w:rPr>
          <w:rFonts w:ascii="Arial" w:cs="Arial" w:eastAsia="Arial" w:hAnsi="Arial"/>
          <w:sz w:val="12"/>
          <w:szCs w:val="12"/>
          <w:color w:val="auto"/>
        </w:rPr>
        <w:t>GPE IX GP Limited Partnership is the general partner of GPE-IX LP, GPE IX-B LP, GPE IX-C LP, GPE IX-F LP, GPE IX-G LP, GPE IX-H LP and GPE IX-I LP. AP GPE IX GP Limited Partnership is the general partner of AP GPE IX LP, AP GPE IX-A LP, AP GPE IX Cayman LP, AP GPE IX-A Cayman LP and AP GPE IX-B Cayman LP. GPE IX GP S.a’r.l. is the general partner of GPE IX-A SCSP, GPE IX-D SCSP, GPE IX-E SCSP and GPE IX Strategic Investors SCSP. Advent Global Technology GP Limited Partnership is the general partner of Global Technology LP, Global Technology-B LP, Global Technology-C LP and Global Technology-D LP. Advent Global Technology GP S.a’r.l.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S.a’r.l. Advent Global Technology LLC is the general partner of Advent Global Technology GP Limited Partnership, Advent Global Technology GP S.a’r.l.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International Corporation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 Voting and investment decisions by Advent International Corporation are made by a number of individuals currently comprised of John L. Maldonado, David M. McKenna and David M. Mussafer. The address of each of the entities and individuals named in this footnote is c/o Advent International Corporation, Prudential Tower, 800 Boylston St., Suite 3300, Boston, MA 02199.</w:t>
      </w:r>
    </w:p>
    <w:p>
      <w:pPr>
        <w:spacing w:after="0" w:line="80" w:lineRule="exact"/>
        <w:rPr>
          <w:sz w:val="20"/>
          <w:szCs w:val="20"/>
          <w:color w:val="auto"/>
        </w:rPr>
      </w:pPr>
    </w:p>
    <w:p>
      <w:pPr>
        <w:ind w:left="860" w:right="40" w:hanging="403"/>
        <w:spacing w:after="0" w:line="250" w:lineRule="auto"/>
        <w:tabs>
          <w:tab w:leader="none" w:pos="86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(i) 26,747,318 shares of Class B common stock (or 26,376,055 assuming full exercise of the underwriters’ option) held directly by SE VII DHC AIV, L.P.; (ii) 2,791,929 shares of Class A common stock (or 2,753,176 assuming full exercise of the underwriters’ option) held directly by SE VII DHC AIV Feeder, L.P.; (iii) 38,865 shares of Class B common stock (or 38,326 assuming full exercise of the underwriters’ option) held directly by Spectrum VII Investment Managers’ Fund, L.P.; and (iv) 22,703 shares of Class B common stock (or 22,388 assuming full exercise of the underwriters’ option) held directly by Spectrum VII Co-Investment Fund, L.P. collectively the “Spectrum Funds”. SEA VII Management, LLC is the general partner of Spectrum Equity Associates VII, L.P., which in turn is the general partner of the Spectrum Funds. Chris Mitchell, a member of our board of directors, is one of nine managing directors of SEA VII, Management, LLC. Mr. Mitchell and the other managing directors may be deemed to share voting and dispositive over the shares held by the Spectrum Funds. Mr. Mitchell and these other individuals disclaims beneficial ownership of any of the shares held by the Spectrum Funds, except to the extent of their pecuniary interest. The address for each of these entities is 140 New Montgomery Street, 20th Floor, San Francisco, CA 94105.</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780"/>
          </w:cols>
          <w:pgMar w:left="320" w:top="465" w:right="79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860" w:right="40" w:hanging="403"/>
        <w:spacing w:after="0" w:line="260" w:lineRule="auto"/>
        <w:tabs>
          <w:tab w:leader="none" w:pos="86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Amount beneficially owned following this offering includes 756,479 shares of Class B common stock owned by Jason Krantz and 21,134,491 shares of Class B common stock owned in trust by DH Holdings, of which Jason Krantz is the beneficiary.</w:t>
      </w:r>
    </w:p>
    <w:p>
      <w:pPr>
        <w:spacing w:after="0" w:line="68" w:lineRule="exact"/>
        <w:rPr>
          <w:rFonts w:ascii="Arial" w:cs="Arial" w:eastAsia="Arial" w:hAnsi="Arial"/>
          <w:sz w:val="13"/>
          <w:szCs w:val="13"/>
          <w:color w:val="auto"/>
        </w:rPr>
      </w:pPr>
    </w:p>
    <w:p>
      <w:pPr>
        <w:ind w:left="860" w:right="20" w:hanging="403"/>
        <w:spacing w:after="0" w:line="231" w:lineRule="auto"/>
        <w:tabs>
          <w:tab w:leader="none" w:pos="86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Amount beneficially owned following this offering includes: (i) 4,139,267 shares of Class B common stock (or 4,081,813 assuming full exercise of the underwriters’ option) held directly by 22C Capital I, L.P.; (ii) 520,927 shares of Class A common stock (or 513,696 assuming full exercise of the underwriters’ option) held directly by 22C Capital I-A, L.P.; and (iii) 12,239 shares of Class B common stock (or 12,069 assuming full exercise of the underwriters’ option) held directly by 22C AIDH AIV LLC. 22C Capital GP I, L.L.C. is the general partner of each of 22C Capital I, L.P. and 22C Capital I-A, L.P., and is the sole member of 22C AIDH AIV LLC. 22C Capital GP I MM LLC is the managing member of 22C Capital GP I, L.L.C. Eric Edell and D. Randall Winn are co-members of 22C Capital GP I MM LLC and, in such capacities, exercise voting or investment power over the shares of Class A common stock and Class B common stock held directly by 22C Capital I, L.P., 22C Capital IA, L.P. and 22C AIDH AIV LLC. The address of all entities referred to above is c/o 22C Capital LLC, 7900 Glades Road, Suite 540, Boca Raton, FL 33434.</w:t>
      </w:r>
    </w:p>
    <w:p>
      <w:pPr>
        <w:spacing w:after="0" w:line="81" w:lineRule="exact"/>
        <w:rPr>
          <w:rFonts w:ascii="Arial" w:cs="Arial" w:eastAsia="Arial" w:hAnsi="Arial"/>
          <w:sz w:val="13"/>
          <w:szCs w:val="13"/>
          <w:color w:val="auto"/>
        </w:rPr>
      </w:pPr>
    </w:p>
    <w:p>
      <w:pPr>
        <w:ind w:left="860" w:right="60" w:hanging="403"/>
        <w:spacing w:after="0" w:line="260" w:lineRule="auto"/>
        <w:tabs>
          <w:tab w:leader="none" w:pos="86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Excludes shares of Class A common stock and Class B common Stock held by the Spectrum Funds, as disclosed in footnote (2) above. Mr. Mitchell disclaims beneficial ownership of the shares of Class A common stock and Class B common stock held by the Spectrum Funds except to the extent of his pecuniary interest therein.</w:t>
      </w:r>
    </w:p>
    <w:p>
      <w:pPr>
        <w:spacing w:after="0" w:line="68" w:lineRule="exact"/>
        <w:rPr>
          <w:rFonts w:ascii="Arial" w:cs="Arial" w:eastAsia="Arial" w:hAnsi="Arial"/>
          <w:sz w:val="13"/>
          <w:szCs w:val="13"/>
          <w:color w:val="auto"/>
        </w:rPr>
      </w:pPr>
    </w:p>
    <w:p>
      <w:pPr>
        <w:ind w:left="860" w:right="20" w:hanging="403"/>
        <w:spacing w:after="0" w:line="260" w:lineRule="auto"/>
        <w:tabs>
          <w:tab w:leader="none" w:pos="86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Excludes shares of Class A common stock held by Advent. Each of Mr. Egan and Ms. Young disclaim beneficial ownership of the shares of Class A common stock held by the Advent Funds except to the extent of their respective pecuniary interest therein.</w:t>
      </w:r>
    </w:p>
    <w:p>
      <w:pPr>
        <w:spacing w:after="0" w:line="68" w:lineRule="exact"/>
        <w:rPr>
          <w:rFonts w:ascii="Arial" w:cs="Arial" w:eastAsia="Arial" w:hAnsi="Arial"/>
          <w:sz w:val="13"/>
          <w:szCs w:val="13"/>
          <w:color w:val="auto"/>
        </w:rPr>
      </w:pPr>
    </w:p>
    <w:p>
      <w:pPr>
        <w:ind w:left="860" w:right="100" w:hanging="403"/>
        <w:spacing w:after="0" w:line="241" w:lineRule="auto"/>
        <w:tabs>
          <w:tab w:leader="none" w:pos="86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Amount beneficially owned following this offering includes the 520,927 shares of Class A common stock and 4,151,506 shares of Class B common stock beneficially owned by 22C Capital, as disclosed in footnote 4 above. Mr. Winn may be deemed to exercise voting and investment power over the shares of Class A common stock and Class B common stock beneficially owned by 22C Capital.</w:t>
      </w:r>
    </w:p>
    <w:p>
      <w:pPr>
        <w:spacing w:after="0" w:line="81" w:lineRule="exact"/>
        <w:rPr>
          <w:rFonts w:ascii="Arial" w:cs="Arial" w:eastAsia="Arial" w:hAnsi="Arial"/>
          <w:sz w:val="13"/>
          <w:szCs w:val="13"/>
          <w:color w:val="auto"/>
        </w:rPr>
      </w:pPr>
    </w:p>
    <w:p>
      <w:pPr>
        <w:ind w:left="860" w:hanging="403"/>
        <w:spacing w:after="0" w:line="236" w:lineRule="auto"/>
        <w:tabs>
          <w:tab w:leader="none" w:pos="86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Represents shares owned by Robert Musslewhite 2014 Family Trust. Excludes 433,550 shares of Class A common stock in the form of restricted stock units which will vest 25% on the one year anniversary of the grant, followed by quarterly vesting of 6.25% until fully vested over the subsequent three years and 216,450 shares of Class A common stock in the form of restricted stock units, 33% of which will vest on the one-year anniversary of the grant followed by quarterly vesting of 8.33% per quarter until fully vested over the subsequent two years.</w:t>
      </w:r>
    </w:p>
    <w:p>
      <w:pPr>
        <w:spacing w:after="0" w:line="83" w:lineRule="exact"/>
        <w:rPr>
          <w:rFonts w:ascii="Arial" w:cs="Arial" w:eastAsia="Arial" w:hAnsi="Arial"/>
          <w:sz w:val="13"/>
          <w:szCs w:val="13"/>
          <w:color w:val="auto"/>
        </w:rPr>
      </w:pPr>
    </w:p>
    <w:p>
      <w:pPr>
        <w:ind w:left="860" w:right="20" w:hanging="403"/>
        <w:spacing w:after="0" w:line="241" w:lineRule="auto"/>
        <w:tabs>
          <w:tab w:leader="none" w:pos="86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Excludes (i) 6,737 shares of Class A common stock in the form of restricted stock units of which 33% will vest on each anniversary of Ms. Winters’ service as a member of the Board, starting on the first anniversary and (ii) an annual equity award of $175,000 ($122,776 for the initial annual grant) in shares of Class A common stock in the form of restricted stock units.</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760"/>
          </w:cols>
          <w:pgMar w:left="320" w:top="465" w:right="81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4"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We describe below transactions and series of similar transactions, during our last three fiscal years or currently proposed, to which we were a party or will be a party, in which:</w:t>
      </w:r>
    </w:p>
    <w:p>
      <w:pPr>
        <w:spacing w:after="0" w:line="76" w:lineRule="exact"/>
        <w:rPr>
          <w:sz w:val="20"/>
          <w:szCs w:val="20"/>
          <w:color w:val="auto"/>
        </w:rPr>
      </w:pPr>
    </w:p>
    <w:p>
      <w:pPr>
        <w:ind w:left="1360" w:hanging="498"/>
        <w:spacing w:after="0"/>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21" w:lineRule="exact"/>
        <w:rPr>
          <w:rFonts w:ascii="Arial" w:cs="Arial" w:eastAsia="Arial" w:hAnsi="Arial"/>
          <w:sz w:val="17"/>
          <w:szCs w:val="17"/>
          <w:color w:val="auto"/>
        </w:rPr>
      </w:pPr>
    </w:p>
    <w:p>
      <w:pPr>
        <w:ind w:left="1360" w:right="160" w:hanging="498"/>
        <w:spacing w:after="0" w:line="272" w:lineRule="auto"/>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holders of more than 5% of any class of our capital stock had or will have a direct or indirect material interest.</w:t>
      </w:r>
    </w:p>
    <w:p>
      <w:pPr>
        <w:spacing w:after="0" w:line="165"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and Director Compensation.”</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Reorganization Agreement</w:t>
      </w:r>
    </w:p>
    <w:p>
      <w:pPr>
        <w:spacing w:after="0" w:line="112"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In connection with the Reorganization Transactions, we entered into a reorganization agreement and related agreements with Definitive OpCo and certain Unitholders, in order to effect the Reorganization Transactions.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reimbursed $1.05 million in aggregate expenses incurred by our Sponsors in connection with the Reorganization Transactions.</w:t>
      </w:r>
    </w:p>
    <w:p>
      <w:pPr>
        <w:spacing w:after="0" w:line="210" w:lineRule="exact"/>
        <w:rPr>
          <w:sz w:val="20"/>
          <w:szCs w:val="20"/>
          <w:color w:val="auto"/>
        </w:rPr>
      </w:pPr>
    </w:p>
    <w:p>
      <w:pPr>
        <w:ind w:left="460" w:right="3040" w:firstLine="413"/>
        <w:spacing w:after="0" w:line="272" w:lineRule="auto"/>
        <w:rPr>
          <w:sz w:val="20"/>
          <w:szCs w:val="20"/>
          <w:color w:val="auto"/>
        </w:rPr>
      </w:pPr>
      <w:r>
        <w:rPr>
          <w:rFonts w:ascii="Arial" w:cs="Arial" w:eastAsia="Arial" w:hAnsi="Arial"/>
          <w:sz w:val="17"/>
          <w:szCs w:val="17"/>
          <w:color w:val="auto"/>
        </w:rPr>
        <w:t>The table below sets forth the consideration in LLC Units and Class B common stock received by our directors, officers and 5% equity holders in the Reorganization Transactions:</w:t>
      </w:r>
    </w:p>
    <w:p>
      <w:pPr>
        <w:spacing w:after="0" w:line="172"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960" w:type="dxa"/>
            <w:vAlign w:val="bottom"/>
            <w:gridSpan w:val="3"/>
          </w:tcPr>
          <w:p>
            <w:pPr>
              <w:jc w:val="center"/>
              <w:ind w:left="1419"/>
              <w:spacing w:after="0"/>
              <w:rPr>
                <w:sz w:val="20"/>
                <w:szCs w:val="20"/>
                <w:color w:val="auto"/>
              </w:rPr>
            </w:pPr>
            <w:r>
              <w:rPr>
                <w:rFonts w:ascii="Arial" w:cs="Arial" w:eastAsia="Arial" w:hAnsi="Arial"/>
                <w:sz w:val="13"/>
                <w:szCs w:val="13"/>
                <w:b w:val="1"/>
                <w:bCs w:val="1"/>
                <w:color w:val="auto"/>
                <w:w w:val="91"/>
              </w:rPr>
              <w:t>Class B Common Stock</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w w:val="94"/>
              </w:rPr>
              <w:t>and LLC Units Issued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3"/>
              </w:rPr>
              <w:t>in the Reorganization</w:t>
            </w:r>
          </w:p>
        </w:tc>
        <w:tc>
          <w:tcPr>
            <w:tcW w:w="0" w:type="dxa"/>
            <w:vAlign w:val="bottom"/>
          </w:tcPr>
          <w:p>
            <w:pPr>
              <w:spacing w:after="0"/>
              <w:rPr>
                <w:sz w:val="1"/>
                <w:szCs w:val="1"/>
                <w:color w:val="auto"/>
              </w:rPr>
            </w:pPr>
          </w:p>
        </w:tc>
      </w:tr>
      <w:tr>
        <w:trPr>
          <w:trHeight w:val="160"/>
        </w:trPr>
        <w:tc>
          <w:tcPr>
            <w:tcW w:w="57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156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1"/>
              </w:rPr>
              <w:t>Transactions</w:t>
            </w:r>
          </w:p>
        </w:tc>
        <w:tc>
          <w:tcPr>
            <w:tcW w:w="0" w:type="dxa"/>
            <w:vAlign w:val="bottom"/>
          </w:tcPr>
          <w:p>
            <w:pPr>
              <w:spacing w:after="0"/>
              <w:rPr>
                <w:sz w:val="1"/>
                <w:szCs w:val="1"/>
                <w:color w:val="auto"/>
              </w:rPr>
            </w:pPr>
          </w:p>
        </w:tc>
      </w:tr>
      <w:tr>
        <w:trPr>
          <w:trHeight w:val="119"/>
        </w:trPr>
        <w:tc>
          <w:tcPr>
            <w:tcW w:w="572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3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Affiliates of Advent and certain other minority equity holders</w:t>
            </w:r>
          </w:p>
        </w:tc>
        <w:tc>
          <w:tcPr>
            <w:tcW w:w="15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Affiliates of Spectrum Equity</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28,352,972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Jason Krantz</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21,994,281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AIDH Management Holdings, LLC</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6,098,909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Affiliates of 22C Capital</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4,390,661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Amended Definitive OpCo Agreement</w:t>
      </w:r>
    </w:p>
    <w:p>
      <w:pPr>
        <w:spacing w:after="0" w:line="112" w:lineRule="exact"/>
        <w:rPr>
          <w:sz w:val="20"/>
          <w:szCs w:val="20"/>
          <w:color w:val="auto"/>
        </w:rPr>
      </w:pPr>
    </w:p>
    <w:p>
      <w:pPr>
        <w:ind w:left="460" w:right="200" w:firstLine="413"/>
        <w:spacing w:after="0" w:line="253" w:lineRule="auto"/>
        <w:rPr>
          <w:sz w:val="20"/>
          <w:szCs w:val="20"/>
          <w:color w:val="auto"/>
        </w:rPr>
      </w:pPr>
      <w:r>
        <w:rPr>
          <w:rFonts w:ascii="Arial" w:cs="Arial" w:eastAsia="Arial" w:hAnsi="Arial"/>
          <w:sz w:val="17"/>
          <w:szCs w:val="17"/>
          <w:color w:val="auto"/>
        </w:rPr>
        <w:t>In accordance with the terms of the Amended LLC Agreement, we operate our business through Definitive OpCo. Pursuant to the terms of the Amended LLC Agreement we entered into in connection with our IPO, so long as the Unitholders continue to own any LLC Units or securities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182" w:lineRule="exact"/>
        <w:rPr>
          <w:sz w:val="20"/>
          <w:szCs w:val="20"/>
          <w:color w:val="auto"/>
        </w:rPr>
      </w:pPr>
    </w:p>
    <w:p>
      <w:pPr>
        <w:ind w:left="460" w:right="260" w:firstLine="413"/>
        <w:spacing w:after="0" w:line="277" w:lineRule="auto"/>
        <w:rPr>
          <w:sz w:val="20"/>
          <w:szCs w:val="20"/>
          <w:color w:val="auto"/>
        </w:rPr>
      </w:pPr>
      <w:r>
        <w:rPr>
          <w:rFonts w:ascii="Arial" w:cs="Arial" w:eastAsia="Arial" w:hAnsi="Arial"/>
          <w:sz w:val="16"/>
          <w:szCs w:val="16"/>
          <w:color w:val="auto"/>
        </w:rPr>
        <w:t>As the sole managing member of Definitive OpCo, we have control over all of the affairs and decision making of Definitive OpCo. As such, through our officers and directors, we are responsible for all operational and administrative decisions of Definitive OpCo and the day-to-day management of Definitive OpCo’s business. We will fund any dividends to our stockholders by causing Definitive OpCo to make distributions to the Unitholders and us, subject to the limitations imposed by our debt agreements. See “Dividend Policy.”</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780"/>
          </w:cols>
          <w:pgMar w:left="320" w:top="466" w:right="79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The holders of LLC Units generally incur U.S. federal, state and local income taxes on their proportionate share of any taxable income of Definitive OpCo. Net profits and net losses of Definitive OpCo are generally allocated to its members pro rata in accordance with the percentages of their respective ownership of LLC Units, except as otherwise required by law. The Amended LLC Agreement provides for pro rata cash distributions to the holders of LLC Units for purposes of funding their tax obligations in respect of the taxable income of Definitive OpCo that is allocated to them. Generally, these tax distributions are computed based on our estimate of the taxable income of Definitive OpCo allocable to the holder of LLC Units that receives the greatest proportionate allocation of income multiplied by an assumed tax rate equal to the highest effective marginal combined U.S. federal, state and local income tax rate prescribed for an individual or corporate resident of New York, NY (taking into account the non-deductibility of certain expenses and the character of our income). As a result of (i) potential differences in the amount of taxable income allocable to us and the other LLC Unit 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w:t>
      </w:r>
    </w:p>
    <w:p>
      <w:pPr>
        <w:spacing w:after="0" w:line="171" w:lineRule="exact"/>
        <w:rPr>
          <w:sz w:val="20"/>
          <w:szCs w:val="20"/>
          <w:color w:val="auto"/>
        </w:rPr>
      </w:pPr>
    </w:p>
    <w:p>
      <w:pPr>
        <w:ind w:left="460" w:right="140" w:firstLine="413"/>
        <w:spacing w:after="0" w:line="267" w:lineRule="auto"/>
        <w:rPr>
          <w:sz w:val="20"/>
          <w:szCs w:val="20"/>
          <w:color w:val="auto"/>
        </w:rPr>
      </w:pPr>
      <w:r>
        <w:rPr>
          <w:rFonts w:ascii="Arial" w:cs="Arial" w:eastAsia="Arial" w:hAnsi="Arial"/>
          <w:sz w:val="16"/>
          <w:szCs w:val="16"/>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Unitholders or any other person, we will issue an equal number of shares of our Class B common stock to such Unitholders or any other person.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74" w:lineRule="exact"/>
        <w:rPr>
          <w:sz w:val="20"/>
          <w:szCs w:val="20"/>
          <w:color w:val="auto"/>
        </w:rPr>
      </w:pPr>
    </w:p>
    <w:p>
      <w:pPr>
        <w:ind w:left="460" w:right="20" w:firstLine="413"/>
        <w:spacing w:after="0" w:line="267" w:lineRule="auto"/>
        <w:rPr>
          <w:sz w:val="20"/>
          <w:szCs w:val="20"/>
          <w:color w:val="auto"/>
        </w:rPr>
      </w:pPr>
      <w:r>
        <w:rPr>
          <w:rFonts w:ascii="Arial" w:cs="Arial" w:eastAsia="Arial" w:hAnsi="Arial"/>
          <w:sz w:val="16"/>
          <w:szCs w:val="16"/>
          <w:color w:val="auto"/>
        </w:rPr>
        <w:t>Under our Amended LLC Agreement, the holders of LLC Units (other than us) have the right to require Definitive OpCo to redeem or exchange all or a portion of their LLC Units for newly-issued shares of Class A common stock, which may consist of unregistered shares, on a one-for-one basis (subject to customary adjustments, including for stock splits, stock dividends and reclassifications).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holders of LLC Units. Definitive OpCo will then distribute the shares of our Class A common stock to such holder of an LLC Unit to complete the exchange. In the event of an exchange request by a holder of an LLC Unit, we may at our option effect a direct exchange of Class A common stock for LLC Units in lieu of such exchange.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an exchange request of a holder of an LLC Unit, exchange LLC Units of such holder pursuant to the terms of the Amended LLC Agreement. The holders of vested equity in AIDH Management Holdings, LLC will have the right, pursuant to the terms of the amended and restated limited liability company agreement of AIDH Management Holdings, LLC, to cause Definitive OpCo to redeem or exchange their vested equity for newly</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800"/>
          </w:cols>
          <w:pgMar w:left="320" w:top="465" w:right="77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issued shares of Class A common stock on a one-for-one basis pursuant to the terms of the Amended LLC Agreement.</w:t>
      </w:r>
    </w:p>
    <w:p>
      <w:pPr>
        <w:spacing w:after="0" w:line="210" w:lineRule="exact"/>
        <w:rPr>
          <w:sz w:val="20"/>
          <w:szCs w:val="20"/>
          <w:color w:val="auto"/>
        </w:rPr>
      </w:pPr>
    </w:p>
    <w:p>
      <w:pPr>
        <w:ind w:left="460" w:right="100" w:firstLine="413"/>
        <w:spacing w:after="0" w:line="291" w:lineRule="auto"/>
        <w:rPr>
          <w:sz w:val="20"/>
          <w:szCs w:val="20"/>
          <w:color w:val="auto"/>
        </w:rPr>
      </w:pPr>
      <w:r>
        <w:rPr>
          <w:rFonts w:ascii="Arial" w:cs="Arial" w:eastAsia="Arial" w:hAnsi="Arial"/>
          <w:sz w:val="15"/>
          <w:szCs w:val="15"/>
          <w:color w:val="auto"/>
        </w:rPr>
        <w:t>The Amended LLC Agreement provides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holders of LLC Units will be permitted to participate in such offer by delivery of a notice of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exchange LLC Units.</w:t>
      </w:r>
    </w:p>
    <w:p>
      <w:pPr>
        <w:spacing w:after="0" w:line="157"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The Amended LLC Agreement provides that, except for transfers to us as provided above or to certain permitted transferees, the LLC Units and shares of Class B common stock may not be sold, transferred or otherwise disposed of.</w:t>
      </w:r>
    </w:p>
    <w:p>
      <w:pPr>
        <w:spacing w:after="0" w:line="165" w:lineRule="exact"/>
        <w:rPr>
          <w:sz w:val="20"/>
          <w:szCs w:val="20"/>
          <w:color w:val="auto"/>
        </w:rPr>
      </w:pPr>
    </w:p>
    <w:p>
      <w:pPr>
        <w:ind w:left="460" w:right="200" w:firstLine="413"/>
        <w:spacing w:after="0" w:line="284" w:lineRule="auto"/>
        <w:rPr>
          <w:sz w:val="20"/>
          <w:szCs w:val="20"/>
          <w:color w:val="auto"/>
        </w:rPr>
      </w:pPr>
      <w:r>
        <w:rPr>
          <w:rFonts w:ascii="Arial" w:cs="Arial" w:eastAsia="Arial" w:hAnsi="Arial"/>
          <w:sz w:val="16"/>
          <w:szCs w:val="16"/>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57"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6"/>
          <w:szCs w:val="16"/>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Tax Receivable Agreement</w:t>
      </w:r>
    </w:p>
    <w:p>
      <w:pPr>
        <w:spacing w:after="0" w:line="112" w:lineRule="exact"/>
        <w:rPr>
          <w:sz w:val="20"/>
          <w:szCs w:val="20"/>
          <w:color w:val="auto"/>
        </w:rPr>
      </w:pPr>
    </w:p>
    <w:p>
      <w:pPr>
        <w:ind w:left="460" w:right="80" w:firstLine="413"/>
        <w:spacing w:after="0" w:line="253" w:lineRule="auto"/>
        <w:rPr>
          <w:sz w:val="20"/>
          <w:szCs w:val="20"/>
          <w:color w:val="auto"/>
        </w:rPr>
      </w:pPr>
      <w:r>
        <w:rPr>
          <w:rFonts w:ascii="Arial" w:cs="Arial" w:eastAsia="Arial" w:hAnsi="Arial"/>
          <w:sz w:val="17"/>
          <w:szCs w:val="17"/>
          <w:color w:val="auto"/>
        </w:rPr>
        <w:t>As described under “Prospectus Summary—Organizational Structure,” we acquired certain favorable tax attributes from the Blocker Companies in the Reorganization Transactions and certain tax basis adjustments resulting from the acquisition of LLC Units from Unitholders in connection with the IPO. In addition, the acquisition of LLC Units from Unitholders in connection with this offering and future exchanges by Unitholders of LLC Units for shares of our Class A common stock or other consideration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82"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In connection with the IPO, we entered into a Tax Receivable Agreement with the TRA Parties. Under the Tax Receivable Agreement,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acquired from the Blocker Companies, (ii) tax basis adjustments resulting from (a) acquisitions by us of LLC Units from existing holders, including in connection with this offering and (b) future exchanges of LLC Units by Unitholders for Class A common stock or other consideration and (iii) certain payments made under the Tax Receivable Agreement. Definitive OpCo intends to have in effect an election under Section 754 of the Code effective for each taxable year in which an exchange (including deemed exchange) of LLC Units for Class A common stock occurs. The payment obligations under the Tax Receivable Agreement are our obligations and not the obligations of Definitive OpCo.</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780"/>
          </w:cols>
          <w:pgMar w:left="320" w:top="466" w:right="79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We expect that the payments we will be required to make under the Tax Receivable Agreement will be substantial. Assuming no material changes in relevant tax law and that we earn sufficient taxable income to realize all tax benefits that are subject to the Tax Receivable Agreement, the tax savings associated with all tax attributes described above would aggregate to approximately $1,173.0 million over 15 years from the date of the completion of this offering, based on a public offering price of $41.90 per share of Class A common stock, which is the last reported sale price of our Class A common stock on the Nasdaq on November 12, 2021 and assuming (i) all future exchanges and the exchanges in this offering would occur at such price on the date of this offering, and (ii) based on relevant fair market value and facts for any historical exchanges. Under this scenario, we would be required to pay the TRA Parties approximately 85% of such amount, or $997.0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 Payments under the Tax Receivable Agreement are not conditioned on our existing owners’ continued ownership of us after this offering.</w:t>
      </w:r>
    </w:p>
    <w:p>
      <w:pPr>
        <w:spacing w:after="0" w:line="165" w:lineRule="exact"/>
        <w:rPr>
          <w:sz w:val="20"/>
          <w:szCs w:val="20"/>
          <w:color w:val="auto"/>
        </w:rPr>
      </w:pPr>
    </w:p>
    <w:p>
      <w:pPr>
        <w:ind w:left="460" w:right="60" w:firstLine="413"/>
        <w:spacing w:after="0" w:line="285" w:lineRule="auto"/>
        <w:rPr>
          <w:sz w:val="20"/>
          <w:szCs w:val="20"/>
          <w:color w:val="auto"/>
        </w:rPr>
      </w:pPr>
      <w:r>
        <w:rPr>
          <w:rFonts w:ascii="Arial" w:cs="Arial" w:eastAsia="Arial" w:hAnsi="Arial"/>
          <w:sz w:val="15"/>
          <w:szCs w:val="15"/>
          <w:color w:val="auto"/>
        </w:rPr>
        <w:t>Payments under the Tax Receivable Agreement will be based on the tax reporting positions we determine, and the IRS or another taxing authority may challenge all or a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benefits are subsequently disallowed, except that any excess payments made to a TRA Party will be netted against future payments otherwise to be made to such TRA Party under the Tax Receivable Agreement, if any, after our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(2) upon certain changes of control or (3) if, at any time,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change of control provisions in the Tax Receivable Agreement may result in situations where the TRA Parties have interests that differ from or are in addition to those of our other stockholders.</w:t>
      </w:r>
    </w:p>
    <w:p>
      <w:pPr>
        <w:spacing w:after="0" w:line="163" w:lineRule="exact"/>
        <w:rPr>
          <w:sz w:val="20"/>
          <w:szCs w:val="20"/>
          <w:color w:val="auto"/>
        </w:rPr>
      </w:pPr>
    </w:p>
    <w:p>
      <w:pPr>
        <w:ind w:left="460" w:right="40" w:firstLine="413"/>
        <w:spacing w:after="0" w:line="296" w:lineRule="auto"/>
        <w:rPr>
          <w:sz w:val="20"/>
          <w:szCs w:val="20"/>
          <w:color w:val="auto"/>
        </w:rPr>
      </w:pPr>
      <w:r>
        <w:rPr>
          <w:rFonts w:ascii="Arial" w:cs="Arial" w:eastAsia="Arial" w:hAnsi="Arial"/>
          <w:sz w:val="15"/>
          <w:szCs w:val="15"/>
          <w:color w:val="auto"/>
        </w:rPr>
        <w:t>Finally, because we are a holding company with no operations of our own, our ability to make payments under the Tax Receivable Agreement depends on the ability of Definitive OpCo to make distributions to us. To the extent that we are unable to make payments under the Tax Receivable Agreement for any reason, such payments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8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780"/>
          </w:cols>
          <w:pgMar w:left="320" w:top="466" w:right="79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Nominating Agreement</w:t>
      </w:r>
      <w:r>
        <w:rPr>
          <w:rFonts w:ascii="Arial" w:cs="Arial" w:eastAsia="Arial" w:hAnsi="Arial"/>
          <w:sz w:val="17"/>
          <w:szCs w:val="17"/>
          <w:color w:val="auto"/>
        </w:rPr>
        <w:t>s</w:t>
      </w:r>
    </w:p>
    <w:p>
      <w:pPr>
        <w:spacing w:after="0" w:line="112"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We entered into nominating agreements, pursuant to which (a) Advent and its affiliates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Registration Rights Agreement</w:t>
      </w:r>
    </w:p>
    <w:p>
      <w:pPr>
        <w:spacing w:after="0" w:line="112"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In connection with the IPO, we entered into a registration rights agreement with certain of the Unitholders and affiliates of Advent, affiliates of Spectrum Equity, Jason Krantz, AIDH Management Holdings, LLC and affiliates of 22C Capital.</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Samuel Allen Hamood Trust U/A 8/27/2010</w:t>
      </w:r>
    </w:p>
    <w:p>
      <w:pPr>
        <w:spacing w:after="0" w:line="112" w:lineRule="exact"/>
        <w:rPr>
          <w:sz w:val="20"/>
          <w:szCs w:val="20"/>
          <w:color w:val="auto"/>
        </w:rPr>
      </w:pPr>
    </w:p>
    <w:p>
      <w:pPr>
        <w:ind w:left="460" w:right="40" w:firstLine="413"/>
        <w:spacing w:after="0" w:line="340" w:lineRule="auto"/>
        <w:rPr>
          <w:sz w:val="20"/>
          <w:szCs w:val="20"/>
          <w:color w:val="auto"/>
        </w:rPr>
      </w:pPr>
      <w:r>
        <w:rPr>
          <w:rFonts w:ascii="Arial" w:cs="Arial" w:eastAsia="Arial" w:hAnsi="Arial"/>
          <w:sz w:val="15"/>
          <w:szCs w:val="15"/>
          <w:color w:val="auto"/>
        </w:rPr>
        <w:t>On October 12, 2020, the Samuel Allen Hamood Trust U/A 8/27/2010 purchased 294,117 Class A Common Units of OpCo through the subscription for and purchase of 294,117 Class A Common Units of AIDH Management Holdings, LLC, for an aggregate purchase price of $3,000,000.</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Mr. Musslewhite</w:t>
      </w:r>
    </w:p>
    <w:p>
      <w:pPr>
        <w:spacing w:after="0" w:line="112" w:lineRule="exact"/>
        <w:rPr>
          <w:sz w:val="20"/>
          <w:szCs w:val="20"/>
          <w:color w:val="auto"/>
        </w:rPr>
      </w:pPr>
    </w:p>
    <w:p>
      <w:pPr>
        <w:ind w:left="460" w:right="240" w:firstLine="413"/>
        <w:spacing w:after="0" w:line="303" w:lineRule="auto"/>
        <w:rPr>
          <w:sz w:val="20"/>
          <w:szCs w:val="20"/>
          <w:color w:val="auto"/>
        </w:rPr>
      </w:pPr>
      <w:r>
        <w:rPr>
          <w:rFonts w:ascii="Arial" w:cs="Arial" w:eastAsia="Arial" w:hAnsi="Arial"/>
          <w:sz w:val="16"/>
          <w:szCs w:val="16"/>
          <w:color w:val="auto"/>
        </w:rPr>
        <w:t>In June 2021, the Robert Musslewhite 2014 Family Trust purchased 330,469 Class A Common Units of OpCo through the subscription for and purchase of 330,469 Class A Common Units of AIDH Management Holdings, LLC, for an aggregate purchase price of $5,000,000.</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Ms. Larsen</w:t>
      </w:r>
    </w:p>
    <w:p>
      <w:pPr>
        <w:spacing w:after="0" w:line="112"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On May 20, 2021 Ms. Larsen purchased 33,047 Class A Common Units of OpCo through her subscription for and purchase of 33,047 Class A Common Units of AIDH Management Holdings, LLC for an aggregate purchase price of $500,000.</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Related Party Transactions Policies and Procedures</w:t>
      </w:r>
    </w:p>
    <w:p>
      <w:pPr>
        <w:spacing w:after="0" w:line="112"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We have a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75"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For purposes of the Policy, subject to certain exceptions, a “related person transaction” is a transaction, arrangement or relationship (or any series of similar transactions, arrangements or relationships) in which we were, are or will be a participant and in which any related person (as defined in the Policy) had, has or will have a direct or indirect material interest. A “related person transaction” does not include, for example, any employment relationship or transaction involving an executive officer and any related compensation resulting solely from that employment relationship that has been reviewed and approved by our board of directors.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760"/>
          </w:cols>
          <w:pgMar w:left="320" w:top="466" w:right="81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The Policy requires that notice of a proposed transaction or arrangement that could be a related person transaction be provided to our legal department, the chair of the Board or the chair of the Audit Committee prior to entry into such transaction. If our legal department determines that such transaction could be a related person transaction, the proposed transaction will be submitted to our Audit Committee for consideration at its next meeting or sooner if determined to be necessary.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modify the related person transaction and whether to make changes to our controls and procedures in connection with the transaction.</w:t>
      </w:r>
    </w:p>
    <w:p>
      <w:pPr>
        <w:spacing w:after="0" w:line="182" w:lineRule="exact"/>
        <w:rPr>
          <w:sz w:val="20"/>
          <w:szCs w:val="20"/>
          <w:color w:val="auto"/>
        </w:rPr>
      </w:pPr>
    </w:p>
    <w:p>
      <w:pPr>
        <w:ind w:left="460" w:right="100" w:firstLine="413"/>
        <w:spacing w:after="0" w:line="256" w:lineRule="auto"/>
        <w:rPr>
          <w:sz w:val="20"/>
          <w:szCs w:val="20"/>
          <w:color w:val="auto"/>
        </w:rPr>
      </w:pPr>
      <w:r>
        <w:rPr>
          <w:rFonts w:ascii="Arial" w:cs="Arial" w:eastAsia="Arial" w:hAnsi="Arial"/>
          <w:sz w:val="17"/>
          <w:szCs w:val="17"/>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700"/>
          </w:cols>
          <w:pgMar w:left="320" w:top="466" w:right="87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DESCRIPTION OF MATERIAL INDEBTEDNESS</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Senior Credit Facilities</w:t>
      </w:r>
    </w:p>
    <w:p>
      <w:pPr>
        <w:spacing w:after="0" w:line="112"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On September 17, 2021 (the “Closing Date”), DH Holdings (as the “Borrower”) entered into the Credit Agreement with the administrative agent, the issuing banks and the lenders from time to time party thereto (the “Lenders”), pursuant to which the Lenders agreed to provide the Senior Credit Facilities, consisting of (i) the Term Facility in an original principal amount equal to $275.0 million (the Term Facility and the loans thereunder, the “Initial Term Loans”), (ii) the Revolving Credit Facility in an original principal amount equal to $75.0 million (the Revolving Credit Facility and the loans thereunder, the “Initial Revolving Loans”), the proceeds of which were used to repay the remaining portion of the indebtedness outstanding under the 2019 Credit Agreement and to pay related fees and expenses. See “Prospectus Summary—Debt Refinancing.”</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08"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Borrowings under the Senior Credit Facilities bear interest, at the Borrower’s option, at a rate per annum equal to either (a) LIBO Rate (as defined in the Credit Agreement) plus the applicable LIBO Rate spread or (b) ABR plus the applicable ABR spread.</w:t>
      </w:r>
    </w:p>
    <w:p>
      <w:pPr>
        <w:spacing w:after="0" w:line="165"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applicable LIBO Rate and ABR spreads are calculated based upon the total leverage ratio of the Borrower and its restricted subsidiaries on a consolidated basis, as set forth below (until the first Adjustment Date (as defined in the Credit Agreement) following the completion of at least three full fiscal quarters after the Closing Date, the applicable rates for any Initial Term Loans and/or any Initial Revolving Loans are as set forth in Category 1 below).</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5"/>
              </w:rPr>
              <w:t>ABR Spread for</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6"/>
              </w:rPr>
              <w:t>Initial revolving</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2"/>
            <w:vMerge w:val="restart"/>
          </w:tcPr>
          <w:p>
            <w:pPr>
              <w:jc w:val="center"/>
              <w:ind w:right="700"/>
              <w:spacing w:after="0"/>
              <w:rPr>
                <w:sz w:val="20"/>
                <w:szCs w:val="20"/>
                <w:color w:val="auto"/>
              </w:rPr>
            </w:pPr>
            <w:r>
              <w:rPr>
                <w:rFonts w:ascii="Arial" w:cs="Arial" w:eastAsia="Arial" w:hAnsi="Arial"/>
                <w:sz w:val="13"/>
                <w:szCs w:val="13"/>
                <w:b w:val="1"/>
                <w:bCs w:val="1"/>
                <w:color w:val="auto"/>
                <w:w w:val="94"/>
              </w:rPr>
              <w:t>ABR Spread</w:t>
            </w:r>
          </w:p>
        </w:tc>
        <w:tc>
          <w:tcPr>
            <w:tcW w:w="1760" w:type="dxa"/>
            <w:vAlign w:val="bottom"/>
            <w:gridSpan w:val="2"/>
            <w:vMerge w:val="restart"/>
          </w:tcPr>
          <w:p>
            <w:pPr>
              <w:jc w:val="center"/>
              <w:ind w:right="680"/>
              <w:spacing w:after="0"/>
              <w:rPr>
                <w:sz w:val="20"/>
                <w:szCs w:val="20"/>
                <w:color w:val="auto"/>
              </w:rPr>
            </w:pPr>
            <w:r>
              <w:rPr>
                <w:rFonts w:ascii="Arial" w:cs="Arial" w:eastAsia="Arial" w:hAnsi="Arial"/>
                <w:sz w:val="13"/>
                <w:szCs w:val="13"/>
                <w:b w:val="1"/>
                <w:bCs w:val="1"/>
                <w:color w:val="auto"/>
                <w:w w:val="97"/>
              </w:rPr>
              <w:t>LIBO Rate Spread</w:t>
            </w:r>
          </w:p>
        </w:tc>
        <w:tc>
          <w:tcPr>
            <w:tcW w:w="184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2"/>
              </w:rPr>
              <w:t>Loans (including</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LIBO Rate</w:t>
            </w: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4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2"/>
              </w:rPr>
              <w:t>Swingline Loans (as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 Net Leverage Ratio</w:t>
            </w:r>
          </w:p>
        </w:tc>
        <w:tc>
          <w:tcPr>
            <w:tcW w:w="1580" w:type="dxa"/>
            <w:vAlign w:val="bottom"/>
            <w:gridSpan w:val="2"/>
          </w:tcPr>
          <w:p>
            <w:pPr>
              <w:jc w:val="center"/>
              <w:ind w:right="700"/>
              <w:spacing w:after="0" w:line="139" w:lineRule="exact"/>
              <w:rPr>
                <w:sz w:val="20"/>
                <w:szCs w:val="20"/>
                <w:color w:val="auto"/>
              </w:rPr>
            </w:pPr>
            <w:r>
              <w:rPr>
                <w:rFonts w:ascii="Arial" w:cs="Arial" w:eastAsia="Arial" w:hAnsi="Arial"/>
                <w:sz w:val="13"/>
                <w:szCs w:val="13"/>
                <w:b w:val="1"/>
                <w:bCs w:val="1"/>
                <w:color w:val="auto"/>
                <w:w w:val="97"/>
              </w:rPr>
              <w:t>for Initial Term</w:t>
            </w:r>
          </w:p>
        </w:tc>
        <w:tc>
          <w:tcPr>
            <w:tcW w:w="1760" w:type="dxa"/>
            <w:vAlign w:val="bottom"/>
            <w:gridSpan w:val="2"/>
          </w:tcPr>
          <w:p>
            <w:pPr>
              <w:jc w:val="center"/>
              <w:ind w:right="700"/>
              <w:spacing w:after="0" w:line="139" w:lineRule="exact"/>
              <w:rPr>
                <w:sz w:val="20"/>
                <w:szCs w:val="20"/>
                <w:color w:val="auto"/>
              </w:rPr>
            </w:pPr>
            <w:r>
              <w:rPr>
                <w:rFonts w:ascii="Arial" w:cs="Arial" w:eastAsia="Arial" w:hAnsi="Arial"/>
                <w:sz w:val="13"/>
                <w:szCs w:val="13"/>
                <w:b w:val="1"/>
                <w:bCs w:val="1"/>
                <w:color w:val="auto"/>
                <w:w w:val="99"/>
              </w:rPr>
              <w:t>for Initial Term</w:t>
            </w:r>
          </w:p>
        </w:tc>
        <w:tc>
          <w:tcPr>
            <w:tcW w:w="184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4"/>
              </w:rPr>
              <w:t>defined in the</w:t>
            </w:r>
          </w:p>
        </w:tc>
        <w:tc>
          <w:tcPr>
            <w:tcW w:w="12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7"/>
              </w:rPr>
              <w:t>Spread for Initial</w:t>
            </w: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1580" w:type="dxa"/>
            <w:vAlign w:val="bottom"/>
            <w:gridSpan w:val="2"/>
          </w:tcPr>
          <w:p>
            <w:pPr>
              <w:jc w:val="center"/>
              <w:ind w:right="700"/>
              <w:spacing w:after="0" w:line="114" w:lineRule="exact"/>
              <w:rPr>
                <w:sz w:val="20"/>
                <w:szCs w:val="20"/>
                <w:color w:val="auto"/>
              </w:rPr>
            </w:pPr>
            <w:r>
              <w:rPr>
                <w:rFonts w:ascii="Arial" w:cs="Arial" w:eastAsia="Arial" w:hAnsi="Arial"/>
                <w:sz w:val="13"/>
                <w:szCs w:val="13"/>
                <w:b w:val="1"/>
                <w:bCs w:val="1"/>
                <w:color w:val="auto"/>
                <w:w w:val="93"/>
              </w:rPr>
              <w:t>Loans</w:t>
            </w:r>
          </w:p>
        </w:tc>
        <w:tc>
          <w:tcPr>
            <w:tcW w:w="1760" w:type="dxa"/>
            <w:vAlign w:val="bottom"/>
            <w:gridSpan w:val="2"/>
          </w:tcPr>
          <w:p>
            <w:pPr>
              <w:jc w:val="center"/>
              <w:ind w:right="680"/>
              <w:spacing w:after="0" w:line="114" w:lineRule="exact"/>
              <w:rPr>
                <w:sz w:val="20"/>
                <w:szCs w:val="20"/>
                <w:color w:val="auto"/>
              </w:rPr>
            </w:pPr>
            <w:r>
              <w:rPr>
                <w:rFonts w:ascii="Arial" w:cs="Arial" w:eastAsia="Arial" w:hAnsi="Arial"/>
                <w:sz w:val="13"/>
                <w:szCs w:val="13"/>
                <w:b w:val="1"/>
                <w:bCs w:val="1"/>
                <w:color w:val="auto"/>
                <w:w w:val="93"/>
              </w:rPr>
              <w:t>Loans</w:t>
            </w:r>
          </w:p>
        </w:tc>
        <w:tc>
          <w:tcPr>
            <w:tcW w:w="1840" w:type="dxa"/>
            <w:vAlign w:val="bottom"/>
            <w:gridSpan w:val="2"/>
          </w:tcPr>
          <w:p>
            <w:pPr>
              <w:jc w:val="center"/>
              <w:ind w:right="680"/>
              <w:spacing w:after="0" w:line="114" w:lineRule="exact"/>
              <w:rPr>
                <w:sz w:val="20"/>
                <w:szCs w:val="20"/>
                <w:color w:val="auto"/>
              </w:rPr>
            </w:pPr>
            <w:r>
              <w:rPr>
                <w:rFonts w:ascii="Arial" w:cs="Arial" w:eastAsia="Arial" w:hAnsi="Arial"/>
                <w:sz w:val="13"/>
                <w:szCs w:val="13"/>
                <w:b w:val="1"/>
                <w:bCs w:val="1"/>
                <w:color w:val="auto"/>
                <w:w w:val="95"/>
              </w:rPr>
              <w:t>Credit Agreement))</w:t>
            </w:r>
          </w:p>
        </w:tc>
        <w:tc>
          <w:tcPr>
            <w:tcW w:w="120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92"/>
              </w:rPr>
              <w:t>Revolving Loans</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20" w:type="dxa"/>
            <w:vAlign w:val="bottom"/>
            <w:gridSpan w:val="3"/>
            <w:shd w:val="clear" w:color="auto" w:fill="CCEEFF"/>
          </w:tcPr>
          <w:p>
            <w:pPr>
              <w:spacing w:after="0" w:line="130" w:lineRule="exact"/>
              <w:rPr>
                <w:sz w:val="20"/>
                <w:szCs w:val="20"/>
                <w:color w:val="auto"/>
              </w:rPr>
            </w:pPr>
            <w:r>
              <w:rPr>
                <w:rFonts w:ascii="Arial" w:cs="Arial" w:eastAsia="Arial" w:hAnsi="Arial"/>
                <w:sz w:val="15"/>
                <w:szCs w:val="15"/>
                <w:color w:val="auto"/>
              </w:rPr>
              <w:t>Category 1</w:t>
            </w:r>
          </w:p>
        </w:tc>
        <w:tc>
          <w:tcPr>
            <w:tcW w:w="8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3"/>
          </w:tcPr>
          <w:p>
            <w:pPr>
              <w:spacing w:after="0"/>
              <w:rPr>
                <w:sz w:val="20"/>
                <w:szCs w:val="20"/>
                <w:color w:val="auto"/>
              </w:rPr>
            </w:pPr>
            <w:r>
              <w:rPr>
                <w:rFonts w:ascii="Arial" w:cs="Arial" w:eastAsia="Arial" w:hAnsi="Arial"/>
                <w:sz w:val="17"/>
                <w:szCs w:val="17"/>
                <w:color w:val="auto"/>
              </w:rPr>
              <w:t>Greater than 2.75 to 1.00</w:t>
            </w: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1.25%</w:t>
            </w:r>
          </w:p>
        </w:tc>
        <w:tc>
          <w:tcPr>
            <w:tcW w:w="1760" w:type="dxa"/>
            <w:vAlign w:val="bottom"/>
            <w:gridSpan w:val="2"/>
          </w:tcPr>
          <w:p>
            <w:pPr>
              <w:jc w:val="right"/>
              <w:ind w:right="540"/>
              <w:spacing w:after="0"/>
              <w:rPr>
                <w:sz w:val="20"/>
                <w:szCs w:val="20"/>
                <w:color w:val="auto"/>
              </w:rPr>
            </w:pPr>
            <w:r>
              <w:rPr>
                <w:rFonts w:ascii="Arial" w:cs="Arial" w:eastAsia="Arial" w:hAnsi="Arial"/>
                <w:sz w:val="17"/>
                <w:szCs w:val="17"/>
                <w:color w:val="auto"/>
              </w:rPr>
              <w:t>2.25%</w:t>
            </w:r>
          </w:p>
        </w:tc>
        <w:tc>
          <w:tcPr>
            <w:tcW w:w="1840" w:type="dxa"/>
            <w:vAlign w:val="bottom"/>
            <w:gridSpan w:val="2"/>
          </w:tcPr>
          <w:p>
            <w:pPr>
              <w:jc w:val="right"/>
              <w:ind w:right="540"/>
              <w:spacing w:after="0"/>
              <w:rPr>
                <w:sz w:val="20"/>
                <w:szCs w:val="20"/>
                <w:color w:val="auto"/>
              </w:rPr>
            </w:pPr>
            <w:r>
              <w:rPr>
                <w:rFonts w:ascii="Arial" w:cs="Arial" w:eastAsia="Arial" w:hAnsi="Arial"/>
                <w:sz w:val="17"/>
                <w:szCs w:val="17"/>
                <w:color w:val="auto"/>
              </w:rPr>
              <w:t>1.25%</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65"/>
        </w:trPr>
        <w:tc>
          <w:tcPr>
            <w:tcW w:w="3120" w:type="dxa"/>
            <w:vAlign w:val="bottom"/>
            <w:gridSpan w:val="3"/>
            <w:shd w:val="clear" w:color="auto" w:fill="CCEEFF"/>
          </w:tcPr>
          <w:p>
            <w:pPr>
              <w:spacing w:after="0" w:line="165" w:lineRule="exact"/>
              <w:rPr>
                <w:sz w:val="20"/>
                <w:szCs w:val="20"/>
                <w:color w:val="auto"/>
              </w:rPr>
            </w:pPr>
            <w:r>
              <w:rPr>
                <w:rFonts w:ascii="Arial" w:cs="Arial" w:eastAsia="Arial" w:hAnsi="Arial"/>
                <w:sz w:val="17"/>
                <w:szCs w:val="17"/>
                <w:color w:val="auto"/>
              </w:rPr>
              <w:t>Category 2</w:t>
            </w: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3120" w:type="dxa"/>
            <w:vAlign w:val="bottom"/>
            <w:gridSpan w:val="3"/>
          </w:tcPr>
          <w:p>
            <w:pPr>
              <w:spacing w:after="0" w:line="190" w:lineRule="exact"/>
              <w:rPr>
                <w:sz w:val="20"/>
                <w:szCs w:val="20"/>
                <w:color w:val="auto"/>
              </w:rPr>
            </w:pPr>
            <w:r>
              <w:rPr>
                <w:rFonts w:ascii="Arial" w:cs="Arial" w:eastAsia="Arial" w:hAnsi="Arial"/>
                <w:sz w:val="17"/>
                <w:szCs w:val="17"/>
                <w:color w:val="auto"/>
              </w:rPr>
              <w:t>Greater than 2.25 top 1.00 but less</w:t>
            </w: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20" w:type="dxa"/>
            <w:vAlign w:val="bottom"/>
            <w:gridSpan w:val="3"/>
          </w:tcPr>
          <w:p>
            <w:pPr>
              <w:ind w:left="160"/>
              <w:spacing w:after="0"/>
              <w:rPr>
                <w:sz w:val="20"/>
                <w:szCs w:val="20"/>
                <w:color w:val="auto"/>
              </w:rPr>
            </w:pPr>
            <w:r>
              <w:rPr>
                <w:rFonts w:ascii="Arial" w:cs="Arial" w:eastAsia="Arial" w:hAnsi="Arial"/>
                <w:sz w:val="17"/>
                <w:szCs w:val="17"/>
                <w:color w:val="auto"/>
              </w:rPr>
              <w:t>than or equal to 2.75 to 1.00</w:t>
            </w: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1.00%</w:t>
            </w:r>
          </w:p>
        </w:tc>
        <w:tc>
          <w:tcPr>
            <w:tcW w:w="1760" w:type="dxa"/>
            <w:vAlign w:val="bottom"/>
            <w:gridSpan w:val="2"/>
          </w:tcPr>
          <w:p>
            <w:pPr>
              <w:jc w:val="right"/>
              <w:ind w:right="540"/>
              <w:spacing w:after="0"/>
              <w:rPr>
                <w:sz w:val="20"/>
                <w:szCs w:val="20"/>
                <w:color w:val="auto"/>
              </w:rPr>
            </w:pPr>
            <w:r>
              <w:rPr>
                <w:rFonts w:ascii="Arial" w:cs="Arial" w:eastAsia="Arial" w:hAnsi="Arial"/>
                <w:sz w:val="17"/>
                <w:szCs w:val="17"/>
                <w:color w:val="auto"/>
              </w:rPr>
              <w:t>2.00%</w:t>
            </w:r>
          </w:p>
        </w:tc>
        <w:tc>
          <w:tcPr>
            <w:tcW w:w="1840" w:type="dxa"/>
            <w:vAlign w:val="bottom"/>
            <w:gridSpan w:val="2"/>
          </w:tcPr>
          <w:p>
            <w:pPr>
              <w:jc w:val="right"/>
              <w:ind w:right="540"/>
              <w:spacing w:after="0"/>
              <w:rPr>
                <w:sz w:val="20"/>
                <w:szCs w:val="20"/>
                <w:color w:val="auto"/>
              </w:rPr>
            </w:pPr>
            <w:r>
              <w:rPr>
                <w:rFonts w:ascii="Arial" w:cs="Arial" w:eastAsia="Arial" w:hAnsi="Arial"/>
                <w:sz w:val="17"/>
                <w:szCs w:val="17"/>
                <w:color w:val="auto"/>
              </w:rPr>
              <w:t>1.00%</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65"/>
        </w:trPr>
        <w:tc>
          <w:tcPr>
            <w:tcW w:w="3120" w:type="dxa"/>
            <w:vAlign w:val="bottom"/>
            <w:gridSpan w:val="3"/>
            <w:shd w:val="clear" w:color="auto" w:fill="CCEEFF"/>
          </w:tcPr>
          <w:p>
            <w:pPr>
              <w:spacing w:after="0" w:line="165" w:lineRule="exact"/>
              <w:rPr>
                <w:sz w:val="20"/>
                <w:szCs w:val="20"/>
                <w:color w:val="auto"/>
              </w:rPr>
            </w:pPr>
            <w:r>
              <w:rPr>
                <w:rFonts w:ascii="Arial" w:cs="Arial" w:eastAsia="Arial" w:hAnsi="Arial"/>
                <w:sz w:val="17"/>
                <w:szCs w:val="17"/>
                <w:color w:val="auto"/>
              </w:rPr>
              <w:t>Category 3</w:t>
            </w: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120" w:type="dxa"/>
            <w:vAlign w:val="bottom"/>
            <w:gridSpan w:val="3"/>
          </w:tcPr>
          <w:p>
            <w:pPr>
              <w:spacing w:after="0"/>
              <w:rPr>
                <w:sz w:val="20"/>
                <w:szCs w:val="20"/>
                <w:color w:val="auto"/>
              </w:rPr>
            </w:pPr>
            <w:r>
              <w:rPr>
                <w:rFonts w:ascii="Arial" w:cs="Arial" w:eastAsia="Arial" w:hAnsi="Arial"/>
                <w:sz w:val="17"/>
                <w:szCs w:val="17"/>
                <w:color w:val="auto"/>
              </w:rPr>
              <w:t>Less than or equal to 2.25 to 1.00</w:t>
            </w: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0.75%</w:t>
            </w:r>
          </w:p>
        </w:tc>
        <w:tc>
          <w:tcPr>
            <w:tcW w:w="1760" w:type="dxa"/>
            <w:vAlign w:val="bottom"/>
            <w:gridSpan w:val="2"/>
          </w:tcPr>
          <w:p>
            <w:pPr>
              <w:jc w:val="right"/>
              <w:ind w:right="540"/>
              <w:spacing w:after="0"/>
              <w:rPr>
                <w:sz w:val="20"/>
                <w:szCs w:val="20"/>
                <w:color w:val="auto"/>
              </w:rPr>
            </w:pPr>
            <w:r>
              <w:rPr>
                <w:rFonts w:ascii="Arial" w:cs="Arial" w:eastAsia="Arial" w:hAnsi="Arial"/>
                <w:sz w:val="17"/>
                <w:szCs w:val="17"/>
                <w:color w:val="auto"/>
              </w:rPr>
              <w:t>1.75%</w:t>
            </w:r>
          </w:p>
        </w:tc>
        <w:tc>
          <w:tcPr>
            <w:tcW w:w="1840" w:type="dxa"/>
            <w:vAlign w:val="bottom"/>
            <w:gridSpan w:val="2"/>
          </w:tcPr>
          <w:p>
            <w:pPr>
              <w:jc w:val="right"/>
              <w:ind w:right="540"/>
              <w:spacing w:after="0"/>
              <w:rPr>
                <w:sz w:val="20"/>
                <w:szCs w:val="20"/>
                <w:color w:val="auto"/>
              </w:rPr>
            </w:pPr>
            <w:r>
              <w:rPr>
                <w:rFonts w:ascii="Arial" w:cs="Arial" w:eastAsia="Arial" w:hAnsi="Arial"/>
                <w:sz w:val="17"/>
                <w:szCs w:val="17"/>
                <w:color w:val="auto"/>
              </w:rPr>
              <w:t>0.75%</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fees are required to be paid under the Senior Credit Facilities:</w:t>
      </w:r>
    </w:p>
    <w:p>
      <w:pPr>
        <w:spacing w:after="0" w:line="121" w:lineRule="exact"/>
        <w:rPr>
          <w:sz w:val="20"/>
          <w:szCs w:val="20"/>
          <w:color w:val="auto"/>
        </w:rPr>
      </w:pPr>
    </w:p>
    <w:p>
      <w:pPr>
        <w:ind w:left="1360" w:right="40" w:hanging="498"/>
        <w:spacing w:after="0" w:line="256" w:lineRule="auto"/>
        <w:tabs>
          <w:tab w:leader="none" w:pos="13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a commitment fee to each revolving lender payable quarterly in arrears at a rate calculated based upon the total net leverage ratio of the Borrower and its restricted subsidiaries on a consolidated basis, as set forth below (until the first Adjustment Date (as defined in the Credit Agreement) following the completion of at least three full fiscal quarters after the Closing Date, the commitment fee rate is as set forth in </w:t>
      </w:r>
      <w:r>
        <w:rPr>
          <w:rFonts w:ascii="Arial" w:cs="Arial" w:eastAsia="Arial" w:hAnsi="Arial"/>
          <w:sz w:val="17"/>
          <w:szCs w:val="17"/>
          <w:u w:val="single" w:color="auto"/>
          <w:color w:val="auto"/>
        </w:rPr>
        <w:t>Category 1</w:t>
      </w:r>
      <w:r>
        <w:rPr>
          <w:rFonts w:ascii="Arial" w:cs="Arial" w:eastAsia="Arial" w:hAnsi="Arial"/>
          <w:sz w:val="17"/>
          <w:szCs w:val="17"/>
          <w:color w:val="auto"/>
        </w:rPr>
        <w:t xml:space="preserve"> below):</w:t>
      </w:r>
    </w:p>
    <w:p>
      <w:pPr>
        <w:spacing w:after="0" w:line="187" w:lineRule="exact"/>
        <w:rPr>
          <w:sz w:val="20"/>
          <w:szCs w:val="20"/>
          <w:color w:val="auto"/>
        </w:rPr>
      </w:pPr>
    </w:p>
    <w:tbl>
      <w:tblPr>
        <w:tblLayout w:type="fixed"/>
        <w:tblInd w:w="2120" w:type="dxa"/>
        <w:tblCellMar>
          <w:top w:w="0" w:type="dxa"/>
          <w:left w:w="0" w:type="dxa"/>
          <w:bottom w:w="0" w:type="dxa"/>
          <w:right w:w="0" w:type="dxa"/>
        </w:tblCellMar>
      </w:tblPr>
      <w:tr>
        <w:trPr>
          <w:trHeight w:val="169"/>
        </w:trPr>
        <w:tc>
          <w:tcPr>
            <w:tcW w:w="5520" w:type="dxa"/>
            <w:vAlign w:val="bottom"/>
            <w:gridSpan w:val="3"/>
          </w:tcPr>
          <w:p>
            <w:pPr>
              <w:spacing w:after="0"/>
              <w:rPr>
                <w:sz w:val="20"/>
                <w:szCs w:val="20"/>
                <w:color w:val="auto"/>
              </w:rPr>
            </w:pPr>
            <w:r>
              <w:rPr>
                <w:rFonts w:ascii="Arial" w:cs="Arial" w:eastAsia="Arial" w:hAnsi="Arial"/>
                <w:sz w:val="13"/>
                <w:szCs w:val="13"/>
                <w:b w:val="1"/>
                <w:bCs w:val="1"/>
                <w:color w:val="auto"/>
              </w:rPr>
              <w:t>Total Net Leverage Ratio</w:t>
            </w:r>
          </w:p>
        </w:tc>
        <w:tc>
          <w:tcPr>
            <w:tcW w:w="15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Commitment Fee Rate</w:t>
            </w: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30"/>
        </w:trPr>
        <w:tc>
          <w:tcPr>
            <w:tcW w:w="5520" w:type="dxa"/>
            <w:vAlign w:val="bottom"/>
            <w:gridSpan w:val="3"/>
            <w:shd w:val="clear" w:color="auto" w:fill="CCEEFF"/>
          </w:tcPr>
          <w:p>
            <w:pPr>
              <w:spacing w:after="0" w:line="130" w:lineRule="exact"/>
              <w:rPr>
                <w:sz w:val="20"/>
                <w:szCs w:val="20"/>
                <w:color w:val="auto"/>
              </w:rPr>
            </w:pPr>
            <w:r>
              <w:rPr>
                <w:rFonts w:ascii="Arial" w:cs="Arial" w:eastAsia="Arial" w:hAnsi="Arial"/>
                <w:sz w:val="15"/>
                <w:szCs w:val="15"/>
                <w:color w:val="auto"/>
              </w:rPr>
              <w:t>Category 1</w:t>
            </w:r>
          </w:p>
        </w:tc>
        <w:tc>
          <w:tcPr>
            <w:tcW w:w="1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38"/>
        </w:trPr>
        <w:tc>
          <w:tcPr>
            <w:tcW w:w="740" w:type="dxa"/>
            <w:vAlign w:val="bottom"/>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203"/>
        </w:trPr>
        <w:tc>
          <w:tcPr>
            <w:tcW w:w="5520" w:type="dxa"/>
            <w:vAlign w:val="bottom"/>
            <w:gridSpan w:val="3"/>
          </w:tcPr>
          <w:p>
            <w:pPr>
              <w:spacing w:after="0"/>
              <w:rPr>
                <w:sz w:val="20"/>
                <w:szCs w:val="20"/>
                <w:color w:val="auto"/>
              </w:rPr>
            </w:pPr>
            <w:r>
              <w:rPr>
                <w:rFonts w:ascii="Arial" w:cs="Arial" w:eastAsia="Arial" w:hAnsi="Arial"/>
                <w:sz w:val="17"/>
                <w:szCs w:val="17"/>
                <w:color w:val="auto"/>
              </w:rPr>
              <w:t>Greater than 2.75 to 1.00</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0.30%</w:t>
            </w:r>
          </w:p>
        </w:tc>
      </w:tr>
      <w:tr>
        <w:trPr>
          <w:trHeight w:val="165"/>
        </w:trPr>
        <w:tc>
          <w:tcPr>
            <w:tcW w:w="5520" w:type="dxa"/>
            <w:vAlign w:val="bottom"/>
            <w:gridSpan w:val="3"/>
            <w:shd w:val="clear" w:color="auto" w:fill="CCEEFF"/>
          </w:tcPr>
          <w:p>
            <w:pPr>
              <w:spacing w:after="0" w:line="165" w:lineRule="exact"/>
              <w:rPr>
                <w:sz w:val="20"/>
                <w:szCs w:val="20"/>
                <w:color w:val="auto"/>
              </w:rPr>
            </w:pPr>
            <w:r>
              <w:rPr>
                <w:rFonts w:ascii="Arial" w:cs="Arial" w:eastAsia="Arial" w:hAnsi="Arial"/>
                <w:sz w:val="17"/>
                <w:szCs w:val="17"/>
                <w:color w:val="auto"/>
              </w:rPr>
              <w:t>Category 2</w:t>
            </w: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38"/>
        </w:trPr>
        <w:tc>
          <w:tcPr>
            <w:tcW w:w="740" w:type="dxa"/>
            <w:vAlign w:val="bottom"/>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214"/>
        </w:trPr>
        <w:tc>
          <w:tcPr>
            <w:tcW w:w="5520" w:type="dxa"/>
            <w:vAlign w:val="bottom"/>
            <w:gridSpan w:val="3"/>
          </w:tcPr>
          <w:p>
            <w:pPr>
              <w:spacing w:after="0"/>
              <w:rPr>
                <w:sz w:val="20"/>
                <w:szCs w:val="20"/>
                <w:color w:val="auto"/>
              </w:rPr>
            </w:pPr>
            <w:r>
              <w:rPr>
                <w:rFonts w:ascii="Arial" w:cs="Arial" w:eastAsia="Arial" w:hAnsi="Arial"/>
                <w:sz w:val="17"/>
                <w:szCs w:val="17"/>
                <w:color w:val="auto"/>
              </w:rPr>
              <w:t>Equal to or less than 2.75 to 1.00</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0.25%</w:t>
            </w:r>
          </w:p>
        </w:tc>
      </w:tr>
    </w:tbl>
    <w:p>
      <w:pPr>
        <w:spacing w:after="0" w:line="90" w:lineRule="exact"/>
        <w:rPr>
          <w:sz w:val="20"/>
          <w:szCs w:val="20"/>
          <w:color w:val="auto"/>
        </w:rPr>
      </w:pPr>
    </w:p>
    <w:p>
      <w:pPr>
        <w:ind w:left="5500" w:right="4420" w:hanging="4638"/>
        <w:spacing w:after="0" w:line="443" w:lineRule="auto"/>
        <w:tabs>
          <w:tab w:leader="none" w:pos="137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 annual administrative agency fee payable to the Administrative Agent; 169</w:t>
      </w:r>
    </w:p>
    <w:p>
      <w:pPr>
        <w:sectPr>
          <w:pgSz w:w="11900" w:h="16838" w:orient="portrait"/>
          <w:cols w:equalWidth="0" w:num="1">
            <w:col w:w="10760"/>
          </w:cols>
          <w:pgMar w:left="320" w:top="466" w:right="81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480" w:hanging="498"/>
        <w:spacing w:after="0" w:line="272" w:lineRule="auto"/>
        <w:tabs>
          <w:tab w:leader="none" w:pos="13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 participation fee to each revolving lender payable quarterly in arrears at a rate equal to the applicable LIBO Rate margin for Initial Revolving Loans on the daily face amount of such revolving lender’s letter of credit exposure; and</w:t>
      </w:r>
    </w:p>
    <w:p>
      <w:pPr>
        <w:spacing w:after="0" w:line="76" w:lineRule="exact"/>
        <w:rPr>
          <w:rFonts w:ascii="Arial" w:cs="Arial" w:eastAsia="Arial" w:hAnsi="Arial"/>
          <w:sz w:val="17"/>
          <w:szCs w:val="17"/>
          <w:color w:val="auto"/>
        </w:rPr>
      </w:pPr>
    </w:p>
    <w:p>
      <w:pPr>
        <w:jc w:val="both"/>
        <w:ind w:left="1360" w:right="80" w:hanging="498"/>
        <w:spacing w:after="0" w:line="311" w:lineRule="auto"/>
        <w:tabs>
          <w:tab w:leader="none" w:pos="13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 fronting fee to each issuing bank payable quarterly in arrears at a rate agreed to by the applicable issuing bank and the Borrower (not to exceed 0.125% per annum) on the daily face amount of such issuing bank’s letter of credit exposure and such issuing bank’s standard fees with respect to the issuance, amendment, renewal or extension of letters of credit or processing of drawings thereunder.</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08"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Subject to certain notice requirements, the Borrower may voluntarily prepay outstanding loans under the Credit Agreement in whole or in part without premium or penalty other than customary “breakage” costs with respect to LIBO Rate loans.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Amortization; Mandatory Prepayments; Final Maturity</w:t>
      </w:r>
    </w:p>
    <w:p>
      <w:pPr>
        <w:spacing w:after="0" w:line="108" w:lineRule="exact"/>
        <w:rPr>
          <w:sz w:val="20"/>
          <w:szCs w:val="20"/>
          <w:color w:val="auto"/>
        </w:rPr>
      </w:pPr>
    </w:p>
    <w:p>
      <w:pPr>
        <w:ind w:left="460" w:right="60" w:firstLine="413"/>
        <w:spacing w:after="0" w:line="287" w:lineRule="auto"/>
        <w:rPr>
          <w:sz w:val="20"/>
          <w:szCs w:val="20"/>
          <w:color w:val="auto"/>
        </w:rPr>
      </w:pPr>
      <w:r>
        <w:rPr>
          <w:rFonts w:ascii="Arial" w:cs="Arial" w:eastAsia="Arial" w:hAnsi="Arial"/>
          <w:sz w:val="15"/>
          <w:szCs w:val="15"/>
          <w:color w:val="auto"/>
        </w:rPr>
        <w:t>The Term Facility is subject to amortization of principal, payable in quarterly installments on the last day of each fiscal quarter, commencing on December 31, 2021 (the “Initial Amortization Date”), equal to approximately 2.5% per annum of the principal amount of the term loans in the first year after the Initial Amortization Date, 2.5% per annum of the principal amount of the term loans in the second year after the Initial Amortization Date,</w:t>
      </w:r>
    </w:p>
    <w:p>
      <w:pPr>
        <w:spacing w:after="0" w:line="1" w:lineRule="exact"/>
        <w:rPr>
          <w:sz w:val="20"/>
          <w:szCs w:val="20"/>
          <w:color w:val="auto"/>
        </w:rPr>
      </w:pPr>
    </w:p>
    <w:p>
      <w:pPr>
        <w:ind w:left="460" w:right="100"/>
        <w:spacing w:after="0" w:line="302" w:lineRule="auto"/>
        <w:rPr>
          <w:sz w:val="20"/>
          <w:szCs w:val="20"/>
          <w:color w:val="auto"/>
        </w:rPr>
      </w:pPr>
      <w:r>
        <w:rPr>
          <w:rFonts w:ascii="Arial" w:cs="Arial" w:eastAsia="Arial" w:hAnsi="Arial"/>
          <w:sz w:val="15"/>
          <w:szCs w:val="15"/>
          <w:color w:val="auto"/>
        </w:rPr>
        <w:t>5.0% per annum of the principal amount of the term loans in the third year after the Initial Amortization Date, 5.0% per annum of the principal amount of the term loans in the fourth year after the Initial Amortization Date and 5.0% per annum of the principal amount of the term loans in the fifth year after the Initial Amortization Date. The remaining initial aggregate advances under the Term Facility are payable at the maturity of the Term Facility.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addition, the Credit Agreement requires mandatory prepayments of the Term Loans with:</w:t>
      </w:r>
    </w:p>
    <w:p>
      <w:pPr>
        <w:spacing w:after="0" w:line="121" w:lineRule="exact"/>
        <w:rPr>
          <w:sz w:val="20"/>
          <w:szCs w:val="20"/>
          <w:color w:val="auto"/>
        </w:rPr>
      </w:pPr>
    </w:p>
    <w:p>
      <w:pPr>
        <w:ind w:left="1360" w:right="760" w:hanging="498"/>
        <w:spacing w:after="0" w:line="272" w:lineRule="auto"/>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100% of the net cash proceeds of certain asset sales and/or insurance/condemnation events above a threshold amount, subject to reinvestment rights and other exceptions set forth in the Credit Agreement; and</w:t>
      </w:r>
    </w:p>
    <w:p>
      <w:pPr>
        <w:spacing w:after="0" w:line="76" w:lineRule="exact"/>
        <w:rPr>
          <w:rFonts w:ascii="Arial" w:cs="Arial" w:eastAsia="Arial" w:hAnsi="Arial"/>
          <w:sz w:val="17"/>
          <w:szCs w:val="17"/>
          <w:color w:val="auto"/>
        </w:rPr>
      </w:pPr>
    </w:p>
    <w:p>
      <w:pPr>
        <w:ind w:left="1360" w:right="440" w:hanging="498"/>
        <w:spacing w:after="0" w:line="272" w:lineRule="auto"/>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100% of the net cash proceeds of any issuance or incurrence of debt that is not permitted by the Credit Agreement, subject to certain exceptions set forth in the Credit Agreement.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Term Facility and the Revolving Credit Facility mature on September 17, 2026.</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Guarantors</w:t>
      </w:r>
    </w:p>
    <w:p>
      <w:pPr>
        <w:spacing w:after="0" w:line="108" w:lineRule="exact"/>
        <w:rPr>
          <w:sz w:val="20"/>
          <w:szCs w:val="20"/>
          <w:color w:val="auto"/>
        </w:rPr>
      </w:pPr>
    </w:p>
    <w:p>
      <w:pPr>
        <w:ind w:left="460" w:right="260" w:firstLine="413"/>
        <w:spacing w:after="0" w:line="272" w:lineRule="auto"/>
        <w:rPr>
          <w:sz w:val="20"/>
          <w:szCs w:val="20"/>
          <w:color w:val="auto"/>
        </w:rPr>
      </w:pPr>
      <w:r>
        <w:rPr>
          <w:rFonts w:ascii="Arial" w:cs="Arial" w:eastAsia="Arial" w:hAnsi="Arial"/>
          <w:sz w:val="17"/>
          <w:szCs w:val="17"/>
          <w:color w:val="auto"/>
        </w:rPr>
        <w:t>The obligations of the Borrower under the Credit Agreement are guaranteed by Holdings and each existing and future wholly-owned domestic restricted subsidiary of the Borrower, in each case, subject to certain exceptions.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Security</w:t>
      </w:r>
    </w:p>
    <w:p>
      <w:pPr>
        <w:spacing w:after="0" w:line="108" w:lineRule="exact"/>
        <w:rPr>
          <w:sz w:val="20"/>
          <w:szCs w:val="20"/>
          <w:color w:val="auto"/>
        </w:rPr>
      </w:pPr>
    </w:p>
    <w:p>
      <w:pPr>
        <w:ind w:left="460" w:firstLine="413"/>
        <w:spacing w:after="0" w:line="303" w:lineRule="auto"/>
        <w:rPr>
          <w:sz w:val="20"/>
          <w:szCs w:val="20"/>
          <w:color w:val="auto"/>
        </w:rPr>
      </w:pPr>
      <w:r>
        <w:rPr>
          <w:rFonts w:ascii="Arial" w:cs="Arial" w:eastAsia="Arial" w:hAnsi="Arial"/>
          <w:sz w:val="16"/>
          <w:szCs w:val="16"/>
          <w:color w:val="auto"/>
        </w:rPr>
        <w:t>The obligations of the Borrower under the Credit Agreement are secured by first-priority lien on substantially all of the assets of the Borrower and the guarantors, including a pledge of the equity of the Borrower by Holdings, in each case, subject to customary exceptions.</w:t>
      </w:r>
    </w:p>
    <w:p>
      <w:pPr>
        <w:spacing w:after="0" w:line="8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760"/>
          </w:cols>
          <w:pgMar w:left="320" w:top="466" w:right="81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Certain Covenants; Representations and Warranties</w:t>
      </w:r>
    </w:p>
    <w:p>
      <w:pPr>
        <w:spacing w:after="0" w:line="108" w:lineRule="exact"/>
        <w:rPr>
          <w:sz w:val="20"/>
          <w:szCs w:val="20"/>
          <w:color w:val="auto"/>
        </w:rPr>
      </w:pPr>
    </w:p>
    <w:p>
      <w:pPr>
        <w:ind w:left="460" w:right="300" w:firstLine="413"/>
        <w:spacing w:after="0" w:line="260" w:lineRule="auto"/>
        <w:rPr>
          <w:sz w:val="20"/>
          <w:szCs w:val="20"/>
          <w:color w:val="auto"/>
        </w:rPr>
      </w:pPr>
      <w:r>
        <w:rPr>
          <w:rFonts w:ascii="Arial" w:cs="Arial" w:eastAsia="Arial" w:hAnsi="Arial"/>
          <w:sz w:val="17"/>
          <w:szCs w:val="17"/>
          <w:color w:val="auto"/>
        </w:rPr>
        <w:t>The Credit Agreement contains customary affirmative covenants (including reporting obligations) and negative covenants and requires the Borrower to make customary representations and warranties. The negative covenants, among other things and subject to certain exceptions, limit the ability of the Borrower and its restricted subsidiaries (and in certain limited circumstances, Holdings) to:</w:t>
      </w:r>
    </w:p>
    <w:p>
      <w:pPr>
        <w:spacing w:after="0" w:line="87" w:lineRule="exact"/>
        <w:rPr>
          <w:sz w:val="20"/>
          <w:szCs w:val="20"/>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incur or guarantee additional indebtedness;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pay dividends or make other distributions in respect of equity;</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make payments in respect of certain debt;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enter into burdensome agreements;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make investments, including acquisitions, loans and advances;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consolidate, merge, liquidate, wind up or dissolve;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sell, transfer or otherwise dispose of assets;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engage in transactions with affiliates;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materially alter the business conducted by the Borrower and certain of its subsidiaries; and</w:t>
      </w:r>
    </w:p>
    <w:p>
      <w:pPr>
        <w:spacing w:after="0" w:line="121" w:lineRule="exact"/>
        <w:rPr>
          <w:rFonts w:ascii="Arial" w:cs="Arial" w:eastAsia="Arial" w:hAnsi="Arial"/>
          <w:sz w:val="17"/>
          <w:szCs w:val="17"/>
          <w:color w:val="auto"/>
        </w:rPr>
      </w:pPr>
    </w:p>
    <w:p>
      <w:pPr>
        <w:ind w:left="1360" w:right="200" w:hanging="498"/>
        <w:spacing w:after="0" w:line="272" w:lineRule="auto"/>
        <w:tabs>
          <w:tab w:leader="none" w:pos="1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amend or otherwise modify the subordination terms of the documentation governing certain restricted debt in a manner that is materially adverse to the Lenders.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Financial Covenant</w:t>
      </w:r>
    </w:p>
    <w:p>
      <w:pPr>
        <w:spacing w:after="0" w:line="108" w:lineRule="exact"/>
        <w:rPr>
          <w:sz w:val="20"/>
          <w:szCs w:val="20"/>
          <w:color w:val="auto"/>
        </w:rPr>
      </w:pPr>
    </w:p>
    <w:p>
      <w:pPr>
        <w:ind w:left="460" w:right="20" w:firstLine="413"/>
        <w:spacing w:after="0" w:line="251" w:lineRule="auto"/>
        <w:rPr>
          <w:sz w:val="20"/>
          <w:szCs w:val="20"/>
          <w:color w:val="auto"/>
        </w:rPr>
      </w:pPr>
      <w:r>
        <w:rPr>
          <w:rFonts w:ascii="Arial" w:cs="Arial" w:eastAsia="Arial" w:hAnsi="Arial"/>
          <w:sz w:val="17"/>
          <w:szCs w:val="17"/>
          <w:color w:val="auto"/>
        </w:rPr>
        <w:t>The Credit Agreement contains a financial covenant, which requires the Borrower to, commencing the last day of the fiscal quarter ending December 31, 2021, maintain a total net leverage ratio of Consolidated Total Debt (as defined in the Credit Agreement) to Consolidated Adjusted EBITDA (as defined in the Credit Agreement) no greater than 5.25:1.00 (or 4.50:1.00 commencing on the last day of the fiscal quarter ending December 31, 2022) and subject to temporary increase by 0.50:1.00 upon a consummation of a Material Acquisition (as defined in the Credit Agreement) pursuant to the terms set forth therein. The financial covenant is subject to customary “equity cure” rights: upon the occurrence of an event of default as a result of the Borrower’s failure to comply with the financial covenant, the Borrower has the right to, at any time no later than the date that is fifteen business days after such occurrence of such event of default, issue qualified capital stock or other equity for cash or otherwise receive cash contributions for its qualified capital stock, which amount will increase Consolidated Adjusted EBITDA on a pro forma basis solely for the purpose of determining the Borrower’s compliance with the financial covenant. The Borrower may not exercise its equity cure right for more than two fiscal quarters in each four consecutive fiscal quarters. During the term of the Credit Agreement, the Borrower may exercise its equity cure right up to five times.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Events of Default</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Employee Retirement Income Security Act events, change of control and material defects with respect to guarantees and collateral. If an event of default occurs, the specified threshold of lenders would be entitled to take various actions, including acceleration of the loans and termination of the commitments under the Credit Agreement, foreclosure on collateral and all other remedial actions available to a secured creditor. The failure to pay certain amounts owing under the Credit Agreement may result in an increased interest rate equal to 2.00% per annum plus, in the case of overdue principal or interest of any loan or</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780"/>
          </w:cols>
          <w:pgMar w:left="320" w:top="466" w:right="79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unreimbursed letter of credit disbursement, the rate of interest otherwise applicable to the relevant loan or letter of credit disbursement or, in the case of any other amount, the rate applicable to Initial Revolving Loans that bear interest by reference to the ABR.</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680"/>
          </w:cols>
          <w:pgMar w:left="320" w:top="466" w:right="89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DESCRIPTION OF CAPITAL STOCK</w:t>
      </w:r>
    </w:p>
    <w:p>
      <w:pPr>
        <w:spacing w:after="0" w:line="214"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The following is a description of the material terms of, and is qualified in its entirety by, our amended and restated certificate of incorporation and amended and restated bylaws, the forms of which are filed as exhibits to the registration statement of which this prospectus forms a part. Under “Description of Capital Stock,” “we,” “us,” “our” and “our company” refer to Definitive Healthcare Corp.</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General</w:t>
      </w:r>
    </w:p>
    <w:p>
      <w:pPr>
        <w:spacing w:after="0" w:line="112" w:lineRule="exact"/>
        <w:rPr>
          <w:sz w:val="20"/>
          <w:szCs w:val="20"/>
          <w:color w:val="auto"/>
        </w:rPr>
      </w:pPr>
    </w:p>
    <w:p>
      <w:pPr>
        <w:jc w:val="both"/>
        <w:ind w:left="460" w:right="280" w:firstLine="413"/>
        <w:spacing w:after="0" w:line="260" w:lineRule="auto"/>
        <w:rPr>
          <w:sz w:val="20"/>
          <w:szCs w:val="20"/>
          <w:color w:val="auto"/>
        </w:rPr>
      </w:pPr>
      <w:r>
        <w:rPr>
          <w:rFonts w:ascii="Arial" w:cs="Arial" w:eastAsia="Arial" w:hAnsi="Arial"/>
          <w:sz w:val="17"/>
          <w:szCs w:val="17"/>
          <w:color w:val="auto"/>
        </w:rPr>
        <w:t>Our authorized capital stock consists of 600 million shares of Class A common stock, par value $0.001 per share, 65 million shares of Class B common stock, no par value per share, and 10 million shares of preferred stock, par value $0.001 per share. Unless our board of directors determines otherwise, we will issue all shares of our capital stock in uncertificated form.</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Common stock</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108" w:lineRule="exact"/>
        <w:rPr>
          <w:sz w:val="20"/>
          <w:szCs w:val="20"/>
          <w:color w:val="auto"/>
        </w:rPr>
      </w:pPr>
    </w:p>
    <w:p>
      <w:pPr>
        <w:ind w:left="460" w:right="60" w:firstLine="413"/>
        <w:spacing w:after="0" w:line="260" w:lineRule="auto"/>
        <w:rPr>
          <w:sz w:val="20"/>
          <w:szCs w:val="20"/>
          <w:color w:val="auto"/>
        </w:rPr>
      </w:pPr>
      <w:r>
        <w:rPr>
          <w:rFonts w:ascii="Arial" w:cs="Arial" w:eastAsia="Arial" w:hAnsi="Arial"/>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75" w:lineRule="exact"/>
        <w:rPr>
          <w:sz w:val="20"/>
          <w:szCs w:val="20"/>
          <w:color w:val="auto"/>
        </w:rPr>
      </w:pPr>
    </w:p>
    <w:p>
      <w:pPr>
        <w:jc w:val="both"/>
        <w:ind w:left="460" w:right="460" w:firstLine="413"/>
        <w:spacing w:after="0" w:line="260" w:lineRule="auto"/>
        <w:rPr>
          <w:sz w:val="20"/>
          <w:szCs w:val="20"/>
          <w:color w:val="auto"/>
        </w:rPr>
      </w:pPr>
      <w:r>
        <w:rPr>
          <w:rFonts w:ascii="Arial" w:cs="Arial" w:eastAsia="Arial" w:hAnsi="Arial"/>
          <w:sz w:val="17"/>
          <w:szCs w:val="17"/>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5" w:lineRule="exact"/>
        <w:rPr>
          <w:sz w:val="20"/>
          <w:szCs w:val="20"/>
          <w:color w:val="auto"/>
        </w:rPr>
      </w:pPr>
    </w:p>
    <w:p>
      <w:pPr>
        <w:ind w:left="460" w:right="420" w:firstLine="413"/>
        <w:spacing w:after="0" w:line="260"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75"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Each share of Class B common stock entitles its holder to one vote per share on all matters submitted to a vote of our stockholders, including the election or removal of directors. The holders of our Class B common stock do not have cumulative voting rights in the election of directors. If at any time the ratio at which LLC Units are exchangeable for shares of our Class A common stock changes from one-for-one as described under “Certain Relationships and Related Party Transactions—Amended Definitive OpCo Agreement,” the number of votes to which Class B common stockholders are entitled will be adjusted accordingly.</w:t>
      </w:r>
    </w:p>
    <w:p>
      <w:pPr>
        <w:spacing w:after="0" w:line="181" w:lineRule="exact"/>
        <w:rPr>
          <w:sz w:val="20"/>
          <w:szCs w:val="20"/>
          <w:color w:val="auto"/>
        </w:rPr>
      </w:pPr>
    </w:p>
    <w:p>
      <w:pPr>
        <w:ind w:left="460" w:firstLine="413"/>
        <w:spacing w:after="0" w:line="311" w:lineRule="auto"/>
        <w:rPr>
          <w:sz w:val="20"/>
          <w:szCs w:val="20"/>
          <w:color w:val="auto"/>
        </w:rPr>
      </w:pPr>
      <w:r>
        <w:rPr>
          <w:rFonts w:ascii="Arial" w:cs="Arial" w:eastAsia="Arial" w:hAnsi="Arial"/>
          <w:sz w:val="15"/>
          <w:szCs w:val="15"/>
          <w:color w:val="auto"/>
        </w:rPr>
        <w:t>Except for transfers to us pursuant to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140"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The Class B common stock is not entitled to economic interests in Definitive Healthcare Corp. Holders of our Class B common stock do not have any right to receive dividends or to receive a distribution upon a</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780"/>
          </w:cols>
          <w:pgMar w:left="320" w:top="466" w:right="79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60" w:lineRule="auto"/>
        <w:rPr>
          <w:sz w:val="20"/>
          <w:szCs w:val="20"/>
          <w:color w:val="auto"/>
        </w:rPr>
      </w:pPr>
      <w:r>
        <w:rPr>
          <w:rFonts w:ascii="Arial" w:cs="Arial" w:eastAsia="Arial" w:hAnsi="Arial"/>
          <w:sz w:val="17"/>
          <w:szCs w:val="17"/>
          <w:color w:val="auto"/>
        </w:rPr>
        <w:t>liquidation or winding up of Definitive Healthcare Corp. However, if Definitive OpCo makes distributions to Definitive Healthcare Corp., the other holders of LLC Units, including the Unitholders, will be entitled to receive distributions pro rata in accordance with the percentages of their respective LLC Units. The Class B common stock will not be subject to further calls or assessment by us.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 Rights</w:t>
      </w:r>
    </w:p>
    <w:p>
      <w:pPr>
        <w:spacing w:after="0" w:line="108"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Directors are elected by a plurality of the votes cast by the holders of shares present in person or represented by proxy at the meeting and entitled to vote thereon. We have also adopted a majority voting policy in our corporate governance guidelines that requires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resignation. Vacancies created by resignations or otherwise may be filled by vote of the remaining directors. Our stockholders will not have cumulative voting rights.</w:t>
      </w:r>
    </w:p>
    <w:p>
      <w:pPr>
        <w:spacing w:after="0" w:line="182"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Except as otherwise provided in our amended and restated certificate of incorporation or as required by law, all matters to be voted on by our stockholders other than matters relating to the election and removal of directors must be approved by the affirmative vote of the holders of a majority in voting power of the shares of stock of the Company which are present in person or by proxy and entitled to vote thereon or, for so long as Advent and its affiliates collectively own 30% or more of the voting power of our then-outstanding common stock, by a written resolution of the stockholders representing the number of affirmative votes required for such matter at a meeting.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Preferred Stock</w:t>
      </w:r>
    </w:p>
    <w:p>
      <w:pPr>
        <w:spacing w:after="0" w:line="112" w:lineRule="exact"/>
        <w:rPr>
          <w:sz w:val="20"/>
          <w:szCs w:val="20"/>
          <w:color w:val="auto"/>
        </w:rPr>
      </w:pPr>
    </w:p>
    <w:p>
      <w:pPr>
        <w:ind w:left="460" w:right="40" w:firstLine="413"/>
        <w:spacing w:after="0" w:line="296" w:lineRule="auto"/>
        <w:rPr>
          <w:sz w:val="20"/>
          <w:szCs w:val="20"/>
          <w:color w:val="auto"/>
        </w:rPr>
      </w:pPr>
      <w:r>
        <w:rPr>
          <w:rFonts w:ascii="Arial" w:cs="Arial" w:eastAsia="Arial" w:hAnsi="Arial"/>
          <w:sz w:val="15"/>
          <w:szCs w:val="15"/>
          <w:color w:val="auto"/>
        </w:rPr>
        <w:t>No shares of preferred stock will be issued or outstanding immediately after the offering contemplated by this prospectus. Our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63" w:lineRule="exact"/>
        <w:rPr>
          <w:sz w:val="20"/>
          <w:szCs w:val="20"/>
          <w:color w:val="auto"/>
        </w:rPr>
      </w:pPr>
    </w:p>
    <w:p>
      <w:pPr>
        <w:ind w:left="1360" w:hanging="498"/>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21" w:lineRule="exact"/>
        <w:rPr>
          <w:rFonts w:ascii="Arial" w:cs="Arial" w:eastAsia="Arial" w:hAnsi="Arial"/>
          <w:sz w:val="17"/>
          <w:szCs w:val="17"/>
          <w:color w:val="auto"/>
        </w:rPr>
      </w:pPr>
    </w:p>
    <w:p>
      <w:pPr>
        <w:ind w:left="1360" w:right="160" w:hanging="498"/>
        <w:spacing w:after="0" w:line="260" w:lineRule="auto"/>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 of the class) or decrease (but not below the number of shares then outstanding);</w:t>
      </w:r>
    </w:p>
    <w:p>
      <w:pPr>
        <w:spacing w:after="0" w:line="86" w:lineRule="exact"/>
        <w:rPr>
          <w:rFonts w:ascii="Arial" w:cs="Arial" w:eastAsia="Arial" w:hAnsi="Arial"/>
          <w:sz w:val="17"/>
          <w:szCs w:val="17"/>
          <w:color w:val="auto"/>
        </w:rPr>
      </w:pPr>
    </w:p>
    <w:p>
      <w:pPr>
        <w:ind w:left="1360" w:hanging="498"/>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exchange rights and price or prices, if any, for shares of the series;</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exchange of shares of the series;</w:t>
      </w:r>
    </w:p>
    <w:p>
      <w:pPr>
        <w:spacing w:after="0" w:line="121" w:lineRule="exact"/>
        <w:rPr>
          <w:rFonts w:ascii="Arial" w:cs="Arial" w:eastAsia="Arial" w:hAnsi="Arial"/>
          <w:sz w:val="17"/>
          <w:szCs w:val="17"/>
          <w:color w:val="auto"/>
        </w:rPr>
      </w:pPr>
    </w:p>
    <w:p>
      <w:pPr>
        <w:ind w:left="1360" w:right="20" w:hanging="498"/>
        <w:spacing w:after="0" w:line="272" w:lineRule="auto"/>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 up of the affairs of our company;</w:t>
      </w:r>
    </w:p>
    <w:p>
      <w:pPr>
        <w:spacing w:after="0" w:line="76" w:lineRule="exact"/>
        <w:rPr>
          <w:rFonts w:ascii="Arial" w:cs="Arial" w:eastAsia="Arial" w:hAnsi="Arial"/>
          <w:sz w:val="17"/>
          <w:szCs w:val="17"/>
          <w:color w:val="auto"/>
        </w:rPr>
      </w:pPr>
    </w:p>
    <w:p>
      <w:pPr>
        <w:ind w:left="1360" w:right="40" w:hanging="498"/>
        <w:spacing w:after="0" w:line="256" w:lineRule="auto"/>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1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780"/>
          </w:cols>
          <w:pgMar w:left="320" w:top="466" w:right="79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hanging="498"/>
        <w:spacing w:after="0"/>
        <w:tabs>
          <w:tab w:leader="none" w:pos="13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210" w:lineRule="exact"/>
        <w:rPr>
          <w:sz w:val="20"/>
          <w:szCs w:val="20"/>
          <w:color w:val="auto"/>
        </w:rPr>
      </w:pPr>
    </w:p>
    <w:p>
      <w:pPr>
        <w:ind w:left="460" w:right="220" w:firstLine="413"/>
        <w:spacing w:after="0" w:line="25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Authorized but Unissued Capital Stock</w:t>
      </w:r>
    </w:p>
    <w:p>
      <w:pPr>
        <w:spacing w:after="0" w:line="112"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of Class A common stock issuable upon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67"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Dividends</w:t>
      </w:r>
    </w:p>
    <w:p>
      <w:pPr>
        <w:spacing w:after="0" w:line="112"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 See also “Dividend Policy.”</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Transferability Exchange</w:t>
      </w:r>
    </w:p>
    <w:p>
      <w:pPr>
        <w:spacing w:after="0" w:line="112" w:lineRule="exact"/>
        <w:rPr>
          <w:sz w:val="20"/>
          <w:szCs w:val="20"/>
          <w:color w:val="auto"/>
        </w:rPr>
      </w:pPr>
    </w:p>
    <w:p>
      <w:pPr>
        <w:ind w:left="460" w:right="120" w:firstLine="413"/>
        <w:spacing w:after="0" w:line="293" w:lineRule="auto"/>
        <w:rPr>
          <w:sz w:val="20"/>
          <w:szCs w:val="20"/>
          <w:color w:val="auto"/>
        </w:rPr>
      </w:pPr>
      <w:r>
        <w:rPr>
          <w:rFonts w:ascii="Arial" w:cs="Arial" w:eastAsia="Arial" w:hAnsi="Arial"/>
          <w:sz w:val="15"/>
          <w:szCs w:val="15"/>
          <w:color w:val="auto"/>
        </w:rPr>
        <w:t>Under the Amended LLC Agreement, the holders of LLC Units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canceled on a one-for-one basis if we, following an exchange request of a holder of LLC Units, exchange LLC Units of such holder of LLC Units pursuant to the terms of the Amended LLC Agreement. See “Certain Relationships and Related Party Transactions—Amended Definitive OpCo Agreement.”</w:t>
      </w:r>
    </w:p>
    <w:p>
      <w:pPr>
        <w:spacing w:after="0" w:line="9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0760"/>
          </w:cols>
          <w:pgMar w:left="320" w:top="466" w:right="81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Except for transfers to us pursuant to the Amended LLC Agreement or to certain permitted transferees, the LLC Units and corresponding shares of Class B common stock may not be sold, transferred or otherwise disposed of.</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Provisions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Neither the Class A common stock nor the Class B common stock has any preemptive or other subscription rights.</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There are no redemption, conversion or sinking fund provisions applicable to the Class A common stock or Class B common stock.</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At such time when no LLC Units remain exchangeable for shares of our Class A common stock, our Class B common stock will be canceled.</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Anti-takeover Provisions</w:t>
      </w:r>
    </w:p>
    <w:p>
      <w:pPr>
        <w:spacing w:after="0" w:line="112"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are designed to encourage persons seeking to acquire control of us to first negotiate with our Board, which we believe may result in an improvement of the terms of any such acquisition in favor of our stockholders. However, they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Nominating Agreements</w:t>
      </w:r>
    </w:p>
    <w:p>
      <w:pPr>
        <w:spacing w:after="0" w:line="112"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So long as Advent and its affiliates own at least 21.5% of our outstanding common stock, (a) Advent and its affiliates have the right to nominate two designees to our Board; and (b) so long as each of Spectrum Equity and Jason Krantz together with their affiliates, own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and its affiliates have the right to nominate a designee to our board to fill any vacancy of a director nominated by Advent and its affiliates due to death, resignation or removal. See “Certain Relationships and Related Party Transactions—Nominating Agreement.”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108" w:lineRule="exact"/>
        <w:rPr>
          <w:sz w:val="20"/>
          <w:szCs w:val="20"/>
          <w:color w:val="auto"/>
        </w:rPr>
      </w:pPr>
    </w:p>
    <w:p>
      <w:pPr>
        <w:jc w:val="both"/>
        <w:ind w:left="460" w:right="80" w:firstLine="413"/>
        <w:spacing w:after="0" w:line="277"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special meetings of the stockholders may be called only upon the request of a majority of our Board, our Chair or upon the request of the Chief Executive Officer. Our amended and restated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Advance Notice of Nominations and Other Business</w:t>
      </w:r>
    </w:p>
    <w:p>
      <w:pPr>
        <w:spacing w:after="0" w:line="108" w:lineRule="exact"/>
        <w:rPr>
          <w:sz w:val="20"/>
          <w:szCs w:val="20"/>
          <w:color w:val="auto"/>
        </w:rPr>
      </w:pPr>
    </w:p>
    <w:p>
      <w:pPr>
        <w:jc w:val="both"/>
        <w:ind w:left="460" w:right="80" w:firstLine="413"/>
        <w:spacing w:after="0" w:line="272"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780"/>
          </w:cols>
          <w:pgMar w:left="320" w:top="466" w:right="79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spacing w:after="0" w:line="286" w:lineRule="auto"/>
        <w:rPr>
          <w:sz w:val="20"/>
          <w:szCs w:val="20"/>
          <w:color w:val="auto"/>
        </w:rPr>
      </w:pPr>
      <w:r>
        <w:rPr>
          <w:rFonts w:ascii="Arial" w:cs="Arial" w:eastAsia="Arial" w:hAnsi="Arial"/>
          <w:sz w:val="15"/>
          <w:szCs w:val="15"/>
          <w:color w:val="auto"/>
        </w:rPr>
        <w:t>our Board or a committee of our Board. In order for any matter to be “properly brought” before a meeting, a stockholder must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w:t>
      </w:r>
    </w:p>
    <w:p>
      <w:pPr>
        <w:ind w:left="460" w:right="220"/>
        <w:spacing w:after="0" w:line="257" w:lineRule="auto"/>
        <w:rPr>
          <w:sz w:val="20"/>
          <w:szCs w:val="20"/>
          <w:color w:val="auto"/>
        </w:rPr>
      </w:pPr>
      <w:r>
        <w:rPr>
          <w:rFonts w:ascii="Arial" w:cs="Arial" w:eastAsia="Arial" w:hAnsi="Arial"/>
          <w:sz w:val="17"/>
          <w:szCs w:val="17"/>
          <w:color w:val="auto"/>
        </w:rPr>
        <w:t>These provisions may also defer, delay or discourage a potential acquiror from conducting a solicitation of proxies to elect the acquiror’s own slate of directors or otherwise attempting to obtain control of our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Classified Board of Directors and Related Provisions</w:t>
      </w:r>
    </w:p>
    <w:p>
      <w:pPr>
        <w:spacing w:after="0" w:line="108" w:lineRule="exact"/>
        <w:rPr>
          <w:sz w:val="20"/>
          <w:szCs w:val="20"/>
          <w:color w:val="auto"/>
        </w:rPr>
      </w:pPr>
    </w:p>
    <w:p>
      <w:pPr>
        <w:ind w:left="460" w:right="260" w:firstLine="413"/>
        <w:spacing w:after="0" w:line="260" w:lineRule="auto"/>
        <w:rPr>
          <w:sz w:val="20"/>
          <w:szCs w:val="20"/>
          <w:color w:val="auto"/>
        </w:rPr>
      </w:pPr>
      <w:r>
        <w:rPr>
          <w:rFonts w:ascii="Arial" w:cs="Arial" w:eastAsia="Arial" w:hAnsi="Arial"/>
          <w:sz w:val="17"/>
          <w:szCs w:val="17"/>
          <w:color w:val="auto"/>
        </w:rPr>
        <w:t>Our amended and restated certificate of incorporation provides that our Board will be divided into three classes, with one class being elected at each annual meeting of stockholders with termination staggered according to class. The classified board provision will prevent a third-party who acquires control of a majority of our outstanding voting stock from obtaining control of our Board.</w:t>
      </w:r>
    </w:p>
    <w:p>
      <w:pPr>
        <w:spacing w:after="0" w:line="175"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 number of directors constituting our Board is determined from time to time by our Board. Our amended and restated certificate of incorporation also provides that, subject to any rights of any preferred stock then outstanding, any director may be removed from office at any time but only for cause so long as the Board is classified and only by the affirmative vote of the holders of at least a majority of the voting power of the outstanding shares entitled to vote in the election of directors, considered for this purpose as one class. In addition, our amended and restated certificate of incorporation provides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08"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Our amended and restated certificate of incorporation provides that, from and after the time that Advent and its affiliates collectively own less than 30% of the voting power of our then-outstanding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Section 203 of the DGCL</w:t>
      </w:r>
    </w:p>
    <w:p>
      <w:pPr>
        <w:spacing w:after="0" w:line="108"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Our amended and restated certificate of incorporation provides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apply even if the business combination could be considered beneficial by some stockholders. Our amended and restated certificate of incorporation contains provisions that have the same effect as Section 203 of the DGCL, but such provisions do not apply to Advent and Spectrum Equity and their affiliates. Although we have elected to opt out of the statute’s provisions, we could elect to be subject to Section 203 in the future.</w:t>
      </w:r>
    </w:p>
    <w:p>
      <w:pPr>
        <w:spacing w:after="0" w:line="9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780"/>
          </w:cols>
          <w:pgMar w:left="320" w:top="466" w:right="79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Amendment to Bylaws and Certificate of Incorporation</w:t>
      </w:r>
    </w:p>
    <w:p>
      <w:pPr>
        <w:spacing w:after="0" w:line="112"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ind w:left="460" w:right="400" w:hanging="3"/>
        <w:spacing w:after="0" w:line="288" w:lineRule="auto"/>
        <w:tabs>
          <w:tab w:leader="none" w:pos="66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affirmative vote of a majority of the directors, subject to any limitations set forth in the bylaws, without further stockholder action or (ii) the affirmative vote of at least a majority of the outstanding shares entitled to vote on the amendment, without further action by our Board.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Exclusive Forum</w:t>
      </w:r>
    </w:p>
    <w:p>
      <w:pPr>
        <w:spacing w:after="0" w:line="112"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w:t>
      </w:r>
    </w:p>
    <w:p>
      <w:pPr>
        <w:spacing w:after="0" w:line="167"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Our amended and restated certificate of incorporation also provides that the foregoing exclusive forum provision does not apply to actions brought to enforce any liability or duty created by the Securities Act or Exchange Act, or any other claim or cause of action for which the federal courts have exclusive jurisdiction.</w:t>
      </w:r>
    </w:p>
    <w:p>
      <w:pPr>
        <w:spacing w:after="0" w:line="175" w:lineRule="exact"/>
        <w:rPr>
          <w:sz w:val="20"/>
          <w:szCs w:val="20"/>
          <w:color w:val="auto"/>
        </w:rPr>
      </w:pPr>
    </w:p>
    <w:p>
      <w:pPr>
        <w:ind w:left="460" w:right="20" w:firstLine="413"/>
        <w:spacing w:after="0" w:line="277" w:lineRule="auto"/>
        <w:rPr>
          <w:sz w:val="20"/>
          <w:szCs w:val="20"/>
          <w:color w:val="auto"/>
        </w:rPr>
      </w:pPr>
      <w:r>
        <w:rPr>
          <w:rFonts w:ascii="Arial" w:cs="Arial" w:eastAsia="Arial" w:hAnsi="Arial"/>
          <w:sz w:val="16"/>
          <w:szCs w:val="16"/>
          <w:color w:val="auto"/>
        </w:rPr>
        <w:t>Additionally, because the Securities Act provides for concurrent federal and state jurisdiction, our amended and restated certificate of incorporation also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64" w:lineRule="exact"/>
        <w:rPr>
          <w:sz w:val="20"/>
          <w:szCs w:val="20"/>
          <w:color w:val="auto"/>
        </w:rPr>
      </w:pPr>
    </w:p>
    <w:p>
      <w:pPr>
        <w:ind w:left="460" w:right="60" w:firstLine="413"/>
        <w:spacing w:after="0" w:line="252"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Corporate Opportunities</w:t>
      </w:r>
    </w:p>
    <w:p>
      <w:pPr>
        <w:spacing w:after="0" w:line="112" w:lineRule="exact"/>
        <w:rPr>
          <w:sz w:val="20"/>
          <w:szCs w:val="20"/>
          <w:color w:val="auto"/>
        </w:rPr>
      </w:pPr>
    </w:p>
    <w:p>
      <w:pPr>
        <w:ind w:left="460" w:right="100" w:firstLine="413"/>
        <w:spacing w:after="0" w:line="277" w:lineRule="auto"/>
        <w:rPr>
          <w:sz w:val="20"/>
          <w:szCs w:val="20"/>
          <w:color w:val="auto"/>
        </w:rPr>
      </w:pPr>
      <w:r>
        <w:rPr>
          <w:rFonts w:ascii="Arial" w:cs="Arial" w:eastAsia="Arial" w:hAnsi="Arial"/>
          <w:sz w:val="16"/>
          <w:szCs w:val="16"/>
          <w:color w:val="auto"/>
        </w:rPr>
        <w:t>Our amended and restated certificate of incorporation provides that neither our Sponsors nor a director affiliated with our Sponsors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Listing</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Class A common stock is listed on Nasdaq under the symbol “DH.”</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760"/>
          </w:cols>
          <w:pgMar w:left="320" w:top="466" w:right="81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Transfer Agent and Registrar</w:t>
      </w:r>
    </w:p>
    <w:p>
      <w:pPr>
        <w:spacing w:after="0" w:line="112" w:lineRule="exact"/>
        <w:rPr>
          <w:sz w:val="20"/>
          <w:szCs w:val="20"/>
          <w:color w:val="auto"/>
        </w:rPr>
      </w:pPr>
    </w:p>
    <w:p>
      <w:pPr>
        <w:jc w:val="right"/>
        <w:ind w:right="3839"/>
        <w:spacing w:after="0"/>
        <w:rPr>
          <w:sz w:val="20"/>
          <w:szCs w:val="20"/>
          <w:color w:val="auto"/>
        </w:rPr>
      </w:pPr>
      <w:r>
        <w:rPr>
          <w:rFonts w:ascii="Arial" w:cs="Arial" w:eastAsia="Arial" w:hAnsi="Arial"/>
          <w:sz w:val="17"/>
          <w:szCs w:val="17"/>
          <w:color w:val="auto"/>
        </w:rPr>
        <w:t>The transfer agent and registrar for the Class A common stock is AST Financial.</w:t>
      </w:r>
    </w:p>
    <w:p>
      <w:pPr>
        <w:spacing w:after="0" w:line="14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139"/>
          </w:cols>
          <w:pgMar w:left="320" w:top="466" w:right="1440"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SHARES ELIGIBLE FOR FUTURE SALE</w:t>
      </w:r>
    </w:p>
    <w:p>
      <w:pPr>
        <w:spacing w:after="0" w:line="214" w:lineRule="exact"/>
        <w:rPr>
          <w:sz w:val="20"/>
          <w:szCs w:val="20"/>
          <w:color w:val="auto"/>
        </w:rPr>
      </w:pPr>
    </w:p>
    <w:p>
      <w:pPr>
        <w:ind w:left="460" w:right="100" w:firstLine="413"/>
        <w:spacing w:after="0" w:line="296" w:lineRule="auto"/>
        <w:rPr>
          <w:sz w:val="20"/>
          <w:szCs w:val="20"/>
          <w:color w:val="auto"/>
        </w:rPr>
      </w:pPr>
      <w:r>
        <w:rPr>
          <w:rFonts w:ascii="Arial" w:cs="Arial" w:eastAsia="Arial" w:hAnsi="Arial"/>
          <w:sz w:val="15"/>
          <w:szCs w:val="15"/>
          <w:color w:val="auto"/>
        </w:rPr>
        <w:t>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Our Class A common stock and This Offering—Future offerings of debt or equity securities by us may have a material adverse effect on the market price of our Class A common stock.”</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Sale of Restricted Shares</w:t>
      </w:r>
    </w:p>
    <w:p>
      <w:pPr>
        <w:spacing w:after="0" w:line="112" w:lineRule="exact"/>
        <w:rPr>
          <w:sz w:val="20"/>
          <w:szCs w:val="20"/>
          <w:color w:val="auto"/>
        </w:rPr>
      </w:pPr>
    </w:p>
    <w:p>
      <w:pPr>
        <w:ind w:left="460" w:right="40" w:firstLine="413"/>
        <w:spacing w:after="0" w:line="289" w:lineRule="auto"/>
        <w:rPr>
          <w:sz w:val="20"/>
          <w:szCs w:val="20"/>
          <w:color w:val="auto"/>
        </w:rPr>
      </w:pPr>
      <w:r>
        <w:rPr>
          <w:rFonts w:ascii="Arial" w:cs="Arial" w:eastAsia="Arial" w:hAnsi="Arial"/>
          <w:sz w:val="15"/>
          <w:szCs w:val="15"/>
          <w:color w:val="auto"/>
        </w:rPr>
        <w:t>Upon the consummation of this offering, we will have 97,030,095 shares of Class A common stock (or 97,758,883 shares if the underwriters exercise their option to purchase additional shares of Class A common stock in full) outstanding. Of these shares, 28,888,888 shares, including the 11,000,000 shares sold in this offering, (or 30,538,888 shares if the underwriters exercise their option to purchase additional shares of Class A common stock in full) will be freely tradable, without further restriction or registration under the Securities Act, except any shares held by our “affiliates,” as that term is defined in Rule 144 under the Securities Act.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 this offering, approximately 68,141,207 of our outstanding shares of Class A common stock will be deemed “restricted securities,” as that term is defined under Rule 144, and would also be subject to the “lock-up” period noted below.</w:t>
      </w:r>
    </w:p>
    <w:p>
      <w:pPr>
        <w:spacing w:after="0" w:line="157"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In addition, upon the consummation of the offering, the Unitholders will own all of the 58,244,627 shares of our Class B common stock. The Unitholders, from time to time following the offering may require Definitive OpCo to exchange all or a portion of their LLC Units for newly-issued shares of Class A common stock on a one-for-one basis. Shares of our Class B common stock will be canceled on a one-for-one basis if we, following an exchange request of a Unitholder, exchange LLC Units of such Unitholder pursuant to the terms of the Amended LLC Agreement. Shares of our Class A common stock issuable to the Unitholders upon an exchange of LLC Units would be considered “restricted securities,” as that term is defined under Rule 144 and would also be subject to the “lock-up” period noted below.</w:t>
      </w:r>
    </w:p>
    <w:p>
      <w:pPr>
        <w:spacing w:after="0" w:line="167" w:lineRule="exact"/>
        <w:rPr>
          <w:sz w:val="20"/>
          <w:szCs w:val="20"/>
          <w:color w:val="auto"/>
        </w:rPr>
      </w:pPr>
    </w:p>
    <w:p>
      <w:pPr>
        <w:ind w:left="460" w:right="100" w:firstLine="413"/>
        <w:spacing w:after="0" w:line="293" w:lineRule="auto"/>
        <w:rPr>
          <w:sz w:val="20"/>
          <w:szCs w:val="20"/>
          <w:color w:val="auto"/>
        </w:rPr>
      </w:pPr>
      <w:r>
        <w:rPr>
          <w:rFonts w:ascii="Arial" w:cs="Arial" w:eastAsia="Arial" w:hAnsi="Arial"/>
          <w:sz w:val="15"/>
          <w:szCs w:val="15"/>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the consummation of this offering, the holders of approximately 126,385,834 shares of our Class A common stock (on an assumed as-exchanged basis) will be entitled to dispose of their shares following the expiration of an initial 180-day underwriter “lock-up” period from the IPO pursuant to the holding period, volume and other restrictions of Rule 144. Goldman Sachs &amp; Co. LLC and J.P. Morgan Securities LLC are entitled to waive these lock-up provisions at their discretion prior to the expiration dates of such lock-up agreements.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Lock-up Arrangements and Registration Rights</w:t>
      </w:r>
    </w:p>
    <w:p>
      <w:pPr>
        <w:spacing w:after="0" w:line="112" w:lineRule="exact"/>
        <w:rPr>
          <w:sz w:val="20"/>
          <w:szCs w:val="20"/>
          <w:color w:val="auto"/>
        </w:rPr>
      </w:pPr>
    </w:p>
    <w:p>
      <w:pPr>
        <w:ind w:left="460" w:right="420" w:firstLine="413"/>
        <w:spacing w:after="0" w:line="340" w:lineRule="auto"/>
        <w:rPr>
          <w:sz w:val="20"/>
          <w:szCs w:val="20"/>
          <w:color w:val="auto"/>
        </w:rPr>
      </w:pPr>
      <w:r>
        <w:rPr>
          <w:rFonts w:ascii="Arial" w:cs="Arial" w:eastAsia="Arial" w:hAnsi="Arial"/>
          <w:sz w:val="15"/>
          <w:szCs w:val="15"/>
          <w:color w:val="auto"/>
        </w:rPr>
        <w:t>In connection with the IPO, we, each of our directors, executive officers and certain other stockholders, entered into lock-up agreements that restrict the sale of our securities for 180 days after September 14, 2021, subject to certain exceptions or an extension in certain circumstances.</w:t>
      </w:r>
    </w:p>
    <w:p>
      <w:pPr>
        <w:spacing w:after="0" w:line="119"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Goldman Sachs &amp; Co. LLC and J.P. Morgan Securities LLC intend to waive, with respect to the shares of Class A common stock and LLC Units being sold in the “synthetic secondary,” the restrictions under these lock-up agreements applicable to the participants in the “synthetic secondary” in connection with the “synthetic secondary.” The remaining shares and LLC Units held by such participants and not sold in the “synthetic secondary” will continue to be locked up under the IPO lock-up agreements.</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780"/>
          </w:cols>
          <w:pgMar w:left="320" w:top="466" w:right="79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firstLine="413"/>
        <w:spacing w:after="0" w:line="256" w:lineRule="auto"/>
        <w:rPr>
          <w:sz w:val="20"/>
          <w:szCs w:val="20"/>
          <w:color w:val="auto"/>
        </w:rPr>
      </w:pPr>
      <w:r>
        <w:rPr>
          <w:rFonts w:ascii="Arial" w:cs="Arial" w:eastAsia="Arial" w:hAnsi="Arial"/>
          <w:sz w:val="17"/>
          <w:szCs w:val="17"/>
          <w:color w:val="auto"/>
        </w:rPr>
        <w:t>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 Registration Rights Agreement.” If these stockholders exercise this right, our other existing stockholders may require us to register their registrable securities.</w:t>
      </w:r>
    </w:p>
    <w:p>
      <w:pPr>
        <w:spacing w:after="0" w:line="179" w:lineRule="exact"/>
        <w:rPr>
          <w:sz w:val="20"/>
          <w:szCs w:val="20"/>
          <w:color w:val="auto"/>
        </w:rPr>
      </w:pPr>
    </w:p>
    <w:p>
      <w:pPr>
        <w:ind w:left="460" w:right="140" w:firstLine="413"/>
        <w:spacing w:after="0" w:line="303" w:lineRule="auto"/>
        <w:rPr>
          <w:sz w:val="20"/>
          <w:szCs w:val="20"/>
          <w:color w:val="auto"/>
        </w:rPr>
      </w:pPr>
      <w:r>
        <w:rPr>
          <w:rFonts w:ascii="Arial" w:cs="Arial" w:eastAsia="Arial" w:hAnsi="Arial"/>
          <w:sz w:val="16"/>
          <w:szCs w:val="16"/>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Rule 144</w:t>
      </w:r>
    </w:p>
    <w:p>
      <w:pPr>
        <w:spacing w:after="0" w:line="112"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color w:val="auto"/>
        </w:rPr>
        <w:t>The shares of our Class A common stock sold in this offering will generally be freely transferable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Class A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77" w:lineRule="exact"/>
        <w:rPr>
          <w:sz w:val="20"/>
          <w:szCs w:val="20"/>
          <w:color w:val="auto"/>
        </w:rPr>
      </w:pPr>
    </w:p>
    <w:p>
      <w:pPr>
        <w:ind w:left="1360" w:hanging="498"/>
        <w:spacing w:after="0"/>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one percent of the total number of shares of our Class A common stock outstanding; or</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average weekly reported trading volume of our Class A common stock for the four calendar weeks prior to the sale.</w:t>
      </w:r>
    </w:p>
    <w:p>
      <w:pPr>
        <w:spacing w:after="0" w:line="210"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Such sales are also subject to specific manner of sale provisions, a six-month holding period requirement, notice requirements and the availability of current public information about us.</w:t>
      </w:r>
    </w:p>
    <w:p>
      <w:pPr>
        <w:spacing w:after="0" w:line="165"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None of our Class A common stock that are not subject to lock-up arrangements described above will be eligible for sale under Rule 144 upon the closing.</w:t>
      </w:r>
    </w:p>
    <w:p>
      <w:pPr>
        <w:spacing w:after="0" w:line="165"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Rule 144 also provides that a person who is not deemed to have been an affiliate of ours at any time during the three months preceding a sale, and who has for at least six months beneficially owned shares of our Class A common stock that are restricted securities, will be entitled to freely sell such shares of our Class A common stock subject only to the availability of current public information regarding us. A person who is not deemed to have been an affiliate of ours at any time during the three months preceding a sale, and who has beneficially owned for at least one year shares of our Class A common stock that are restricted securities, will be entitled to freely sell such shares of our Class A common stock under Rule 144 without regard to the current public information requirements of Rule 144.</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Rule 701</w:t>
      </w:r>
    </w:p>
    <w:p>
      <w:pPr>
        <w:spacing w:after="0" w:line="112"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Stock Issued Under Employee Plans</w:t>
      </w:r>
    </w:p>
    <w:p>
      <w:pPr>
        <w:spacing w:after="0" w:line="112" w:lineRule="exact"/>
        <w:rPr>
          <w:sz w:val="20"/>
          <w:szCs w:val="20"/>
          <w:color w:val="auto"/>
        </w:rPr>
      </w:pPr>
    </w:p>
    <w:p>
      <w:pPr>
        <w:ind w:left="460" w:right="200" w:firstLine="413"/>
        <w:spacing w:after="0" w:line="256" w:lineRule="auto"/>
        <w:rPr>
          <w:sz w:val="20"/>
          <w:szCs w:val="20"/>
          <w:color w:val="auto"/>
        </w:rPr>
      </w:pPr>
      <w:r>
        <w:rPr>
          <w:rFonts w:ascii="Arial" w:cs="Arial" w:eastAsia="Arial" w:hAnsi="Arial"/>
          <w:sz w:val="17"/>
          <w:szCs w:val="17"/>
          <w:color w:val="auto"/>
        </w:rPr>
        <w:t>We filed a registration statement on Form S-8 under the Securities Act on September 14, 2021, which became effective upon filing, to register stock issuable pursuant to awards granted under our 2021 Plan. Accordingly, shares of Class A common stock registered under such registration statement are available for sale in the open market following the effective date, unless such shares are subject to vesting restrictions with us, Rule 144 restrictions applicable to our affiliates or the lock-up restrictions described above.</w:t>
      </w:r>
    </w:p>
    <w:p>
      <w:pPr>
        <w:spacing w:after="0" w:line="11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760"/>
          </w:cols>
          <w:pgMar w:left="320" w:top="466" w:right="81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Additional Registration Statements</w:t>
      </w:r>
    </w:p>
    <w:p>
      <w:pPr>
        <w:spacing w:after="0" w:line="112"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We filed a registration statement on Form S-8 under the Securities Act to register 8,989,039 shares of our Class A common stock to be issued or reserved for issuance under our equity incentive plans and 1,498,173 shares of Class A common stock to be issued or reserved for issuance under our employee stock purchase plan. Accordingly, shares registered under such registration statement are available for sale in the open market, unless such shares are subject to vesting restrictions with us or the lock-up restrictions described above.</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600"/>
          </w:cols>
          <w:pgMar w:left="320" w:top="466" w:right="97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auto"/>
        </w:rPr>
        <w:t>MATERIAL U.S. FEDERAL INCOME TAX CONSIDERATIONS FOR NON-U.S. HOLDERS</w:t>
      </w:r>
    </w:p>
    <w:p>
      <w:pPr>
        <w:spacing w:after="0" w:line="214" w:lineRule="exact"/>
        <w:rPr>
          <w:sz w:val="20"/>
          <w:szCs w:val="20"/>
          <w:color w:val="auto"/>
        </w:rPr>
      </w:pPr>
    </w:p>
    <w:p>
      <w:pPr>
        <w:ind w:left="460" w:firstLine="413"/>
        <w:spacing w:after="0" w:line="285" w:lineRule="auto"/>
        <w:rPr>
          <w:sz w:val="20"/>
          <w:szCs w:val="20"/>
          <w:color w:val="auto"/>
        </w:rPr>
      </w:pPr>
      <w:r>
        <w:rPr>
          <w:rFonts w:ascii="Arial" w:cs="Arial" w:eastAsia="Arial" w:hAnsi="Arial"/>
          <w:sz w:val="15"/>
          <w:szCs w:val="15"/>
          <w:color w:val="auto"/>
        </w:rPr>
        <w:t>The following is a general discussion of material U.S. federal income tax consequences to non-U.S. holders (as defined herein) of the purchase, ownership and disposition of our Class A common stock issued pursuant to this offering. This discussion does not provide a complete analysis of all potential U.S. federal income tax considerations relating thereto. This description is based on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Class A common stock as capital assets within the meaning of Section 1221 of the Code (generally for investment). Moreover, this discussion is for general information only and does not address all of the U.S. federal income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our Class A common stock under the constructive sale provisions of the Code, and persons that hold our Class A common stock as part of a straddle, hedge, conversion transaction, or other integrated investment. In addition, this discussion does not address estate or gift taxes, the alternative minimum tax, the Medicare contribution tax or any state, local or foreign taxes or any U.S. federal tax laws other than U.S. federal income tax laws.</w:t>
      </w:r>
    </w:p>
    <w:p>
      <w:pPr>
        <w:spacing w:after="0" w:line="163" w:lineRule="exact"/>
        <w:rPr>
          <w:sz w:val="20"/>
          <w:szCs w:val="20"/>
          <w:color w:val="auto"/>
        </w:rPr>
      </w:pPr>
    </w:p>
    <w:p>
      <w:pPr>
        <w:ind w:left="460" w:right="160" w:firstLine="413"/>
        <w:spacing w:after="0" w:line="303" w:lineRule="auto"/>
        <w:rPr>
          <w:sz w:val="20"/>
          <w:szCs w:val="20"/>
          <w:color w:val="auto"/>
        </w:rPr>
      </w:pPr>
      <w:r>
        <w:rPr>
          <w:rFonts w:ascii="Arial" w:cs="Arial" w:eastAsia="Arial" w:hAnsi="Arial"/>
          <w:sz w:val="16"/>
          <w:szCs w:val="16"/>
          <w:color w:val="auto"/>
        </w:rPr>
        <w:t>You are urged to consult with your own tax advisor concerning the U.S. federal income tax consequences of acquiring, owning and disposing of our Class A common stock, as well as the application of any state, local, or foreign income and other tax laws or tax treaties.</w:t>
      </w:r>
    </w:p>
    <w:p>
      <w:pPr>
        <w:spacing w:after="0" w:line="143" w:lineRule="exact"/>
        <w:rPr>
          <w:sz w:val="20"/>
          <w:szCs w:val="20"/>
          <w:color w:val="auto"/>
        </w:rPr>
      </w:pPr>
    </w:p>
    <w:p>
      <w:pPr>
        <w:ind w:left="460" w:right="460" w:firstLine="413"/>
        <w:spacing w:after="0" w:line="303" w:lineRule="auto"/>
        <w:rPr>
          <w:sz w:val="20"/>
          <w:szCs w:val="20"/>
          <w:color w:val="auto"/>
        </w:rPr>
      </w:pPr>
      <w:r>
        <w:rPr>
          <w:rFonts w:ascii="Arial" w:cs="Arial" w:eastAsia="Arial" w:hAnsi="Arial"/>
          <w:sz w:val="16"/>
          <w:szCs w:val="16"/>
          <w:color w:val="auto"/>
        </w:rPr>
        <w:t>As used in this section, a “non-U.S. holder” is a beneficial owner of our Class A common stock (other than a partnership or any other entity treated as a pass-through entity for U.S. federal income tax purposes) that is not, for U.S. federal income tax purposes:</w:t>
      </w:r>
    </w:p>
    <w:p>
      <w:pPr>
        <w:spacing w:after="0" w:line="55" w:lineRule="exact"/>
        <w:rPr>
          <w:sz w:val="20"/>
          <w:szCs w:val="20"/>
          <w:color w:val="auto"/>
        </w:rPr>
      </w:pPr>
    </w:p>
    <w:p>
      <w:pPr>
        <w:ind w:left="1360" w:hanging="498"/>
        <w:spacing w:after="0"/>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U.S.,</w:t>
      </w:r>
    </w:p>
    <w:p>
      <w:pPr>
        <w:spacing w:after="0" w:line="121" w:lineRule="exact"/>
        <w:rPr>
          <w:rFonts w:ascii="Arial" w:cs="Arial" w:eastAsia="Arial" w:hAnsi="Arial"/>
          <w:sz w:val="17"/>
          <w:szCs w:val="17"/>
          <w:color w:val="auto"/>
        </w:rPr>
      </w:pPr>
    </w:p>
    <w:p>
      <w:pPr>
        <w:ind w:left="1360" w:right="320" w:hanging="498"/>
        <w:spacing w:after="0" w:line="272" w:lineRule="auto"/>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that is created or organized in or under the laws of the U.S., any state thereof or the District of Columbia,</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1" w:lineRule="exact"/>
        <w:rPr>
          <w:rFonts w:ascii="Arial" w:cs="Arial" w:eastAsia="Arial" w:hAnsi="Arial"/>
          <w:sz w:val="17"/>
          <w:szCs w:val="17"/>
          <w:color w:val="auto"/>
        </w:rPr>
      </w:pPr>
    </w:p>
    <w:p>
      <w:pPr>
        <w:ind w:left="1360" w:right="120" w:hanging="498"/>
        <w:spacing w:after="0" w:line="256" w:lineRule="auto"/>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trust if (i) a court within the U.S.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United States person for U.S. federal income tax purposes.</w:t>
      </w:r>
    </w:p>
    <w:p>
      <w:pPr>
        <w:spacing w:after="0" w:line="179"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If a partnership or other entity treated as a pass-through entity for U.S. federal income tax purposes is a holder of our Class A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 owner of such a pass-through entity, holding shares of our Class A common stock is urged to consult its own tax advisor as to the particular U.S. federal income tax consequences applicable to it.</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760"/>
          </w:cols>
          <w:pgMar w:left="320" w:top="466" w:right="81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right="120" w:firstLine="413"/>
        <w:spacing w:after="0" w:line="284" w:lineRule="auto"/>
        <w:rPr>
          <w:sz w:val="20"/>
          <w:szCs w:val="20"/>
          <w:color w:val="auto"/>
        </w:rPr>
      </w:pPr>
      <w:r>
        <w:rPr>
          <w:rFonts w:ascii="Arial" w:cs="Arial" w:eastAsia="Arial" w:hAnsi="Arial"/>
          <w:sz w:val="16"/>
          <w:szCs w:val="16"/>
          <w:b w:val="1"/>
          <w:bCs w:val="1"/>
          <w:i w:val="1"/>
          <w:iCs w:val="1"/>
          <w:color w:val="auto"/>
        </w:rPr>
        <w:t>INVESTORS CONSIDERING THE PURCHASE OF OUR CLASS A COMMON STOCK ARE URGED TO CONSULT THEIR OWN TAX ADVISORS REGARDING THE APPLICATION OF U.S. FEDERAL INCOME TAX LAWS TO THEIR PARTICULAR SITUATIONS AND THE CONSEQUENCES OF OTHER FEDERAL, STATE, LOCAL AND FOREIGN TAX LAWS, AND APPLICABLE TAX TREATIES.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Distributions on Class A Common Stock</w:t>
      </w:r>
    </w:p>
    <w:p>
      <w:pPr>
        <w:spacing w:after="0" w:line="112"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If we pay distributions on shares of our Class A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remaining excess will be treated as gain realized on the sale or other taxable disposition of our Class A common stock. See “—Sales or Other Taxable Dispositions of Class A Common Stock.”</w:t>
      </w:r>
    </w:p>
    <w:p>
      <w:pPr>
        <w:spacing w:after="0" w:line="152" w:lineRule="exact"/>
        <w:rPr>
          <w:sz w:val="20"/>
          <w:szCs w:val="20"/>
          <w:color w:val="auto"/>
        </w:rPr>
      </w:pPr>
    </w:p>
    <w:p>
      <w:pPr>
        <w:ind w:left="460" w:right="20" w:firstLine="413"/>
        <w:spacing w:after="0" w:line="287" w:lineRule="auto"/>
        <w:rPr>
          <w:sz w:val="20"/>
          <w:szCs w:val="20"/>
          <w:color w:val="auto"/>
        </w:rPr>
      </w:pPr>
      <w:r>
        <w:rPr>
          <w:rFonts w:ascii="Arial" w:cs="Arial" w:eastAsia="Arial" w:hAnsi="Arial"/>
          <w:sz w:val="15"/>
          <w:szCs w:val="15"/>
          <w:color w:val="auto"/>
        </w:rPr>
        <w:t>Any dividend paid to a non-U.S. holder on our Class A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U.S. and the non-U.S. holder’s country of residence. Generally, in order for the applicable withholding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the applicable withholding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the applicable withholding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 You are urged to consult your own tax advisors regarding your entitlement to benefits under a relevant income tax treaty.</w:t>
      </w:r>
    </w:p>
    <w:p>
      <w:pPr>
        <w:spacing w:after="0" w:line="159"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Dividends received by a non-U.S. holder that are effectively connected with a U.S. trade or business conducted by the non-U.S. holder and, if required by an applicable income tax treaty between the U.S. and the non-U.S. holder’s country of residence, are attributable to a permanent establishment (or, in certain cases involving individual holders, a fixed base) maintained by the non-U.S. holder in the U.S.,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rates applicable to United States persons, net of certain deductions and credits. In addition to this tax, such effectively connected dividends, as adjusted for certain items, received by corporate non-U.S. holders may also be subject to a branch profits tax at a rate of 30% or such lower rate as may be specified by an applicable income tax treaty.</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Sales or Other Taxable Dispositions of Class A Common Stock</w:t>
      </w:r>
    </w:p>
    <w:p>
      <w:pPr>
        <w:spacing w:after="0" w:line="112" w:lineRule="exact"/>
        <w:rPr>
          <w:sz w:val="20"/>
          <w:szCs w:val="20"/>
          <w:color w:val="auto"/>
        </w:rPr>
      </w:pPr>
    </w:p>
    <w:p>
      <w:pPr>
        <w:ind w:left="460" w:right="400" w:firstLine="413"/>
        <w:spacing w:after="0" w:line="340" w:lineRule="auto"/>
        <w:rPr>
          <w:sz w:val="20"/>
          <w:szCs w:val="20"/>
          <w:color w:val="auto"/>
        </w:rPr>
      </w:pPr>
      <w:r>
        <w:rPr>
          <w:rFonts w:ascii="Arial" w:cs="Arial" w:eastAsia="Arial" w:hAnsi="Arial"/>
          <w:sz w:val="15"/>
          <w:szCs w:val="15"/>
          <w:color w:val="auto"/>
        </w:rPr>
        <w:t>Subject to the discussion below on backup withholding and other withholding requirements, gain realized by a non-U.S. holder on a sale, exchange or other taxable disposition of our Class A common stock generally will not be subject to U.S. federal income or withholding tax, unless:</w:t>
      </w:r>
    </w:p>
    <w:p>
      <w:pPr>
        <w:spacing w:after="0" w:line="31" w:lineRule="exact"/>
        <w:rPr>
          <w:sz w:val="20"/>
          <w:szCs w:val="20"/>
          <w:color w:val="auto"/>
        </w:rPr>
      </w:pPr>
    </w:p>
    <w:p>
      <w:pPr>
        <w:ind w:left="1360" w:right="20" w:hanging="498"/>
        <w:spacing w:after="0" w:line="272"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U.S. and the non-U.S. holder’s</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780"/>
          </w:cols>
          <w:pgMar w:left="320" w:top="466" w:right="79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right="740"/>
        <w:spacing w:after="0" w:line="303" w:lineRule="auto"/>
        <w:rPr>
          <w:sz w:val="20"/>
          <w:szCs w:val="20"/>
          <w:color w:val="auto"/>
        </w:rPr>
      </w:pPr>
      <w:r>
        <w:rPr>
          <w:rFonts w:ascii="Arial" w:cs="Arial" w:eastAsia="Arial" w:hAnsi="Arial"/>
          <w:sz w:val="16"/>
          <w:szCs w:val="16"/>
          <w:color w:val="auto"/>
        </w:rPr>
        <w:t>country of residence, is attributable to a permanent establishment (or, in certain cases involving individual holders, a fixed base) maintained by the non-U.S. holder in the U.S. (in which case the special rules described below apply),</w:t>
      </w:r>
    </w:p>
    <w:p>
      <w:pPr>
        <w:spacing w:after="0" w:line="55" w:lineRule="exact"/>
        <w:rPr>
          <w:sz w:val="20"/>
          <w:szCs w:val="20"/>
          <w:color w:val="auto"/>
        </w:rPr>
      </w:pPr>
    </w:p>
    <w:p>
      <w:pPr>
        <w:ind w:left="1360" w:right="140" w:hanging="498"/>
        <w:spacing w:after="0" w:line="256" w:lineRule="auto"/>
        <w:tabs>
          <w:tab w:leader="none" w:pos="13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0" w:lineRule="exact"/>
        <w:rPr>
          <w:rFonts w:ascii="Arial" w:cs="Arial" w:eastAsia="Arial" w:hAnsi="Arial"/>
          <w:sz w:val="17"/>
          <w:szCs w:val="17"/>
          <w:color w:val="auto"/>
        </w:rPr>
      </w:pPr>
    </w:p>
    <w:p>
      <w:pPr>
        <w:ind w:left="1360" w:right="100" w:hanging="498"/>
        <w:spacing w:after="0" w:line="260" w:lineRule="auto"/>
        <w:tabs>
          <w:tab w:leader="none" w:pos="13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(a “USRPHC”) for U.S. federal income tax purposes at any time during the shorter of the five-year period ending on the date of such disposition of our Class A common stock and the non-U.S. holder’s holding period for our Class A common stock.</w:t>
      </w:r>
    </w:p>
    <w:p>
      <w:pPr>
        <w:spacing w:after="0" w:line="175"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sale or other taxable disposition of stock in a USRPHC does not apply to a non-U.S. holder whose holdings, actual and constructive, amount to 5% or less of our Class A common stock at all times during the applicable period, provided that our Class A common stock is regularly traded on an established securities market. No assurance can be provided that our Class A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are urged to consult your own tax advisor about the consequences that could result if we have been, are or become a USRPHC.</w:t>
      </w:r>
    </w:p>
    <w:p>
      <w:pPr>
        <w:spacing w:after="0" w:line="174"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If any gain from the sale, exchange or other taxable disposition of our Class A common stock (1) is effectively connected with a U.S. trade or business conducted by a non-U.S. holder and (2) if required by an applicable income tax treaty between the U.S. and the non-U.S. holder’s country of residence, is attributable to a permanent establishment (or, in certain cases involving individuals, a fixed base) maintained by such non-U.S. holder in the U.S., then the gain generally will be subject to U.S. federal income tax on a net income basis at the same rates applicable to United States persons, net of certain deductions and credits. In addition to this tax, such effectively connected gain, as adjusted for certain items, realized by corporate non-U.S. holders may also be subject to a branch profits tax at a rate of 30% or such lower rate as may be specified by an applicable income tax treaty.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12" w:lineRule="exact"/>
        <w:rPr>
          <w:sz w:val="20"/>
          <w:szCs w:val="20"/>
          <w:color w:val="auto"/>
        </w:rPr>
      </w:pPr>
    </w:p>
    <w:p>
      <w:pPr>
        <w:ind w:left="460" w:right="80" w:firstLine="413"/>
        <w:spacing w:after="0" w:line="291" w:lineRule="auto"/>
        <w:rPr>
          <w:sz w:val="20"/>
          <w:szCs w:val="20"/>
          <w:color w:val="auto"/>
        </w:rPr>
      </w:pPr>
      <w:r>
        <w:rPr>
          <w:rFonts w:ascii="Arial" w:cs="Arial" w:eastAsia="Arial" w:hAnsi="Arial"/>
          <w:sz w:val="15"/>
          <w:szCs w:val="15"/>
          <w:color w:val="auto"/>
        </w:rPr>
        <w:t>Any distributions that are paid to a non-U.S. holder must be reported annually to the IRS and to the non-U.S. holder, regardless of whether such distributions constitute dividends or whether any tax was actually withheld. Copies of these information returns also may be made available to the tax authorities of the country in which the non-U.S. holder resides or is established under the provisions of various treaties or agreements for the exchange of information. Dividends paid on our Class A common stock and the gross proceeds from a taxable disposition of our Class A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 holder’s circumstances will generally satisfy the certification requirements necessary to avoid the additional information reporting and backup withholding.</w:t>
      </w:r>
    </w:p>
    <w:p>
      <w:pPr>
        <w:spacing w:after="0" w:line="157" w:lineRule="exact"/>
        <w:rPr>
          <w:sz w:val="20"/>
          <w:szCs w:val="20"/>
          <w:color w:val="auto"/>
        </w:rPr>
      </w:pPr>
    </w:p>
    <w:p>
      <w:pPr>
        <w:ind w:left="460" w:right="20" w:firstLine="413"/>
        <w:spacing w:after="0" w:line="303" w:lineRule="auto"/>
        <w:rPr>
          <w:sz w:val="20"/>
          <w:szCs w:val="20"/>
          <w:color w:val="auto"/>
        </w:rPr>
      </w:pPr>
      <w:r>
        <w:rPr>
          <w:rFonts w:ascii="Arial" w:cs="Arial" w:eastAsia="Arial" w:hAnsi="Arial"/>
          <w:sz w:val="16"/>
          <w:szCs w:val="16"/>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8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780"/>
          </w:cols>
          <w:pgMar w:left="320" w:top="466" w:right="79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Withholding Taxes</w:t>
      </w:r>
    </w:p>
    <w:p>
      <w:pPr>
        <w:spacing w:after="0" w:line="112" w:lineRule="exact"/>
        <w:rPr>
          <w:sz w:val="20"/>
          <w:szCs w:val="20"/>
          <w:color w:val="auto"/>
        </w:rPr>
      </w:pPr>
    </w:p>
    <w:p>
      <w:pPr>
        <w:ind w:left="460" w:firstLine="413"/>
        <w:spacing w:after="0" w:line="268" w:lineRule="auto"/>
        <w:rPr>
          <w:sz w:val="20"/>
          <w:szCs w:val="20"/>
          <w:color w:val="auto"/>
        </w:rPr>
      </w:pPr>
      <w:r>
        <w:rPr>
          <w:rFonts w:ascii="Arial" w:cs="Arial" w:eastAsia="Arial" w:hAnsi="Arial"/>
          <w:sz w:val="16"/>
          <w:szCs w:val="16"/>
          <w:color w:val="auto"/>
        </w:rPr>
        <w:t>Provisions commonly referred to as “FATCA” impose withholding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An intergovernmental agreement between the U.S. and an applicable foreign jurisdiction may modify these requirements.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While withholding under FATCA would have applied also to payments of gross proceeds from the sale or other taxable disposition of our Class A common stock, proposed U.S. Treasury regulations eliminate FATCA withholding on payments of gross proceeds entirely. Taxpayers generally may rely on these proposed U.S. Treasury regulations until final Treasury regulations are issued. Non-U.S. holders are urged to consult their own tax advisors regarding the effects of FATCA on their investment in our Class A common stock.</w:t>
      </w:r>
    </w:p>
    <w:p>
      <w:pPr>
        <w:spacing w:after="0" w:line="167" w:lineRule="exact"/>
        <w:rPr>
          <w:sz w:val="20"/>
          <w:szCs w:val="20"/>
          <w:color w:val="auto"/>
        </w:rPr>
      </w:pPr>
    </w:p>
    <w:p>
      <w:pPr>
        <w:ind w:left="460" w:right="80" w:firstLine="413"/>
        <w:spacing w:after="0" w:line="255"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760"/>
          </w:cols>
          <w:pgMar w:left="320" w:top="466" w:right="81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UNDERWRITING</w:t>
      </w:r>
    </w:p>
    <w:p>
      <w:pPr>
        <w:spacing w:after="0" w:line="214" w:lineRule="exact"/>
        <w:rPr>
          <w:sz w:val="20"/>
          <w:szCs w:val="20"/>
          <w:color w:val="auto"/>
        </w:rPr>
      </w:pPr>
    </w:p>
    <w:p>
      <w:pPr>
        <w:jc w:val="both"/>
        <w:ind w:left="460" w:firstLine="413"/>
        <w:spacing w:after="0" w:line="311" w:lineRule="auto"/>
        <w:rPr>
          <w:sz w:val="20"/>
          <w:szCs w:val="20"/>
          <w:color w:val="auto"/>
        </w:rPr>
      </w:pPr>
      <w:r>
        <w:rPr>
          <w:rFonts w:ascii="Arial" w:cs="Arial" w:eastAsia="Arial" w:hAnsi="Arial"/>
          <w:sz w:val="15"/>
          <w:szCs w:val="15"/>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J.P. Morgan Securities LLC, Morgan Stanley &amp; Co. LLC and Barclays Capital Inc. are acting as representatives of the underwriters.</w:t>
      </w:r>
    </w:p>
    <w:p>
      <w:pPr>
        <w:spacing w:after="0" w:line="148" w:lineRule="exact"/>
        <w:rPr>
          <w:sz w:val="20"/>
          <w:szCs w:val="20"/>
          <w:color w:val="auto"/>
        </w:rPr>
      </w:pPr>
    </w:p>
    <w:tbl>
      <w:tblPr>
        <w:tblLayout w:type="fixed"/>
        <w:tblInd w:w="2120" w:type="dxa"/>
        <w:tblCellMar>
          <w:top w:w="0" w:type="dxa"/>
          <w:left w:w="0" w:type="dxa"/>
          <w:bottom w:w="0" w:type="dxa"/>
          <w:right w:w="0" w:type="dxa"/>
        </w:tblCellMar>
      </w:tblPr>
      <w:tr>
        <w:trPr>
          <w:trHeight w:val="169"/>
        </w:trPr>
        <w:tc>
          <w:tcPr>
            <w:tcW w:w="5920" w:type="dxa"/>
            <w:vAlign w:val="bottom"/>
            <w:gridSpan w:val="2"/>
          </w:tcPr>
          <w:p>
            <w:pPr>
              <w:spacing w:after="0"/>
              <w:rPr>
                <w:sz w:val="20"/>
                <w:szCs w:val="20"/>
                <w:color w:val="auto"/>
              </w:rPr>
            </w:pPr>
            <w:r>
              <w:rPr>
                <w:rFonts w:ascii="Arial" w:cs="Arial" w:eastAsia="Arial" w:hAnsi="Arial"/>
                <w:sz w:val="13"/>
                <w:szCs w:val="13"/>
                <w:b w:val="1"/>
                <w:bCs w:val="1"/>
                <w:color w:val="auto"/>
              </w:rPr>
              <w:t>Underwriters</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1"/>
              </w:rPr>
              <w:t>Number of Shares</w:t>
            </w: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68"/>
        </w:trPr>
        <w:tc>
          <w:tcPr>
            <w:tcW w:w="5920" w:type="dxa"/>
            <w:vAlign w:val="bottom"/>
            <w:gridSpan w:val="2"/>
            <w:shd w:val="clear" w:color="auto" w:fill="CCEEFF"/>
          </w:tcPr>
          <w:p>
            <w:pPr>
              <w:spacing w:after="0" w:line="168" w:lineRule="exact"/>
              <w:rPr>
                <w:sz w:val="20"/>
                <w:szCs w:val="20"/>
                <w:color w:val="auto"/>
              </w:rPr>
            </w:pPr>
            <w:r>
              <w:rPr>
                <w:rFonts w:ascii="Arial" w:cs="Arial" w:eastAsia="Arial" w:hAnsi="Arial"/>
                <w:sz w:val="17"/>
                <w:szCs w:val="17"/>
                <w:color w:val="auto"/>
              </w:rPr>
              <w:t>Goldman Sachs &amp; Co. LLC</w:t>
            </w: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7"/>
                <w:szCs w:val="17"/>
                <w:color w:val="auto"/>
              </w:rPr>
              <w:t>J.P. Morgan Securities LLC</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Morgan Stanley &amp; Co. LLC</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7"/>
                <w:szCs w:val="17"/>
                <w:color w:val="auto"/>
              </w:rPr>
              <w:t>Barclays Capital Inc.</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Credit Suisse Securities (USA) LLC</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7"/>
                <w:szCs w:val="17"/>
                <w:color w:val="auto"/>
              </w:rPr>
              <w:t>Deutsche Bank Securities Inc.</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Canaccord Genuity LLC</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7"/>
                <w:szCs w:val="17"/>
                <w:color w:val="auto"/>
              </w:rPr>
              <w:t>Raymond James &amp; Associates, Inc.</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Stifel, Nicolaus &amp; Company, Incorporated</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7"/>
                <w:szCs w:val="17"/>
                <w:color w:val="auto"/>
              </w:rPr>
              <w:t>Drexel Hamilton, LLC</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Loop Capital Markets LLC</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592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11,000,000</w:t>
            </w:r>
          </w:p>
        </w:tc>
      </w:tr>
    </w:tbl>
    <w:p>
      <w:pPr>
        <w:spacing w:after="0" w:line="178"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underwriters will be committed to take and pay for all of the shares of our Class A common stock being offered, if any are taken, other than the shares covered by the option described below unless and until this option is exercised.</w:t>
      </w:r>
    </w:p>
    <w:p>
      <w:pPr>
        <w:spacing w:after="0" w:line="165"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The underwriters have an option to buy up to an additional 1,650,000 shares of our Class A common stock from us to cover sales by the underwriters of a greater number of shares than the total number set forth in the table above. They may exercise that option for 30 days after the date of this prospectus. If any shares of our Class A common stock are purchased pursuant to this option, the underwriters will severally purchase shares in approximately the same proportion as set forth in the table above.</w:t>
      </w:r>
    </w:p>
    <w:p>
      <w:pPr>
        <w:spacing w:after="0" w:line="179" w:lineRule="exact"/>
        <w:rPr>
          <w:sz w:val="20"/>
          <w:szCs w:val="20"/>
          <w:color w:val="auto"/>
        </w:rPr>
      </w:pPr>
    </w:p>
    <w:p>
      <w:pPr>
        <w:ind w:left="460" w:right="20" w:firstLine="413"/>
        <w:spacing w:after="0" w:line="340" w:lineRule="auto"/>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us. Such amounts are shown assuming both no exercise and full exercise of the underwriters’ option to purchase additional shares of our Class A common stock.</w:t>
      </w:r>
    </w:p>
    <w:p>
      <w:pPr>
        <w:spacing w:after="0" w:line="127"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Paid by Us</w:t>
            </w:r>
          </w:p>
        </w:tc>
        <w:tc>
          <w:tcPr>
            <w:tcW w:w="454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3"/>
                <w:szCs w:val="13"/>
                <w:b w:val="1"/>
                <w:bCs w:val="1"/>
                <w:color w:val="auto"/>
              </w:rPr>
              <w:t>No Exercise</w:t>
            </w: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Full Exercise</w:t>
            </w: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81"/>
        </w:trPr>
        <w:tc>
          <w:tcPr>
            <w:tcW w:w="6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w w:val="84"/>
              </w:rPr>
              <w:t>Per share</w:t>
            </w:r>
          </w:p>
        </w:tc>
        <w:tc>
          <w:tcPr>
            <w:tcW w:w="4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5"/>
                <w:szCs w:val="15"/>
                <w:color w:val="auto"/>
              </w:rPr>
            </w:pPr>
          </w:p>
        </w:tc>
      </w:tr>
      <w:tr>
        <w:trPr>
          <w:trHeight w:val="214"/>
        </w:trPr>
        <w:tc>
          <w:tcPr>
            <w:tcW w:w="640" w:type="dxa"/>
            <w:vAlign w:val="bottom"/>
          </w:tcPr>
          <w:p>
            <w:pPr>
              <w:spacing w:after="0"/>
              <w:rPr>
                <w:sz w:val="20"/>
                <w:szCs w:val="20"/>
                <w:color w:val="auto"/>
              </w:rPr>
            </w:pPr>
            <w:r>
              <w:rPr>
                <w:rFonts w:ascii="Arial" w:cs="Arial" w:eastAsia="Arial" w:hAnsi="Arial"/>
                <w:sz w:val="17"/>
                <w:szCs w:val="17"/>
                <w:color w:val="auto"/>
              </w:rPr>
              <w:t>Total</w:t>
            </w:r>
          </w:p>
        </w:tc>
        <w:tc>
          <w:tcPr>
            <w:tcW w:w="5580" w:type="dxa"/>
            <w:vAlign w:val="bottom"/>
            <w:gridSpan w:val="2"/>
          </w:tcPr>
          <w:p>
            <w:pPr>
              <w:jc w:val="right"/>
              <w:ind w:right="889"/>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40" w:type="dxa"/>
            <w:vAlign w:val="bottom"/>
          </w:tcPr>
          <w:p>
            <w:pPr>
              <w:jc w:val="right"/>
              <w:ind w:right="888"/>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r>
    </w:tbl>
    <w:p>
      <w:pPr>
        <w:spacing w:after="0" w:line="178" w:lineRule="exact"/>
        <w:rPr>
          <w:sz w:val="20"/>
          <w:szCs w:val="20"/>
          <w:color w:val="auto"/>
        </w:rPr>
      </w:pPr>
    </w:p>
    <w:p>
      <w:pPr>
        <w:ind w:left="460" w:right="60" w:firstLine="413"/>
        <w:spacing w:after="0" w:line="290" w:lineRule="auto"/>
        <w:rPr>
          <w:sz w:val="20"/>
          <w:szCs w:val="20"/>
          <w:color w:val="auto"/>
        </w:rPr>
      </w:pPr>
      <w:r>
        <w:rPr>
          <w:rFonts w:ascii="Arial" w:cs="Arial" w:eastAsia="Arial" w:hAnsi="Arial"/>
          <w:sz w:val="15"/>
          <w:szCs w:val="15"/>
          <w:color w:val="auto"/>
        </w:rPr>
        <w:t>Shares of our Class A common stock sold by the underwriters to the public will initially be offered at the public offering price set forth on the cover page of this prospectus. Any shares of our Class A common stock sold by the underwriters to securities dealers may be sold at a discount of up to</w:t>
      </w:r>
    </w:p>
    <w:p>
      <w:pPr>
        <w:jc w:val="both"/>
        <w:ind w:left="460" w:hanging="3"/>
        <w:spacing w:after="0" w:line="253" w:lineRule="auto"/>
        <w:tabs>
          <w:tab w:leader="none" w:pos="109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1"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We and Definitive OpCo have agreed with the underwriters not to offer, pledge, sell, contract to sell, sell any option or contract to purchase, purchase any option or contract to sell, grant any option, right or warrant to purchase, lend or otherwise transfer or dispose of any shares of, or securities convertible into or exchangeable for shares of, our Class A common stock during the period from the date of this prospectus continuing through the date 90 days after the date of this prospectus, or, if later, March 13, 2021, except with the prior written consent of Goldman Sachs &amp; Co. LLC and J.P. Morgan Securities LLC. These restrictions do not apply to (i) the issuance of shares of, or securities convertible into or exercisable for shares of, our Class A common stock pursuant to the conversion or exchange of convertible or exchangeable securities or the exercise of warrants or options or the</w:t>
      </w:r>
    </w:p>
    <w:p>
      <w:pPr>
        <w:spacing w:after="0" w:line="9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740"/>
          </w:cols>
          <w:pgMar w:left="320" w:top="465" w:right="8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spacing w:after="0" w:line="269" w:lineRule="auto"/>
        <w:rPr>
          <w:sz w:val="20"/>
          <w:szCs w:val="20"/>
          <w:color w:val="auto"/>
        </w:rPr>
      </w:pPr>
      <w:r>
        <w:rPr>
          <w:rFonts w:ascii="Arial" w:cs="Arial" w:eastAsia="Arial" w:hAnsi="Arial"/>
          <w:sz w:val="16"/>
          <w:szCs w:val="16"/>
          <w:color w:val="auto"/>
        </w:rPr>
        <w:t>settlement of RSUs, in each case outstanding on the date of the underwriting agreement; (ii) grants of equity awards and the issuance of shares of, or securities convertible into or exercisable or exchangeable for shares of, our Class A common stock pursuant to an equity compensation plan; (iii) the issuance of up to 10% of the outstanding shares of, or securities convertible into, exercisable for or which are otherwise exchangeable for, shares of our Class A common stock in acquisitions or other similar strategic transactions; (iv) the establishment of a trading plan pursuant to Rule 10b5-1 under the Exchange Act, provided certain conditions are met; or (v) the filing of any registration statement on Form S-8 relating to certain equity incentive plans; provided that we shall cause the recipient of any securities sold or issued pursuant to clauses (iv) and (v) to agree in writing to be bound by the restrictions set forth in the lock-up agreement described below. Nor do the restrictions prohibit non-public submission to the SEC of any registration statements under the Securities Act, provided certain conditions are met. In connection with the IPO, we made a similar agreement with respect to the period ending 180 days after September 14, 2021.</w:t>
      </w:r>
    </w:p>
    <w:p>
      <w:pPr>
        <w:spacing w:after="0" w:line="170"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In connection with our IPO, our directors, executive officers and the holders of substantially all of our Class A common stock, and securities convertible into, exchangeable for or that represent the right to receive Class A common stock, entered into lock-up agreements with the underwriters pursuant to which they have agreed that, for a period ending 180 days after September 14, 2021 (the “Lock-up Period”), and without the prior written consent of Goldman Sachs &amp; Co. LLC and J.P. Morgan Securities LLC, they will not (a) offer, pledge, sell, contract to sell, sell any option or contract to purchase, purchase any option or contract to sell, grant any option, right or warrant to purchase, lend, or otherwise transfer or dispose of, directly or indirectly, any shares of, or any securities convertible into or exercisable or exchangeable for, our common stock (the “Lock-up Securities”), (b) enter into any hedging or other agreement or transaction that transfers any of the economic consequences of ownership of the Lock-Up Securities (whether any such transaction described in clause (a) or (b) is to be settled by delivery of any Lock-Up Securities, in cash or otherwise) or (c) publicly disclose the intention to do any of the foregoing.</w:t>
      </w:r>
    </w:p>
    <w:p>
      <w:pPr>
        <w:spacing w:after="0" w:line="2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restrictions described in the immediately preceding paragraph do not apply to:</w:t>
      </w:r>
    </w:p>
    <w:p>
      <w:pPr>
        <w:spacing w:after="0" w:line="121" w:lineRule="exact"/>
        <w:rPr>
          <w:sz w:val="20"/>
          <w:szCs w:val="20"/>
          <w:color w:val="auto"/>
        </w:rPr>
      </w:pPr>
    </w:p>
    <w:p>
      <w:pPr>
        <w:ind w:left="1360" w:hanging="498"/>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sale of our Class A common stock to the underwriters in our IPO;</w:t>
      </w:r>
    </w:p>
    <w:p>
      <w:pPr>
        <w:spacing w:after="0" w:line="121" w:lineRule="exact"/>
        <w:rPr>
          <w:rFonts w:ascii="Arial" w:cs="Arial" w:eastAsia="Arial" w:hAnsi="Arial"/>
          <w:sz w:val="17"/>
          <w:szCs w:val="17"/>
          <w:color w:val="auto"/>
        </w:rPr>
      </w:pPr>
    </w:p>
    <w:p>
      <w:pPr>
        <w:ind w:left="1360" w:right="100" w:hanging="498"/>
        <w:spacing w:after="0" w:line="296" w:lineRule="auto"/>
        <w:tabs>
          <w:tab w:leader="none" w:pos="13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transfers by will or intestacy; provided that (x) any such transfer shall not involve a disposition for value and each recipient shall agree in writing to be bound by the restrictions set forth in the lock-up agreements and (y)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63" w:lineRule="exact"/>
        <w:rPr>
          <w:rFonts w:ascii="Arial" w:cs="Arial" w:eastAsia="Arial" w:hAnsi="Arial"/>
          <w:sz w:val="15"/>
          <w:szCs w:val="15"/>
          <w:color w:val="auto"/>
        </w:rPr>
      </w:pPr>
    </w:p>
    <w:p>
      <w:pPr>
        <w:ind w:left="1360" w:hanging="498"/>
        <w:spacing w:after="0" w:line="283" w:lineRule="auto"/>
        <w:tabs>
          <w:tab w:leader="none" w:pos="13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transfers (A) as a bona fide gift or gifts, (B) to any trust, partnership, limited liability company or other entity for the benefit of the holder, the immediate family of the holder, or if the holder is a trust, to a trustor or beneficiary of the trust or to the estate of a beneficiary of such trust, or any private foundation or similar charitable organization over which the holder has control, provided that any such transfers to a private foundation or similar charitable organization shall not, in the aggregate and together with any such transfers pursuant to any substantially similar lock-up agreement with the representatives of the underwriters, exceed 1.00% of the outstanding shares of our common stock immediately following the offering, (C) to any partnership, limited liability company or other entity of which the holder and the holder’s immediate family are the legal and beneficial owner of all of the outstanding equity securities or similar interests, (D) to any immediate family member or investment fund or other entity controlled or managed by the holder or (E) if the holder is a business entity,</w:t>
      </w:r>
    </w:p>
    <w:p>
      <w:pPr>
        <w:spacing w:after="0" w:line="5" w:lineRule="exact"/>
        <w:rPr>
          <w:rFonts w:ascii="Arial" w:cs="Arial" w:eastAsia="Arial" w:hAnsi="Arial"/>
          <w:sz w:val="15"/>
          <w:szCs w:val="15"/>
          <w:color w:val="auto"/>
        </w:rPr>
      </w:pPr>
    </w:p>
    <w:p>
      <w:pPr>
        <w:jc w:val="both"/>
        <w:ind w:left="1360"/>
        <w:spacing w:after="0" w:line="281" w:lineRule="auto"/>
        <w:rPr>
          <w:rFonts w:ascii="Arial" w:cs="Arial" w:eastAsia="Arial" w:hAnsi="Arial"/>
          <w:sz w:val="15"/>
          <w:szCs w:val="15"/>
          <w:color w:val="auto"/>
        </w:rPr>
      </w:pPr>
      <w:r>
        <w:rPr>
          <w:rFonts w:ascii="Arial" w:cs="Arial" w:eastAsia="Arial" w:hAnsi="Arial"/>
          <w:sz w:val="15"/>
          <w:szCs w:val="15"/>
          <w:color w:val="auto"/>
        </w:rPr>
        <w:t>(1) to another business entity that is an affiliate of the holder, or to any investment fund or other entity controlling, controlled by, managing or managed by or under common control with the holder or affiliates of the holder or (2) as part of a distribution to limited partners, limited liability company members or shareholders of the holder, or holders of similar equity interests in the holder; provided, in each case, that</w:t>
      </w:r>
    </w:p>
    <w:p>
      <w:pPr>
        <w:spacing w:after="0" w:line="2" w:lineRule="exact"/>
        <w:rPr>
          <w:rFonts w:ascii="Arial" w:cs="Arial" w:eastAsia="Arial" w:hAnsi="Arial"/>
          <w:sz w:val="15"/>
          <w:szCs w:val="15"/>
          <w:color w:val="auto"/>
        </w:rPr>
      </w:pPr>
    </w:p>
    <w:p>
      <w:pPr>
        <w:ind w:left="1360" w:right="240"/>
        <w:spacing w:after="0" w:line="257" w:lineRule="auto"/>
        <w:rPr>
          <w:rFonts w:ascii="Arial" w:cs="Arial" w:eastAsia="Arial" w:hAnsi="Arial"/>
          <w:sz w:val="15"/>
          <w:szCs w:val="15"/>
          <w:color w:val="auto"/>
        </w:rPr>
      </w:pPr>
      <w:r>
        <w:rPr>
          <w:rFonts w:ascii="Arial" w:cs="Arial" w:eastAsia="Arial" w:hAnsi="Arial"/>
          <w:sz w:val="17"/>
          <w:szCs w:val="17"/>
          <w:color w:val="auto"/>
        </w:rPr>
        <w:t>(x) any such transfer shall not involve a disposition for value and each recipient shall agree in writing to be bound by the restrictions set forth in the lock-up agreements and (y) no filing by any party under the Exchange Act</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780"/>
          </w:cols>
          <w:pgMar w:left="320" w:top="466" w:right="79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or other public announcement shall be required or made voluntarily in connection with such transfer;</w:t>
      </w:r>
    </w:p>
    <w:p>
      <w:pPr>
        <w:spacing w:after="0" w:line="121" w:lineRule="exact"/>
        <w:rPr>
          <w:sz w:val="20"/>
          <w:szCs w:val="20"/>
          <w:color w:val="auto"/>
        </w:rPr>
      </w:pPr>
    </w:p>
    <w:p>
      <w:pPr>
        <w:ind w:left="1360" w:right="40" w:hanging="498"/>
        <w:spacing w:after="0" w:line="289" w:lineRule="auto"/>
        <w:tabs>
          <w:tab w:leader="none" w:pos="13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transfers (A) by operation of law, (B) to a nominee or custodian of a person or entity to whom a disposition or transfer would be permissible under certain exceptions to the lock-up agreements, (C) pursuant to an order of certain courts or regulatory agencies; (D) as part of a sale of the holder’s Lock-Up Securities acquired in the offering (subject to certain exceptions) or open market transactions after the closing of the IPO or (E) to us in connection with the vesting, settlement or exercise of rights to purchase shares of our common stock, provided that any such shares received shall be subject to the terms of the lock-up agreements and that any such rights are held pursuant to certain equity incentive plans; provided, in each case, that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68" w:lineRule="exact"/>
        <w:rPr>
          <w:rFonts w:ascii="Arial" w:cs="Arial" w:eastAsia="Arial" w:hAnsi="Arial"/>
          <w:sz w:val="15"/>
          <w:szCs w:val="15"/>
          <w:color w:val="auto"/>
        </w:rPr>
      </w:pPr>
    </w:p>
    <w:p>
      <w:pPr>
        <w:ind w:left="1360" w:right="100" w:hanging="498"/>
        <w:spacing w:after="0" w:line="303" w:lineRule="auto"/>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transfers to us from one of our employees upon death, disability or termination of employment or other service relationship with us or the holder’s failure to meet certain conditions set out upon receipt of such securities, in each case, of such employee;</w:t>
      </w:r>
    </w:p>
    <w:p>
      <w:pPr>
        <w:spacing w:after="0" w:line="54" w:lineRule="exact"/>
        <w:rPr>
          <w:rFonts w:ascii="Arial" w:cs="Arial" w:eastAsia="Arial" w:hAnsi="Arial"/>
          <w:sz w:val="16"/>
          <w:szCs w:val="16"/>
          <w:color w:val="auto"/>
        </w:rPr>
      </w:pPr>
    </w:p>
    <w:p>
      <w:pPr>
        <w:ind w:left="1360" w:right="440" w:hanging="498"/>
        <w:spacing w:after="0" w:line="260" w:lineRule="auto"/>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transfers pursuant to a bona fide third-party tender offer, merger, consolidation or other similar transaction made to all holders of our capital stock involving a change of control, provided that in the event that such transaction is not completed, the holder’s Lock-Up Securities shall remain subject to the restrictions set forth in the lock-up agreements;</w:t>
      </w:r>
    </w:p>
    <w:p>
      <w:pPr>
        <w:spacing w:after="0" w:line="86" w:lineRule="exact"/>
        <w:rPr>
          <w:rFonts w:ascii="Arial" w:cs="Arial" w:eastAsia="Arial" w:hAnsi="Arial"/>
          <w:sz w:val="17"/>
          <w:szCs w:val="17"/>
          <w:color w:val="auto"/>
        </w:rPr>
      </w:pPr>
    </w:p>
    <w:p>
      <w:pPr>
        <w:ind w:left="1360" w:hanging="498"/>
        <w:spacing w:after="0"/>
        <w:tabs>
          <w:tab w:leader="none" w:pos="13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 the exercise of outstanding options or warrants or the settlement of other equity awards pursuant to certain equity incentive plans or</w:t>
      </w:r>
    </w:p>
    <w:p>
      <w:pPr>
        <w:spacing w:after="0" w:line="41" w:lineRule="exact"/>
        <w:rPr>
          <w:rFonts w:ascii="Arial" w:cs="Arial" w:eastAsia="Arial" w:hAnsi="Arial"/>
          <w:sz w:val="15"/>
          <w:szCs w:val="15"/>
          <w:color w:val="auto"/>
        </w:rPr>
      </w:pPr>
    </w:p>
    <w:p>
      <w:pPr>
        <w:ind w:left="1360" w:right="40"/>
        <w:spacing w:after="0" w:line="253" w:lineRule="auto"/>
        <w:rPr>
          <w:rFonts w:ascii="Arial" w:cs="Arial" w:eastAsia="Arial" w:hAnsi="Arial"/>
          <w:sz w:val="15"/>
          <w:szCs w:val="15"/>
          <w:color w:val="auto"/>
        </w:rPr>
      </w:pPr>
      <w:r>
        <w:rPr>
          <w:rFonts w:ascii="Arial" w:cs="Arial" w:eastAsia="Arial" w:hAnsi="Arial"/>
          <w:sz w:val="17"/>
          <w:szCs w:val="17"/>
          <w:color w:val="auto"/>
        </w:rPr>
        <w:t>(B) the conversion of outstanding shares of our preferred stock, warrants to acquire shares of our preferred stock or convertible securities into, or warrants to acquire shares of, our common stock; provided, in each case, that any securities received are subject to the terms of the lock-up agreements; or</w:t>
      </w:r>
    </w:p>
    <w:p>
      <w:pPr>
        <w:spacing w:after="0" w:line="91" w:lineRule="exact"/>
        <w:rPr>
          <w:rFonts w:ascii="Arial" w:cs="Arial" w:eastAsia="Arial" w:hAnsi="Arial"/>
          <w:sz w:val="15"/>
          <w:szCs w:val="15"/>
          <w:color w:val="auto"/>
        </w:rPr>
      </w:pPr>
    </w:p>
    <w:p>
      <w:pPr>
        <w:ind w:left="1360" w:right="160" w:hanging="498"/>
        <w:spacing w:after="0" w:line="274" w:lineRule="auto"/>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provided that (A) no such plan shall provide for the transfer of any Lock-Up Securities during the Lock-up Period and (B) no filing under the Exchange Act or other public announcement shall be required or voluntarily made in connection with such trading plan and any public announcement or public filing under the Exchange Act regarding the establishment of such plan shall include a statement that such individual is not permitted to transfer, sell or otherwise dispose of any Lock-up Securities during the Lock-up Period.</w:t>
      </w:r>
    </w:p>
    <w:p>
      <w:pPr>
        <w:spacing w:after="0" w:line="165"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In the event that, during the Lock-Up Period, Goldman Sachs &amp; Co. LLC and J.P. Morgan Securities LLC release or waive any prohibition set forth in the lock-up agreements (a “Triggering Release”), at the time of the request of the Triggering Release, and subject to certain exceptions, the same percentage of securities of the holder as the percentage of securities being released in the Triggering Release represents with respect to the securities held directly or indirectly by each such holder shall be automatically and concurrently released from the lock-up agreement to the same extent; provided that, if such Triggering Release is effected in connection with an underwritten public offering that is a secondary offering of our Class A common stock, such securities shall only be released to the extent necessary to permit the offer, transfer and sale of such securities in the underwritten offering, and any securities subject to the lock-up agreement that are not actually sold in the underwritten offering will not be deemed released from the restrictions of the lock-up agreement.</w:t>
      </w:r>
    </w:p>
    <w:p>
      <w:pPr>
        <w:spacing w:after="0" w:line="174"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In connection with this offering, Goldman Sachs &amp; Co. LLC and J.P. Morgan LLC have agreed to waive the lock-up restrictions applicable to us for purposes of this offering. Also in connection with this offering and the “synthetic secondary,” Goldman Sachs &amp; Co. LLC and J.P. Morgan Securities LLC intend to waive, with respect to the shares of Class A common stock and LLC Units being sold in the “synthetic secondary,” the restrictions under these lock-up agreements applicable to the participants in the “synthetic secondary,” including certain of our directors and officers. This waiver relates only to the sale of shares in the “synthetic secondary” and becomes effective at the time of pricing of this offering. The remaining shares and LLC Units held by such participants</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760"/>
          </w:cols>
          <w:pgMar w:left="320" w:top="466" w:right="81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60"/>
        <w:spacing w:after="0" w:line="272" w:lineRule="auto"/>
        <w:rPr>
          <w:sz w:val="20"/>
          <w:szCs w:val="20"/>
          <w:color w:val="auto"/>
        </w:rPr>
      </w:pPr>
      <w:r>
        <w:rPr>
          <w:rFonts w:ascii="Arial" w:cs="Arial" w:eastAsia="Arial" w:hAnsi="Arial"/>
          <w:sz w:val="17"/>
          <w:szCs w:val="17"/>
          <w:color w:val="auto"/>
        </w:rPr>
        <w:t>and not sold in the “synthetic secondary” will continue to be locked up under the IPO lock-up agreements until the expiration of the original 180-day lock-up period ending on March 13, 2021.</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common stock is listed on Nasdaq under the symbol “DH.”</w:t>
      </w:r>
    </w:p>
    <w:p>
      <w:pPr>
        <w:spacing w:after="0" w:line="210"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65"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discounts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left="460" w:right="20" w:firstLine="413"/>
        <w:spacing w:after="0" w:line="296"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estimate that our share of the total expenses of this offering, excluding underwriting discounts and Commissions, will be approximately $2</w:t>
      </w:r>
    </w:p>
    <w:p>
      <w:pPr>
        <w:spacing w:after="0" w:line="42" w:lineRule="exact"/>
        <w:rPr>
          <w:sz w:val="20"/>
          <w:szCs w:val="20"/>
          <w:color w:val="auto"/>
        </w:rPr>
      </w:pPr>
    </w:p>
    <w:p>
      <w:pPr>
        <w:ind w:left="460" w:right="280"/>
        <w:spacing w:after="0" w:line="257" w:lineRule="auto"/>
        <w:rPr>
          <w:sz w:val="20"/>
          <w:szCs w:val="20"/>
          <w:color w:val="auto"/>
        </w:rPr>
      </w:pPr>
      <w:r>
        <w:rPr>
          <w:rFonts w:ascii="Arial" w:cs="Arial" w:eastAsia="Arial" w:hAnsi="Arial"/>
          <w:sz w:val="17"/>
          <w:szCs w:val="17"/>
          <w:color w:val="auto"/>
        </w:rPr>
        <w:t>million. We have agreed to reimburse the underwriters for certain of their expenses in an amount of up to $ . The underwriters have agreed to reimburse us for certain expenses incurred by us in connection with this offering upon the closing of the offering.</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w:t>
      </w:r>
    </w:p>
    <w:p>
      <w:pPr>
        <w:spacing w:after="0" w:line="210"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certain of the underwriters and their respective affiliates are expected to serve as arrangers in connection with our new senior credit facilities. See “Prospectus Summary—Debt Refinancing.”</w:t>
      </w:r>
    </w:p>
    <w:p>
      <w:pPr>
        <w:spacing w:after="0" w:line="167" w:lineRule="exact"/>
        <w:rPr>
          <w:sz w:val="20"/>
          <w:szCs w:val="20"/>
          <w:color w:val="auto"/>
        </w:rPr>
      </w:pPr>
    </w:p>
    <w:p>
      <w:pPr>
        <w:jc w:val="both"/>
        <w:ind w:left="460" w:right="260" w:firstLine="413"/>
        <w:spacing w:after="0" w:line="311"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780"/>
          </w:cols>
          <w:pgMar w:left="320" w:top="466" w:right="79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spacing w:after="0" w:line="301" w:lineRule="auto"/>
        <w:rPr>
          <w:sz w:val="20"/>
          <w:szCs w:val="20"/>
          <w:color w:val="auto"/>
        </w:rPr>
      </w:pPr>
      <w:r>
        <w:rPr>
          <w:rFonts w:ascii="Arial" w:cs="Arial" w:eastAsia="Arial" w:hAnsi="Arial"/>
          <w:sz w:val="15"/>
          <w:szCs w:val="15"/>
          <w:color w:val="auto"/>
        </w:rPr>
        <w:t>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08" w:lineRule="exact"/>
        <w:rPr>
          <w:sz w:val="20"/>
          <w:szCs w:val="20"/>
          <w:color w:val="auto"/>
        </w:rPr>
      </w:pPr>
    </w:p>
    <w:p>
      <w:pPr>
        <w:ind w:left="460" w:right="160" w:firstLine="413"/>
        <w:spacing w:after="0" w:line="296" w:lineRule="auto"/>
        <w:rPr>
          <w:sz w:val="20"/>
          <w:szCs w:val="20"/>
          <w:color w:val="auto"/>
        </w:rPr>
      </w:pPr>
      <w:r>
        <w:rPr>
          <w:rFonts w:ascii="Arial" w:cs="Arial" w:eastAsia="Arial" w:hAnsi="Arial"/>
          <w:sz w:val="15"/>
          <w:szCs w:val="15"/>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Regulation, except that the shares may be offered to the public in that Relevant Member State at any time under the following exemptions under the EU Prospectus Regulation:</w:t>
      </w:r>
    </w:p>
    <w:p>
      <w:pPr>
        <w:spacing w:after="0" w:line="63" w:lineRule="exact"/>
        <w:rPr>
          <w:sz w:val="20"/>
          <w:szCs w:val="20"/>
          <w:color w:val="auto"/>
        </w:rPr>
      </w:pPr>
    </w:p>
    <w:p>
      <w:pPr>
        <w:ind w:left="1360" w:hanging="498"/>
        <w:spacing w:after="0"/>
        <w:tabs>
          <w:tab w:leader="none" w:pos="13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EU Prospectus Regulation;</w:t>
      </w:r>
    </w:p>
    <w:p>
      <w:pPr>
        <w:spacing w:after="0" w:line="121" w:lineRule="exact"/>
        <w:rPr>
          <w:rFonts w:ascii="Arial" w:cs="Arial" w:eastAsia="Arial" w:hAnsi="Arial"/>
          <w:sz w:val="17"/>
          <w:szCs w:val="17"/>
          <w:color w:val="auto"/>
        </w:rPr>
      </w:pPr>
    </w:p>
    <w:p>
      <w:pPr>
        <w:ind w:left="1360" w:right="560" w:hanging="498"/>
        <w:spacing w:after="0" w:line="272" w:lineRule="auto"/>
        <w:tabs>
          <w:tab w:leader="none" w:pos="13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EU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EU Prospectus Regulation,</w:t>
      </w:r>
    </w:p>
    <w:p>
      <w:pPr>
        <w:spacing w:after="0" w:line="210" w:lineRule="exact"/>
        <w:rPr>
          <w:sz w:val="20"/>
          <w:szCs w:val="20"/>
          <w:color w:val="auto"/>
        </w:rPr>
      </w:pPr>
    </w:p>
    <w:p>
      <w:pPr>
        <w:ind w:left="460" w:right="740"/>
        <w:spacing w:after="0" w:line="272"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Article 3 of the EU Prospectus Regulation or supplement a prospectus pursuant to Article 23 of the EU Prospectus Regulation.</w:t>
      </w:r>
    </w:p>
    <w:p>
      <w:pPr>
        <w:spacing w:after="0" w:line="165" w:lineRule="exact"/>
        <w:rPr>
          <w:sz w:val="20"/>
          <w:szCs w:val="20"/>
          <w:color w:val="auto"/>
        </w:rPr>
      </w:pPr>
    </w:p>
    <w:p>
      <w:pPr>
        <w:ind w:left="460" w:right="60" w:firstLine="413"/>
        <w:spacing w:after="0" w:line="284"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‘EU Prospectus Regulation” means Regulation (EU) 2017/1129.</w:t>
      </w:r>
    </w:p>
    <w:p>
      <w:pPr>
        <w:spacing w:after="0" w:line="157" w:lineRule="exact"/>
        <w:rPr>
          <w:sz w:val="20"/>
          <w:szCs w:val="20"/>
          <w:color w:val="auto"/>
        </w:rPr>
      </w:pPr>
    </w:p>
    <w:p>
      <w:pPr>
        <w:ind w:left="460" w:right="380" w:firstLine="413"/>
        <w:spacing w:after="0" w:line="340"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this offering contemplated hereby will be deemed to have represented, warranted and agreed to and with each of the underwriters and their affiliates and us that:</w:t>
      </w:r>
    </w:p>
    <w:p>
      <w:pPr>
        <w:spacing w:after="0" w:line="31" w:lineRule="exact"/>
        <w:rPr>
          <w:sz w:val="20"/>
          <w:szCs w:val="20"/>
          <w:color w:val="auto"/>
        </w:rPr>
      </w:pPr>
    </w:p>
    <w:p>
      <w:pPr>
        <w:ind w:left="1360" w:hanging="498"/>
        <w:spacing w:after="0"/>
        <w:tabs>
          <w:tab w:leader="none" w:pos="13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it is a qualified investor within the meaning of the EU Prospectus Regulation; and</w:t>
      </w:r>
    </w:p>
    <w:p>
      <w:pPr>
        <w:spacing w:after="0" w:line="121" w:lineRule="exact"/>
        <w:rPr>
          <w:rFonts w:ascii="Arial" w:cs="Arial" w:eastAsia="Arial" w:hAnsi="Arial"/>
          <w:sz w:val="17"/>
          <w:szCs w:val="17"/>
          <w:color w:val="auto"/>
        </w:rPr>
      </w:pPr>
    </w:p>
    <w:p>
      <w:pPr>
        <w:ind w:left="1360" w:right="40" w:hanging="498"/>
        <w:spacing w:after="0" w:line="270" w:lineRule="auto"/>
        <w:tabs>
          <w:tab w:leader="none" w:pos="13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the case of any shares acquired by it as a financial intermediary, as that term is used in Article 5 of the EU Prospectus Regulation, (i) the shares acquired by it in this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EU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EU Prospectus Regulation as having been made to such persons.</w:t>
      </w:r>
    </w:p>
    <w:p>
      <w:pPr>
        <w:spacing w:after="0" w:line="172" w:lineRule="exact"/>
        <w:rPr>
          <w:sz w:val="20"/>
          <w:szCs w:val="20"/>
          <w:color w:val="auto"/>
        </w:rPr>
      </w:pPr>
    </w:p>
    <w:p>
      <w:pPr>
        <w:ind w:left="460" w:right="200" w:firstLine="413"/>
        <w:spacing w:after="0" w:line="260" w:lineRule="auto"/>
        <w:rPr>
          <w:sz w:val="20"/>
          <w:szCs w:val="20"/>
          <w:color w:val="auto"/>
        </w:rPr>
      </w:pPr>
      <w:r>
        <w:rPr>
          <w:rFonts w:ascii="Arial" w:cs="Arial" w:eastAsia="Arial" w:hAnsi="Arial"/>
          <w:sz w:val="17"/>
          <w:szCs w:val="17"/>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Kingdom</w:t>
      </w:r>
    </w:p>
    <w:p>
      <w:pPr>
        <w:spacing w:after="0" w:line="108"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780"/>
          </w:cols>
          <w:pgMar w:left="320" w:top="465" w:right="79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public in the United Kingdom of any shares at any time under the following exemptions under the UK Prospectus Regulation:</w:t>
      </w:r>
    </w:p>
    <w:p>
      <w:pPr>
        <w:spacing w:after="0" w:line="121" w:lineRule="exact"/>
        <w:rPr>
          <w:sz w:val="20"/>
          <w:szCs w:val="20"/>
          <w:color w:val="auto"/>
        </w:rPr>
      </w:pPr>
    </w:p>
    <w:p>
      <w:pPr>
        <w:ind w:left="1360" w:hanging="498"/>
        <w:spacing w:after="0"/>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UK Prospectus Regulation;</w:t>
      </w:r>
    </w:p>
    <w:p>
      <w:pPr>
        <w:spacing w:after="0" w:line="121" w:lineRule="exact"/>
        <w:rPr>
          <w:rFonts w:ascii="Arial" w:cs="Arial" w:eastAsia="Arial" w:hAnsi="Arial"/>
          <w:sz w:val="17"/>
          <w:szCs w:val="17"/>
          <w:color w:val="auto"/>
        </w:rPr>
      </w:pPr>
    </w:p>
    <w:p>
      <w:pPr>
        <w:ind w:left="1360" w:right="480" w:hanging="498"/>
        <w:spacing w:after="0" w:line="272" w:lineRule="auto"/>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UK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498"/>
        <w:spacing w:after="0"/>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UK Prospectus Regulation.</w:t>
      </w:r>
    </w:p>
    <w:p>
      <w:pPr>
        <w:spacing w:after="0" w:line="210" w:lineRule="exact"/>
        <w:rPr>
          <w:sz w:val="20"/>
          <w:szCs w:val="20"/>
          <w:color w:val="auto"/>
        </w:rPr>
      </w:pPr>
    </w:p>
    <w:p>
      <w:pPr>
        <w:ind w:left="460" w:right="700"/>
        <w:spacing w:after="0" w:line="272"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Article 3 of the UK Prospectus Regulation or supplement a prospectus pursuant to Article 23 of the UK Prospectus Regulation.</w:t>
      </w:r>
    </w:p>
    <w:p>
      <w:pPr>
        <w:spacing w:after="0" w:line="165" w:lineRule="exact"/>
        <w:rPr>
          <w:sz w:val="20"/>
          <w:szCs w:val="20"/>
          <w:color w:val="auto"/>
        </w:rPr>
      </w:pPr>
    </w:p>
    <w:p>
      <w:pPr>
        <w:jc w:val="both"/>
        <w:ind w:left="460" w:right="140" w:firstLine="413"/>
        <w:spacing w:after="0" w:line="286" w:lineRule="auto"/>
        <w:rPr>
          <w:sz w:val="20"/>
          <w:szCs w:val="20"/>
          <w:color w:val="auto"/>
        </w:rPr>
      </w:pPr>
      <w:r>
        <w:rPr>
          <w:rFonts w:ascii="Arial" w:cs="Arial" w:eastAsia="Arial" w:hAnsi="Arial"/>
          <w:sz w:val="15"/>
          <w:szCs w:val="15"/>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jc w:val="both"/>
        <w:ind w:left="460" w:hanging="3"/>
        <w:spacing w:after="0" w:line="253" w:lineRule="auto"/>
        <w:tabs>
          <w:tab w:leader="none" w:pos="75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81"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Canada</w:t>
      </w:r>
    </w:p>
    <w:p>
      <w:pPr>
        <w:spacing w:after="0" w:line="108"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64" w:lineRule="exact"/>
        <w:rPr>
          <w:sz w:val="20"/>
          <w:szCs w:val="20"/>
          <w:color w:val="auto"/>
        </w:rPr>
      </w:pPr>
    </w:p>
    <w:p>
      <w:pPr>
        <w:ind w:left="460" w:right="220" w:firstLine="413"/>
        <w:spacing w:after="0" w:line="301"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Hong Kong</w:t>
      </w:r>
    </w:p>
    <w:p>
      <w:pPr>
        <w:spacing w:after="0" w:line="108"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760"/>
          </w:cols>
          <w:pgMar w:left="320" w:top="466" w:right="81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40"/>
        <w:spacing w:after="0" w:line="270" w:lineRule="auto"/>
        <w:rPr>
          <w:sz w:val="20"/>
          <w:szCs w:val="20"/>
          <w:color w:val="auto"/>
        </w:rPr>
      </w:pPr>
      <w:r>
        <w:rPr>
          <w:rFonts w:ascii="Arial" w:cs="Arial" w:eastAsia="Arial" w:hAnsi="Arial"/>
          <w:sz w:val="16"/>
          <w:szCs w:val="16"/>
          <w:color w:val="auto"/>
        </w:rPr>
        <w:t>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Singapore</w:t>
      </w:r>
    </w:p>
    <w:p>
      <w:pPr>
        <w:spacing w:after="0" w:line="108"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7" w:lineRule="exact"/>
        <w:rPr>
          <w:sz w:val="20"/>
          <w:szCs w:val="20"/>
          <w:color w:val="auto"/>
        </w:rPr>
      </w:pPr>
    </w:p>
    <w:p>
      <w:pPr>
        <w:ind w:left="460" w:right="80" w:firstLine="413"/>
        <w:spacing w:after="0" w:line="269"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accredited investor (as defined in Section 4A of the SFA)) whose sole purpose is to hold investments and each beneficiary of the trust is an accredited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investor, the beneficiaries’ rights and interest (howsoever described) in that trust shall not be transferable for 6 months after that trust has acquired the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under Section 275 of the SFA except: (1) to an institutional investor under Section 274 of the SFA or to a relevant person (as defined in</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Section 275(2) of the SFA), (2) where such transfer arises from an offer that is made on terms that such rights or interest are acquired at a consideration</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of not less than $200,000 (or its equivalent in a foreign currency) for each transaction (whether such amount is to be paid for in cash or by exchange of</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securities or other assets), (3) where no consideration is or will be given for the transfer, (4) where the transfer is by operation of law, (5) as specified in</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276(7) of the SFA, or (6) as specified in Regulation 32.</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Japan</w:t>
      </w:r>
    </w:p>
    <w:p>
      <w:pPr>
        <w:spacing w:after="0" w:line="108" w:lineRule="exact"/>
        <w:rPr>
          <w:sz w:val="20"/>
          <w:szCs w:val="20"/>
          <w:color w:val="auto"/>
        </w:rPr>
      </w:pPr>
    </w:p>
    <w:p>
      <w:pPr>
        <w:ind w:left="460" w:right="480" w:firstLine="413"/>
        <w:spacing w:after="0" w:line="272"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or the FIEA. The securities may not be offered or sold, directly or</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740"/>
          </w:cols>
          <w:pgMar w:left="320" w:top="466" w:right="8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40"/>
        <w:spacing w:after="0" w:line="311" w:lineRule="auto"/>
        <w:rPr>
          <w:sz w:val="20"/>
          <w:szCs w:val="20"/>
          <w:color w:val="auto"/>
        </w:rPr>
      </w:pPr>
      <w:r>
        <w:rPr>
          <w:rFonts w:ascii="Arial" w:cs="Arial" w:eastAsia="Arial" w:hAnsi="Arial"/>
          <w:sz w:val="15"/>
          <w:szCs w:val="15"/>
          <w:color w:val="auto"/>
        </w:rPr>
        <w:t>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Switzerland</w:t>
      </w:r>
    </w:p>
    <w:p>
      <w:pPr>
        <w:spacing w:after="0" w:line="108"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2" w:lineRule="exact"/>
        <w:rPr>
          <w:sz w:val="20"/>
          <w:szCs w:val="20"/>
          <w:color w:val="auto"/>
        </w:rPr>
      </w:pPr>
    </w:p>
    <w:p>
      <w:pPr>
        <w:ind w:left="460" w:right="100" w:firstLine="413"/>
        <w:spacing w:after="0" w:line="254"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Monaco</w:t>
      </w:r>
    </w:p>
    <w:p>
      <w:pPr>
        <w:spacing w:after="0" w:line="108" w:lineRule="exact"/>
        <w:rPr>
          <w:sz w:val="20"/>
          <w:szCs w:val="20"/>
          <w:color w:val="auto"/>
        </w:rPr>
      </w:pPr>
    </w:p>
    <w:p>
      <w:pPr>
        <w:ind w:left="460" w:right="60" w:firstLine="413"/>
        <w:spacing w:after="0" w:line="287" w:lineRule="auto"/>
        <w:rPr>
          <w:sz w:val="20"/>
          <w:szCs w:val="20"/>
          <w:color w:val="auto"/>
        </w:rPr>
      </w:pPr>
      <w:r>
        <w:rPr>
          <w:rFonts w:ascii="Arial" w:cs="Arial" w:eastAsia="Arial" w:hAnsi="Arial"/>
          <w:sz w:val="15"/>
          <w:szCs w:val="15"/>
          <w:color w:val="auto"/>
        </w:rPr>
        <w:t>The shares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1" w:lineRule="exact"/>
        <w:rPr>
          <w:sz w:val="20"/>
          <w:szCs w:val="20"/>
          <w:color w:val="auto"/>
        </w:rPr>
      </w:pPr>
    </w:p>
    <w:p>
      <w:pPr>
        <w:ind w:left="460" w:right="360" w:hanging="3"/>
        <w:spacing w:after="0" w:line="253" w:lineRule="auto"/>
        <w:tabs>
          <w:tab w:leader="none" w:pos="70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Australia</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prospectus:</w:t>
      </w:r>
    </w:p>
    <w:p>
      <w:pPr>
        <w:spacing w:after="0" w:line="121" w:lineRule="exact"/>
        <w:rPr>
          <w:sz w:val="20"/>
          <w:szCs w:val="20"/>
          <w:color w:val="auto"/>
        </w:rPr>
      </w:pPr>
    </w:p>
    <w:p>
      <w:pPr>
        <w:ind w:left="1360" w:right="420" w:hanging="498"/>
        <w:spacing w:after="0" w:line="272" w:lineRule="auto"/>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(the “Corporations Act”);</w:t>
      </w:r>
    </w:p>
    <w:p>
      <w:pPr>
        <w:spacing w:after="0" w:line="76" w:lineRule="exact"/>
        <w:rPr>
          <w:rFonts w:ascii="Arial" w:cs="Arial" w:eastAsia="Arial" w:hAnsi="Arial"/>
          <w:sz w:val="17"/>
          <w:szCs w:val="17"/>
          <w:color w:val="auto"/>
        </w:rPr>
      </w:pPr>
    </w:p>
    <w:p>
      <w:pPr>
        <w:ind w:left="1360" w:right="40" w:hanging="498"/>
        <w:spacing w:after="0" w:line="260" w:lineRule="auto"/>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6" w:lineRule="exact"/>
        <w:rPr>
          <w:rFonts w:ascii="Arial" w:cs="Arial" w:eastAsia="Arial" w:hAnsi="Arial"/>
          <w:sz w:val="17"/>
          <w:szCs w:val="17"/>
          <w:color w:val="auto"/>
        </w:rPr>
      </w:pPr>
    </w:p>
    <w:p>
      <w:pPr>
        <w:ind w:left="1360" w:right="340" w:hanging="498"/>
        <w:spacing w:after="0" w:line="272" w:lineRule="auto"/>
        <w:tabs>
          <w:tab w:leader="none" w:pos="13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5"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780"/>
          </w:cols>
          <w:pgMar w:left="320" w:top="466" w:right="79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65" w:lineRule="exact"/>
        <w:rPr>
          <w:sz w:val="20"/>
          <w:szCs w:val="20"/>
          <w:color w:val="auto"/>
        </w:rPr>
      </w:pPr>
    </w:p>
    <w:p>
      <w:pPr>
        <w:ind w:left="460" w:right="100" w:firstLine="413"/>
        <w:spacing w:after="0" w:line="253" w:lineRule="auto"/>
        <w:rPr>
          <w:sz w:val="20"/>
          <w:szCs w:val="20"/>
          <w:color w:val="auto"/>
        </w:rPr>
      </w:pPr>
      <w:r>
        <w:rPr>
          <w:rFonts w:ascii="Arial" w:cs="Arial" w:eastAsia="Arial" w:hAnsi="Arial"/>
          <w:sz w:val="17"/>
          <w:szCs w:val="17"/>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or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New Zealand</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This prospectus has not been registered, filed with or approved by any New Zealand regulatory authority under the Financial Markets Conduct Act</w:t>
      </w:r>
    </w:p>
    <w:p>
      <w:pPr>
        <w:spacing w:after="0" w:line="42" w:lineRule="exact"/>
        <w:rPr>
          <w:sz w:val="20"/>
          <w:szCs w:val="20"/>
          <w:color w:val="auto"/>
        </w:rPr>
      </w:pPr>
    </w:p>
    <w:p>
      <w:pPr>
        <w:ind w:left="460" w:right="200"/>
        <w:spacing w:after="0" w:line="257" w:lineRule="auto"/>
        <w:rPr>
          <w:sz w:val="20"/>
          <w:szCs w:val="20"/>
          <w:color w:val="auto"/>
        </w:rPr>
      </w:pPr>
      <w:r>
        <w:rPr>
          <w:rFonts w:ascii="Arial" w:cs="Arial" w:eastAsia="Arial" w:hAnsi="Arial"/>
          <w:sz w:val="17"/>
          <w:szCs w:val="17"/>
          <w:color w:val="auto"/>
        </w:rPr>
        <w:t>2013 (the “FMA Act”). The shares may only be offered or sold in New Zealand (or allotted with a view to being offered for sale in New Zealand) to a person who:</w:t>
      </w:r>
    </w:p>
    <w:p>
      <w:pPr>
        <w:spacing w:after="0" w:line="89" w:lineRule="exact"/>
        <w:rPr>
          <w:sz w:val="20"/>
          <w:szCs w:val="20"/>
          <w:color w:val="auto"/>
        </w:rPr>
      </w:pPr>
    </w:p>
    <w:p>
      <w:pPr>
        <w:ind w:left="1360" w:hanging="498"/>
        <w:spacing w:after="0"/>
        <w:tabs>
          <w:tab w:leader="none" w:pos="13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is an investment business within the meaning of clause 37 of Schedule 1 of the FMC Act;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meets the investment activity criteria specified in clause 38 of Schedule 1 of the FMC Act;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is large within the meaning of clause 39 of Schedule 1 of the FMC Act;</w:t>
      </w:r>
    </w:p>
    <w:p>
      <w:pPr>
        <w:spacing w:after="0" w:line="121" w:lineRule="exact"/>
        <w:rPr>
          <w:rFonts w:ascii="Arial" w:cs="Arial" w:eastAsia="Arial" w:hAnsi="Arial"/>
          <w:sz w:val="17"/>
          <w:szCs w:val="17"/>
          <w:color w:val="auto"/>
        </w:rPr>
      </w:pPr>
    </w:p>
    <w:p>
      <w:pPr>
        <w:ind w:left="1360" w:right="100" w:hanging="498"/>
        <w:spacing w:after="0" w:line="272" w:lineRule="auto"/>
        <w:tabs>
          <w:tab w:leader="none" w:pos="13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is a government agency within the meaning of clause 40 of Schedule 1 of the FMC Act; or e) is an eligible investor within the meaning of clause 41 of Schedule 1 of the FMC Act.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China</w:t>
      </w:r>
    </w:p>
    <w:p>
      <w:pPr>
        <w:spacing w:after="0" w:line="108" w:lineRule="exact"/>
        <w:rPr>
          <w:sz w:val="20"/>
          <w:szCs w:val="20"/>
          <w:color w:val="auto"/>
        </w:rPr>
      </w:pPr>
    </w:p>
    <w:p>
      <w:pPr>
        <w:ind w:left="460" w:right="40" w:firstLine="413"/>
        <w:spacing w:after="0" w:line="277" w:lineRule="auto"/>
        <w:rPr>
          <w:sz w:val="20"/>
          <w:szCs w:val="20"/>
          <w:color w:val="auto"/>
        </w:rPr>
      </w:pPr>
      <w:r>
        <w:rPr>
          <w:rFonts w:ascii="Arial" w:cs="Arial" w:eastAsia="Arial" w:hAnsi="Arial"/>
          <w:sz w:val="16"/>
          <w:szCs w:val="16"/>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Korea</w:t>
      </w:r>
    </w:p>
    <w:p>
      <w:pPr>
        <w:spacing w:after="0" w:line="108"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Malaysia</w:t>
      </w:r>
    </w:p>
    <w:p>
      <w:pPr>
        <w:spacing w:after="0" w:line="108" w:lineRule="exact"/>
        <w:rPr>
          <w:sz w:val="20"/>
          <w:szCs w:val="20"/>
          <w:color w:val="auto"/>
        </w:rPr>
      </w:pPr>
    </w:p>
    <w:p>
      <w:pPr>
        <w:ind w:left="460" w:right="280" w:firstLine="413"/>
        <w:spacing w:after="0" w:line="260" w:lineRule="auto"/>
        <w:rPr>
          <w:sz w:val="20"/>
          <w:szCs w:val="20"/>
          <w:color w:val="auto"/>
        </w:rPr>
      </w:pPr>
      <w:r>
        <w:rPr>
          <w:rFonts w:ascii="Arial" w:cs="Arial" w:eastAsia="Arial" w:hAnsi="Arial"/>
          <w:sz w:val="17"/>
          <w:szCs w:val="17"/>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780"/>
          </w:cols>
          <w:pgMar w:left="320" w:top="465" w:right="79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85" w:lineRule="auto"/>
        <w:rPr>
          <w:sz w:val="20"/>
          <w:szCs w:val="20"/>
          <w:color w:val="auto"/>
        </w:rPr>
      </w:pPr>
      <w:r>
        <w:rPr>
          <w:rFonts w:ascii="Arial" w:cs="Arial" w:eastAsia="Arial" w:hAnsi="Arial"/>
          <w:sz w:val="15"/>
          <w:szCs w:val="15"/>
          <w:color w:val="auto"/>
        </w:rPr>
        <w:t>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Taiwan</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Saudi Arabia</w:t>
      </w:r>
    </w:p>
    <w:p>
      <w:pPr>
        <w:spacing w:after="0" w:line="108" w:lineRule="exact"/>
        <w:rPr>
          <w:sz w:val="20"/>
          <w:szCs w:val="20"/>
          <w:color w:val="auto"/>
        </w:rPr>
      </w:pPr>
    </w:p>
    <w:p>
      <w:pPr>
        <w:ind w:left="460" w:right="100" w:firstLine="413"/>
        <w:spacing w:after="0" w:line="293" w:lineRule="auto"/>
        <w:rPr>
          <w:sz w:val="20"/>
          <w:szCs w:val="20"/>
          <w:color w:val="auto"/>
        </w:rPr>
      </w:pPr>
      <w:r>
        <w:rPr>
          <w:rFonts w:ascii="Arial" w:cs="Arial" w:eastAsia="Arial" w:hAnsi="Arial"/>
          <w:sz w:val="15"/>
          <w:szCs w:val="15"/>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Qatar</w:t>
      </w:r>
    </w:p>
    <w:p>
      <w:pPr>
        <w:spacing w:after="0" w:line="108" w:lineRule="exact"/>
        <w:rPr>
          <w:sz w:val="20"/>
          <w:szCs w:val="20"/>
          <w:color w:val="auto"/>
        </w:rPr>
      </w:pPr>
    </w:p>
    <w:p>
      <w:pPr>
        <w:ind w:left="460" w:right="40" w:firstLine="413"/>
        <w:spacing w:after="0" w:line="301" w:lineRule="auto"/>
        <w:rPr>
          <w:sz w:val="20"/>
          <w:szCs w:val="20"/>
          <w:color w:val="auto"/>
        </w:rPr>
      </w:pPr>
      <w:r>
        <w:rPr>
          <w:rFonts w:ascii="Arial" w:cs="Arial" w:eastAsia="Arial" w:hAnsi="Arial"/>
          <w:sz w:val="15"/>
          <w:szCs w:val="15"/>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8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0760"/>
          </w:cols>
          <w:pgMar w:left="320" w:top="466" w:right="81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Dubai International Financial Centre (“DIFC”)</w:t>
      </w:r>
    </w:p>
    <w:p>
      <w:pPr>
        <w:spacing w:after="0" w:line="108"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document relates may be illiquid and/or subject to restrictions on their resale. Prospective purchasers of the securities offered should conduct their own due diligence on the shares. If you do not understand the contents of this prospectus you should consult an authorized financial advisor.</w:t>
      </w:r>
    </w:p>
    <w:p>
      <w:pPr>
        <w:spacing w:after="0" w:line="155" w:lineRule="exact"/>
        <w:rPr>
          <w:sz w:val="20"/>
          <w:szCs w:val="20"/>
          <w:color w:val="auto"/>
        </w:rPr>
      </w:pPr>
    </w:p>
    <w:p>
      <w:pPr>
        <w:ind w:left="460" w:right="200" w:firstLine="413"/>
        <w:spacing w:after="0" w:line="260" w:lineRule="auto"/>
        <w:rPr>
          <w:sz w:val="20"/>
          <w:szCs w:val="20"/>
          <w:color w:val="auto"/>
        </w:rPr>
      </w:pPr>
      <w:r>
        <w:rPr>
          <w:rFonts w:ascii="Arial" w:cs="Arial" w:eastAsia="Arial" w:hAnsi="Arial"/>
          <w:sz w:val="17"/>
          <w:szCs w:val="17"/>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Arab Emirates</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Bermuda</w:t>
      </w:r>
    </w:p>
    <w:p>
      <w:pPr>
        <w:spacing w:after="0" w:line="108"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The 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British Virgin Islands</w:t>
      </w:r>
    </w:p>
    <w:p>
      <w:pPr>
        <w:spacing w:after="0" w:line="108" w:lineRule="exact"/>
        <w:rPr>
          <w:sz w:val="20"/>
          <w:szCs w:val="20"/>
          <w:color w:val="auto"/>
        </w:rPr>
      </w:pPr>
    </w:p>
    <w:p>
      <w:pPr>
        <w:ind w:left="460" w:right="140" w:firstLine="413"/>
        <w:spacing w:after="0" w:line="311" w:lineRule="auto"/>
        <w:rPr>
          <w:sz w:val="20"/>
          <w:szCs w:val="20"/>
          <w:color w:val="auto"/>
        </w:rPr>
      </w:pPr>
      <w:r>
        <w:rPr>
          <w:rFonts w:ascii="Arial" w:cs="Arial" w:eastAsia="Arial" w:hAnsi="Arial"/>
          <w:sz w:val="15"/>
          <w:szCs w:val="15"/>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Bahamas</w:t>
      </w:r>
    </w:p>
    <w:p>
      <w:pPr>
        <w:spacing w:after="0" w:line="108"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The shares may not be offered or sold in the Bahamas via a public offer. The shares may not be offered or sold or otherwise disposed of in any way to any person(s) deemed “resident” for exchange control purposes by the Central Bank of the Bahamas.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South Africa</w:t>
      </w:r>
    </w:p>
    <w:p>
      <w:pPr>
        <w:spacing w:after="0" w:line="108" w:lineRule="exact"/>
        <w:rPr>
          <w:sz w:val="20"/>
          <w:szCs w:val="20"/>
          <w:color w:val="auto"/>
        </w:rPr>
      </w:pPr>
    </w:p>
    <w:p>
      <w:pPr>
        <w:ind w:left="460" w:right="20" w:firstLine="413"/>
        <w:spacing w:after="0" w:line="284" w:lineRule="auto"/>
        <w:rPr>
          <w:sz w:val="20"/>
          <w:szCs w:val="20"/>
          <w:color w:val="auto"/>
        </w:rPr>
      </w:pPr>
      <w:r>
        <w:rPr>
          <w:rFonts w:ascii="Arial" w:cs="Arial" w:eastAsia="Arial" w:hAnsi="Arial"/>
          <w:sz w:val="16"/>
          <w:szCs w:val="16"/>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780"/>
          </w:cols>
          <w:pgMar w:left="320" w:top="466" w:right="79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60"/>
        <w:spacing w:after="0" w:line="272" w:lineRule="auto"/>
        <w:rPr>
          <w:sz w:val="20"/>
          <w:szCs w:val="20"/>
          <w:color w:val="auto"/>
        </w:rPr>
      </w:pPr>
      <w:r>
        <w:rPr>
          <w:rFonts w:ascii="Arial" w:cs="Arial" w:eastAsia="Arial" w:hAnsi="Arial"/>
          <w:sz w:val="17"/>
          <w:szCs w:val="17"/>
          <w:color w:val="auto"/>
        </w:rPr>
        <w:t>African Companies Act) prepared and registered under the South African Companies Act and has not been approved by, and/or filed with, the South African Companies and Intellectual Property Commission or any other regulatory authority in South Africa.</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shares are not offered, and the offer shall not be transferred, sold, renounced or delivered, in South Africa or to a person with an address in</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South Africa, unless one or other of the following exemptions stipulated in section 96 (1) applies: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Section 96(1)(a) the offer, transfer, sale, renunciation or delivery is to:</w:t>
      </w:r>
    </w:p>
    <w:p>
      <w:pPr>
        <w:spacing w:after="0" w:line="121" w:lineRule="exact"/>
        <w:rPr>
          <w:sz w:val="20"/>
          <w:szCs w:val="20"/>
          <w:color w:val="auto"/>
        </w:rPr>
      </w:pPr>
    </w:p>
    <w:p>
      <w:pPr>
        <w:ind w:left="1360" w:hanging="498"/>
        <w:spacing w:after="0"/>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persons whose ordinary business, or part of whose ordinary business, is to deal in securities, as principal or agent;</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South African Public Investment Corporation;</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persons or entities regulated by the Reserve Bank of South Africa;</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authorized financial service providers under South African law;</w:t>
      </w:r>
    </w:p>
    <w:p>
      <w:pPr>
        <w:spacing w:after="0" w:line="121" w:lineRule="exact"/>
        <w:rPr>
          <w:rFonts w:ascii="Arial" w:cs="Arial" w:eastAsia="Arial" w:hAnsi="Arial"/>
          <w:sz w:val="17"/>
          <w:szCs w:val="17"/>
          <w:color w:val="auto"/>
        </w:rPr>
      </w:pPr>
    </w:p>
    <w:p>
      <w:pPr>
        <w:ind w:left="1360" w:hanging="498"/>
        <w:spacing w:after="0"/>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financial institutions recognized as such under South African law;</w:t>
      </w:r>
    </w:p>
    <w:p>
      <w:pPr>
        <w:spacing w:after="0" w:line="121" w:lineRule="exact"/>
        <w:rPr>
          <w:rFonts w:ascii="Arial" w:cs="Arial" w:eastAsia="Arial" w:hAnsi="Arial"/>
          <w:sz w:val="17"/>
          <w:szCs w:val="17"/>
          <w:color w:val="auto"/>
        </w:rPr>
      </w:pPr>
    </w:p>
    <w:p>
      <w:pPr>
        <w:ind w:left="1360" w:right="40" w:hanging="498"/>
        <w:spacing w:after="0" w:line="260" w:lineRule="auto"/>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86" w:lineRule="exact"/>
        <w:rPr>
          <w:rFonts w:ascii="Arial" w:cs="Arial" w:eastAsia="Arial" w:hAnsi="Arial"/>
          <w:sz w:val="17"/>
          <w:szCs w:val="17"/>
          <w:color w:val="auto"/>
        </w:rPr>
      </w:pPr>
    </w:p>
    <w:p>
      <w:pPr>
        <w:jc w:val="both"/>
        <w:ind w:left="1360" w:right="340" w:hanging="498"/>
        <w:spacing w:after="0" w:line="284" w:lineRule="auto"/>
        <w:tabs>
          <w:tab w:leader="none" w:pos="13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combination of the person in (i) to (vi); or Section 96(1)(b)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57" w:lineRule="exact"/>
        <w:rPr>
          <w:sz w:val="20"/>
          <w:szCs w:val="20"/>
          <w:color w:val="auto"/>
        </w:rPr>
      </w:pPr>
    </w:p>
    <w:p>
      <w:pPr>
        <w:ind w:left="460" w:right="460" w:firstLine="413"/>
        <w:spacing w:after="0" w:line="272" w:lineRule="auto"/>
        <w:rPr>
          <w:sz w:val="20"/>
          <w:szCs w:val="20"/>
          <w:color w:val="auto"/>
        </w:rPr>
      </w:pPr>
      <w:r>
        <w:rPr>
          <w:rFonts w:ascii="Arial" w:cs="Arial" w:eastAsia="Arial" w:hAnsi="Arial"/>
          <w:sz w:val="17"/>
          <w:szCs w:val="17"/>
          <w:color w:val="auto"/>
        </w:rPr>
        <w:t>Information made available in this prospectus should not be considered as “advice” as defined in the South African Financial Advisory and Intermediary Services Act, 2002.</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Chile</w:t>
      </w:r>
    </w:p>
    <w:p>
      <w:pPr>
        <w:spacing w:after="0" w:line="108" w:lineRule="exact"/>
        <w:rPr>
          <w:sz w:val="20"/>
          <w:szCs w:val="20"/>
          <w:color w:val="auto"/>
        </w:rPr>
      </w:pPr>
    </w:p>
    <w:p>
      <w:pPr>
        <w:ind w:left="460" w:right="60" w:firstLine="413"/>
        <w:spacing w:after="0" w:line="254" w:lineRule="auto"/>
        <w:rPr>
          <w:sz w:val="20"/>
          <w:szCs w:val="20"/>
          <w:color w:val="auto"/>
        </w:rPr>
      </w:pPr>
      <w:r>
        <w:rPr>
          <w:rFonts w:ascii="Arial" w:cs="Arial" w:eastAsia="Arial" w:hAnsi="Arial"/>
          <w:sz w:val="17"/>
          <w:szCs w:val="17"/>
          <w:color w:val="auto"/>
        </w:rPr>
        <w:t>THE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81"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PURSUANT TO RULE 336 THE FOLLOWING INFORMATION IS PROVIDED IN CHILE TO PROSPECTIVE RESIDENT INVESTORS IN THE OFFERED SECURITIES:</w:t>
      </w:r>
    </w:p>
    <w:p>
      <w:pPr>
        <w:spacing w:after="0" w:line="76" w:lineRule="exact"/>
        <w:rPr>
          <w:sz w:val="20"/>
          <w:szCs w:val="20"/>
          <w:color w:val="auto"/>
        </w:rPr>
      </w:pPr>
    </w:p>
    <w:p>
      <w:pPr>
        <w:ind w:left="1360" w:hanging="498"/>
        <w:spacing w:after="0"/>
        <w:tabs>
          <w:tab w:leader="none" w:pos="13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INITIATION OF THE OFFER IN CHILE IS .</w:t>
      </w:r>
    </w:p>
    <w:p>
      <w:pPr>
        <w:spacing w:after="0" w:line="121" w:lineRule="exact"/>
        <w:rPr>
          <w:rFonts w:ascii="Arial" w:cs="Arial" w:eastAsia="Arial" w:hAnsi="Arial"/>
          <w:sz w:val="17"/>
          <w:szCs w:val="17"/>
          <w:color w:val="auto"/>
        </w:rPr>
      </w:pPr>
    </w:p>
    <w:p>
      <w:pPr>
        <w:ind w:left="1360" w:right="200" w:hanging="498"/>
        <w:spacing w:after="0" w:line="272" w:lineRule="auto"/>
        <w:tabs>
          <w:tab w:leader="none" w:pos="13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OFFER IS SUBJECT TO NCG 336 OF JUNE 27, 2012 ISSUED BY THE SUPERINTENDENCIA DE VALORES Y SEGUROS DE CHILE (SUPERINTENDENCY OF SECURITIES AND INSURANCE OF CHILE).</w:t>
      </w:r>
    </w:p>
    <w:p>
      <w:pPr>
        <w:spacing w:after="0" w:line="76" w:lineRule="exact"/>
        <w:rPr>
          <w:rFonts w:ascii="Arial" w:cs="Arial" w:eastAsia="Arial" w:hAnsi="Arial"/>
          <w:sz w:val="17"/>
          <w:szCs w:val="17"/>
          <w:color w:val="auto"/>
        </w:rPr>
      </w:pPr>
    </w:p>
    <w:p>
      <w:pPr>
        <w:ind w:left="1360" w:right="560" w:hanging="498"/>
        <w:spacing w:after="0" w:line="260" w:lineRule="auto"/>
        <w:tabs>
          <w:tab w:leader="none" w:pos="13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OFFER REFERS TO SECURITIES THAT ARE NOT REGISTERED IN THE REGISTRO DE VALORES (SECURITIES REGISTRY) OR THE REGISTRO DE VALORES EXTRANJEROS (FOREIGN SECURITIES REGISTRY) OF THE SVS AND THEREFORE:</w:t>
      </w:r>
    </w:p>
    <w:p>
      <w:pPr>
        <w:spacing w:after="0" w:line="86" w:lineRule="exact"/>
        <w:rPr>
          <w:rFonts w:ascii="Arial" w:cs="Arial" w:eastAsia="Arial" w:hAnsi="Arial"/>
          <w:sz w:val="17"/>
          <w:szCs w:val="17"/>
          <w:color w:val="auto"/>
        </w:rPr>
      </w:pPr>
    </w:p>
    <w:p>
      <w:pPr>
        <w:ind w:left="1780" w:hanging="398"/>
        <w:spacing w:after="0"/>
        <w:tabs>
          <w:tab w:leader="none" w:pos="178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THE SECURITIES ARE NOT SUBJECT TO THE OVERSIGHT OF THE SVS; AND</w:t>
      </w:r>
    </w:p>
    <w:p>
      <w:pPr>
        <w:spacing w:after="0" w:line="14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740"/>
          </w:cols>
          <w:pgMar w:left="320" w:top="466" w:right="83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780" w:right="500" w:hanging="398"/>
        <w:spacing w:after="0" w:line="272" w:lineRule="auto"/>
        <w:tabs>
          <w:tab w:leader="none" w:pos="17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ISSUER THEREFORE IS NOT SUBJECT TO REPORTING OBLIGATIONS WITH RESPECT TO ITSELF OR THE OFFERED SECURITIES</w:t>
      </w:r>
    </w:p>
    <w:p>
      <w:pPr>
        <w:spacing w:after="0" w:line="76" w:lineRule="exact"/>
        <w:rPr>
          <w:rFonts w:ascii="Arial" w:cs="Arial" w:eastAsia="Arial" w:hAnsi="Arial"/>
          <w:sz w:val="17"/>
          <w:szCs w:val="17"/>
          <w:color w:val="auto"/>
        </w:rPr>
      </w:pPr>
    </w:p>
    <w:p>
      <w:pPr>
        <w:ind w:left="1360" w:right="400" w:hanging="498"/>
        <w:spacing w:after="0" w:line="272" w:lineRule="auto"/>
        <w:tabs>
          <w:tab w:leader="none" w:pos="13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SECURITIES MAY NOT BE PUBLICLY OFFERED IN CHILE UNLESS AND UNTIL THEY ARE REGISTERED IN THE SECURITIES REGISTRY OF THE SVS.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INFORMACIÓN A LOS INVERSIONISTAS RESIDENTES EN CHILE</w:t>
      </w:r>
    </w:p>
    <w:p>
      <w:pPr>
        <w:spacing w:after="0" w:line="112"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81"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EN CUMPLIMIENTO DE LA NCG 336, LA SIGUIENTE INFORMACIÓN SE PROPORCIONA A LOS POTENCIALES INVERSIONISTAS RESIDENTES EN CHILE:</w:t>
      </w:r>
    </w:p>
    <w:p>
      <w:pPr>
        <w:spacing w:after="0" w:line="76" w:lineRule="exact"/>
        <w:rPr>
          <w:sz w:val="20"/>
          <w:szCs w:val="20"/>
          <w:color w:val="auto"/>
        </w:rPr>
      </w:pPr>
    </w:p>
    <w:p>
      <w:pPr>
        <w:ind w:left="860"/>
        <w:spacing w:after="0"/>
        <w:tabs>
          <w:tab w:leader="none" w:pos="1340" w:val="left"/>
          <w:tab w:leader="none" w:pos="67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LA OFERTA DE ESTOS VALORES EN CHILE COMIENZA EL DÍA</w:t>
      </w:r>
      <w:r>
        <w:rPr>
          <w:sz w:val="20"/>
          <w:szCs w:val="20"/>
          <w:color w:val="auto"/>
        </w:rPr>
        <w:tab/>
      </w:r>
      <w:r>
        <w:rPr>
          <w:rFonts w:ascii="Arial" w:cs="Arial" w:eastAsia="Arial" w:hAnsi="Arial"/>
          <w:sz w:val="14"/>
          <w:szCs w:val="14"/>
          <w:color w:val="auto"/>
        </w:rPr>
        <w:t>.</w:t>
      </w:r>
    </w:p>
    <w:p>
      <w:pPr>
        <w:spacing w:after="0" w:line="121" w:lineRule="exact"/>
        <w:rPr>
          <w:sz w:val="20"/>
          <w:szCs w:val="20"/>
          <w:color w:val="auto"/>
        </w:rPr>
      </w:pPr>
    </w:p>
    <w:p>
      <w:pPr>
        <w:ind w:left="1360" w:right="820" w:hanging="498"/>
        <w:spacing w:after="0" w:line="272" w:lineRule="auto"/>
        <w:tabs>
          <w:tab w:leader="none" w:pos="13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LA OFERTA SE ENCUENTRA ACOGIDA A LA NCG 336 DE FECHA ECHA 27 DE JUNIO DE 2012 EMITIDA POR LA SUPERINTENDENCIA DE VALORES Y SEGUROS.</w:t>
      </w:r>
    </w:p>
    <w:p>
      <w:pPr>
        <w:spacing w:after="0" w:line="76" w:lineRule="exact"/>
        <w:rPr>
          <w:rFonts w:ascii="Arial" w:cs="Arial" w:eastAsia="Arial" w:hAnsi="Arial"/>
          <w:sz w:val="17"/>
          <w:szCs w:val="17"/>
          <w:color w:val="auto"/>
        </w:rPr>
      </w:pPr>
    </w:p>
    <w:p>
      <w:pPr>
        <w:ind w:left="1360" w:right="160" w:hanging="498"/>
        <w:spacing w:after="0" w:line="303" w:lineRule="auto"/>
        <w:tabs>
          <w:tab w:leader="none" w:pos="13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LA OFERTA VERSA SOBRE VALORES QUE NO SE ENCUENTRAN INSCRITOS EN EL REGISTRO DE VALORES NI EN EL REGISTRO DE VALORES EXTRANJEROS QUE LLEVA LA SUPERINTENDENCIA DE VALORES Y SEGUROS, POR LO QUE:</w:t>
      </w:r>
    </w:p>
    <w:p>
      <w:pPr>
        <w:spacing w:after="0" w:line="54" w:lineRule="exact"/>
        <w:rPr>
          <w:rFonts w:ascii="Arial" w:cs="Arial" w:eastAsia="Arial" w:hAnsi="Arial"/>
          <w:sz w:val="16"/>
          <w:szCs w:val="16"/>
          <w:color w:val="auto"/>
        </w:rPr>
      </w:pPr>
    </w:p>
    <w:p>
      <w:pPr>
        <w:ind w:left="1780" w:hanging="398"/>
        <w:spacing w:after="0"/>
        <w:tabs>
          <w:tab w:leader="none" w:pos="178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LOS VALORES NO ESTÁN SUJETOS A LA FISCALIZACIÓN DE ESA SUPERINTENDENCIA; Y</w:t>
      </w:r>
    </w:p>
    <w:p>
      <w:pPr>
        <w:spacing w:after="0" w:line="121" w:lineRule="exact"/>
        <w:rPr>
          <w:rFonts w:ascii="Arial" w:cs="Arial" w:eastAsia="Arial" w:hAnsi="Arial"/>
          <w:sz w:val="17"/>
          <w:szCs w:val="17"/>
          <w:color w:val="auto"/>
        </w:rPr>
      </w:pPr>
    </w:p>
    <w:p>
      <w:pPr>
        <w:ind w:left="1780" w:right="520" w:hanging="398"/>
        <w:spacing w:after="0" w:line="272" w:lineRule="auto"/>
        <w:tabs>
          <w:tab w:leader="none" w:pos="178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EL EMISOR DE LOS VALORES NO ESTÁ SUJETO A LA OBLIGACIÓN DE ENTREGAR INFORMACIÓN PÚBLICA SOBRE LOS VALORES OFRECIDOS NI SU EMISOR.</w:t>
      </w:r>
    </w:p>
    <w:p>
      <w:pPr>
        <w:spacing w:after="0" w:line="76" w:lineRule="exact"/>
        <w:rPr>
          <w:rFonts w:ascii="Arial" w:cs="Arial" w:eastAsia="Arial" w:hAnsi="Arial"/>
          <w:sz w:val="17"/>
          <w:szCs w:val="17"/>
          <w:color w:val="auto"/>
        </w:rPr>
      </w:pPr>
    </w:p>
    <w:p>
      <w:pPr>
        <w:ind w:left="1360" w:right="180" w:hanging="498"/>
        <w:spacing w:after="0" w:line="272" w:lineRule="auto"/>
        <w:tabs>
          <w:tab w:leader="none" w:pos="13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LOS VALORES PRIVADAMENTE OFRECIDOS NO PODRÁN SER OBJETO DE OFERTA PÚBLICA EN CHILE MIENTRAS NO SEAN INSCRITOS EN EL REGISTRO DE VALORES CORRESPONDIENTE.</w:t>
      </w:r>
    </w:p>
    <w:p>
      <w:pPr>
        <w:spacing w:after="0" w:line="10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740"/>
          </w:cols>
          <w:pgMar w:left="320" w:top="465" w:right="83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LEGAL MATTERS</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Weil, Gotshal &amp; Manges LLP, New York, New York, has passed upon the validity of the Class A common stock offered hereby on behalf of us.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legal matters will be passed upon on behalf of the underwriters by Latham &amp; Watkins LLP, Chicago, Illinois.</w:t>
      </w:r>
    </w:p>
    <w:p>
      <w:pPr>
        <w:spacing w:after="0" w:line="397"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EXPERTS</w:t>
      </w:r>
    </w:p>
    <w:p>
      <w:pPr>
        <w:spacing w:after="0" w:line="214" w:lineRule="exact"/>
        <w:rPr>
          <w:sz w:val="20"/>
          <w:szCs w:val="20"/>
          <w:color w:val="auto"/>
        </w:rPr>
      </w:pPr>
    </w:p>
    <w:p>
      <w:pPr>
        <w:jc w:val="both"/>
        <w:ind w:left="460" w:right="120" w:firstLine="413"/>
        <w:spacing w:after="0" w:line="260" w:lineRule="auto"/>
        <w:rPr>
          <w:sz w:val="20"/>
          <w:szCs w:val="20"/>
          <w:color w:val="auto"/>
        </w:rPr>
      </w:pPr>
      <w:r>
        <w:rPr>
          <w:rFonts w:ascii="Arial" w:cs="Arial" w:eastAsia="Arial" w:hAnsi="Arial"/>
          <w:sz w:val="17"/>
          <w:szCs w:val="17"/>
          <w:color w:val="auto"/>
        </w:rPr>
        <w:t>The financial statement as of May 24, 2021, of Definitive Healthcare Corp.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75"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consolidated financial statements of AIDH Topco, LLC as of December 31, 2020 and 2019 (Successor Company) and for the year ended December 31, 2020 (Successor Company) and the periods from July 16, 2019 to December 31, 2019 (Successor Company) and from January 1, 2019 to July 15, 2019 (Predecessor Company)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0720"/>
          </w:cols>
          <w:pgMar w:left="320" w:top="466" w:right="85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4" w:lineRule="exact"/>
        <w:rPr>
          <w:sz w:val="20"/>
          <w:szCs w:val="20"/>
          <w:color w:val="auto"/>
        </w:rPr>
      </w:pPr>
    </w:p>
    <w:p>
      <w:pPr>
        <w:ind w:left="460" w:firstLine="413"/>
        <w:spacing w:after="0" w:line="291"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57" w:lineRule="exact"/>
        <w:rPr>
          <w:sz w:val="20"/>
          <w:szCs w:val="20"/>
          <w:color w:val="auto"/>
        </w:rPr>
      </w:pPr>
    </w:p>
    <w:p>
      <w:pPr>
        <w:jc w:val="both"/>
        <w:ind w:left="460" w:right="40" w:firstLine="413"/>
        <w:spacing w:after="0" w:line="311" w:lineRule="auto"/>
        <w:rPr>
          <w:sz w:val="20"/>
          <w:szCs w:val="20"/>
          <w:color w:val="auto"/>
        </w:rPr>
      </w:pPr>
      <w:r>
        <w:rPr>
          <w:rFonts w:ascii="Arial" w:cs="Arial" w:eastAsia="Arial" w:hAnsi="Arial"/>
          <w:sz w:val="15"/>
          <w:szCs w:val="15"/>
          <w:color w:val="auto"/>
        </w:rPr>
        <w:t>This registration statement, including its exhibits and schedules, will be filed with the SEC. The SEC maintains a website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40" w:lineRule="exact"/>
        <w:rPr>
          <w:sz w:val="20"/>
          <w:szCs w:val="20"/>
          <w:color w:val="auto"/>
        </w:rPr>
      </w:pPr>
    </w:p>
    <w:p>
      <w:pPr>
        <w:ind w:left="460" w:right="60" w:firstLine="413"/>
        <w:spacing w:after="0" w:line="277" w:lineRule="auto"/>
        <w:rPr>
          <w:sz w:val="20"/>
          <w:szCs w:val="20"/>
          <w:color w:val="auto"/>
        </w:rPr>
      </w:pPr>
      <w:r>
        <w:rPr>
          <w:rFonts w:ascii="Arial" w:cs="Arial" w:eastAsia="Arial" w:hAnsi="Arial"/>
          <w:sz w:val="16"/>
          <w:szCs w:val="16"/>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laws.</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0760"/>
          </w:cols>
          <w:pgMar w:left="320" w:top="466" w:right="81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INDEX TO FINANCIAL STATEMENTS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9900" w:type="dxa"/>
            <w:vAlign w:val="bottom"/>
            <w:gridSpan w:val="21"/>
            <w:vMerge w:val="restart"/>
          </w:tcPr>
          <w:p>
            <w:pPr>
              <w:spacing w:after="0"/>
              <w:rPr>
                <w:sz w:val="20"/>
                <w:szCs w:val="20"/>
                <w:color w:val="auto"/>
              </w:rPr>
            </w:pPr>
            <w:r>
              <w:rPr>
                <w:rFonts w:ascii="Arial" w:cs="Arial" w:eastAsia="Arial" w:hAnsi="Arial"/>
                <w:sz w:val="17"/>
                <w:szCs w:val="17"/>
                <w:b w:val="1"/>
                <w:bCs w:val="1"/>
                <w:color w:val="auto"/>
              </w:rPr>
              <w:t>CONSOLIDATED FINANCIAL STATEMENTS OF DEFINITIVE HEALTHCARE CORP.</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82"/>
        </w:trPr>
        <w:tc>
          <w:tcPr>
            <w:tcW w:w="9900" w:type="dxa"/>
            <w:vAlign w:val="bottom"/>
            <w:gridSpan w:val="21"/>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396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211">
              <w:r>
                <w:rPr>
                  <w:rFonts w:ascii="Arial" w:cs="Arial" w:eastAsia="Arial" w:hAnsi="Arial"/>
                  <w:sz w:val="17"/>
                  <w:szCs w:val="17"/>
                  <w:color w:val="0000EE"/>
                  <w:w w:val="90"/>
                </w:rPr>
                <w:t>Report of Independent Registered Public Accounting Firm</w:t>
              </w:r>
            </w:hyperlink>
          </w:p>
        </w:tc>
        <w:tc>
          <w:tcPr>
            <w:tcW w:w="594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rPr>
            </w:pPr>
            <w:hyperlink w:anchor="page212">
              <w:r>
                <w:rPr>
                  <w:rFonts w:ascii="Arial" w:cs="Arial" w:eastAsia="Arial" w:hAnsi="Arial"/>
                  <w:sz w:val="17"/>
                  <w:szCs w:val="17"/>
                  <w:color w:val="0000EE"/>
                </w:rPr>
                <w:t>Balance Sheet as of May 24, 2021</w:t>
              </w:r>
            </w:hyperlink>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3"/>
        </w:trPr>
        <w:tc>
          <w:tcPr>
            <w:tcW w:w="2300" w:type="dxa"/>
            <w:vAlign w:val="bottom"/>
            <w:tcBorders>
              <w:top w:val="single" w:sz="8" w:color="0000EE"/>
            </w:tcBorders>
            <w:gridSpan w:val="3"/>
          </w:tcPr>
          <w:p>
            <w:pPr>
              <w:spacing w:after="0" w:line="183" w:lineRule="exact"/>
              <w:rPr>
                <w:rFonts w:ascii="Arial" w:cs="Arial" w:eastAsia="Arial" w:hAnsi="Arial"/>
                <w:sz w:val="17"/>
                <w:szCs w:val="17"/>
                <w:color w:val="0000EE"/>
              </w:rPr>
            </w:pPr>
            <w:hyperlink w:anchor="page213">
              <w:r>
                <w:rPr>
                  <w:rFonts w:ascii="Arial" w:cs="Arial" w:eastAsia="Arial" w:hAnsi="Arial"/>
                  <w:sz w:val="17"/>
                  <w:szCs w:val="17"/>
                  <w:color w:val="0000EE"/>
                </w:rPr>
                <w:t>Notes to Balance Sheet</w:t>
              </w:r>
            </w:hyperlink>
          </w:p>
        </w:tc>
        <w:tc>
          <w:tcPr>
            <w:tcW w:w="7600" w:type="dxa"/>
            <w:vAlign w:val="bottom"/>
            <w:gridSpan w:val="18"/>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9900" w:type="dxa"/>
            <w:vAlign w:val="bottom"/>
            <w:gridSpan w:val="21"/>
          </w:tcPr>
          <w:p>
            <w:pPr>
              <w:spacing w:after="0"/>
              <w:rPr>
                <w:sz w:val="20"/>
                <w:szCs w:val="20"/>
                <w:color w:val="auto"/>
              </w:rPr>
            </w:pPr>
            <w:r>
              <w:rPr>
                <w:rFonts w:ascii="Arial" w:cs="Arial" w:eastAsia="Arial" w:hAnsi="Arial"/>
                <w:sz w:val="17"/>
                <w:szCs w:val="17"/>
                <w:b w:val="1"/>
                <w:bCs w:val="1"/>
                <w:color w:val="auto"/>
              </w:rPr>
              <w:t>CONSOLIDATED FINANCIAL STATEMENTS OF AIDH TOPCO, LLC (“DEFINITIVE OPCO”) AND SUBSIDIARIES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96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215">
              <w:r>
                <w:rPr>
                  <w:rFonts w:ascii="Arial" w:cs="Arial" w:eastAsia="Arial" w:hAnsi="Arial"/>
                  <w:sz w:val="17"/>
                  <w:szCs w:val="17"/>
                  <w:color w:val="0000EE"/>
                  <w:w w:val="90"/>
                </w:rPr>
                <w:t>Report of Independent Registered Public Accounting Firm</w:t>
              </w:r>
            </w:hyperlink>
          </w:p>
        </w:tc>
        <w:tc>
          <w:tcPr>
            <w:tcW w:w="594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rPr>
            </w:pPr>
            <w:hyperlink w:anchor="page216">
              <w:r>
                <w:rPr>
                  <w:rFonts w:ascii="Arial" w:cs="Arial" w:eastAsia="Arial" w:hAnsi="Arial"/>
                  <w:sz w:val="17"/>
                  <w:szCs w:val="17"/>
                  <w:color w:val="0000EE"/>
                </w:rPr>
                <w:t>Consolidated Balance Sheets as of December 31, 2020 and 2019 (Successor Company)</w:t>
              </w:r>
            </w:hyperlink>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40" w:type="dxa"/>
            <w:vAlign w:val="bottom"/>
            <w:tcBorders>
              <w:bottom w:val="single" w:sz="8" w:color="0000EE"/>
            </w:tcBorders>
            <w:gridSpan w:val="19"/>
          </w:tcPr>
          <w:p>
            <w:pPr>
              <w:spacing w:after="0" w:line="183" w:lineRule="exact"/>
              <w:rPr>
                <w:rFonts w:ascii="Arial" w:cs="Arial" w:eastAsia="Arial" w:hAnsi="Arial"/>
                <w:sz w:val="17"/>
                <w:szCs w:val="17"/>
                <w:color w:val="0000EE"/>
                <w:w w:val="89"/>
              </w:rPr>
            </w:pPr>
            <w:hyperlink w:anchor="page217">
              <w:r>
                <w:rPr>
                  <w:rFonts w:ascii="Arial" w:cs="Arial" w:eastAsia="Arial" w:hAnsi="Arial"/>
                  <w:sz w:val="17"/>
                  <w:szCs w:val="17"/>
                  <w:color w:val="0000EE"/>
                  <w:w w:val="89"/>
                </w:rPr>
                <w:t>Consolidated Statements of Income (Loss) for the Year Ended December 31, 2020 (Successor Company) and for the periods from July 16, 2019</w:t>
              </w:r>
            </w:hyperlink>
          </w:p>
        </w:tc>
        <w:tc>
          <w:tcPr>
            <w:tcW w:w="16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9740" w:type="dxa"/>
            <w:vAlign w:val="bottom"/>
            <w:gridSpan w:val="20"/>
          </w:tcPr>
          <w:p>
            <w:pPr>
              <w:spacing w:after="0" w:line="183" w:lineRule="exact"/>
              <w:rPr>
                <w:rFonts w:ascii="Arial" w:cs="Arial" w:eastAsia="Arial" w:hAnsi="Arial"/>
                <w:sz w:val="17"/>
                <w:szCs w:val="17"/>
                <w:color w:val="0000EE"/>
              </w:rPr>
            </w:pPr>
            <w:hyperlink w:anchor="page217">
              <w:r>
                <w:rPr>
                  <w:rFonts w:ascii="Arial" w:cs="Arial" w:eastAsia="Arial" w:hAnsi="Arial"/>
                  <w:sz w:val="17"/>
                  <w:szCs w:val="17"/>
                  <w:color w:val="0000EE"/>
                </w:rPr>
                <w:t>to December 31, 2019 (Successor Company) and January 1, 2019 to July 15, 2019 (Predecessor Company)</w:t>
              </w:r>
            </w:hyperlink>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500" w:type="dxa"/>
            <w:vAlign w:val="bottom"/>
            <w:tcBorders>
              <w:bottom w:val="single" w:sz="8" w:color="0000EE"/>
            </w:tcBorders>
            <w:gridSpan w:val="17"/>
          </w:tcPr>
          <w:p>
            <w:pPr>
              <w:spacing w:after="0" w:line="183" w:lineRule="exact"/>
              <w:rPr>
                <w:rFonts w:ascii="Arial" w:cs="Arial" w:eastAsia="Arial" w:hAnsi="Arial"/>
                <w:sz w:val="17"/>
                <w:szCs w:val="17"/>
                <w:color w:val="0000EE"/>
                <w:w w:val="88"/>
              </w:rPr>
            </w:pPr>
            <w:hyperlink w:anchor="page218">
              <w:r>
                <w:rPr>
                  <w:rFonts w:ascii="Arial" w:cs="Arial" w:eastAsia="Arial" w:hAnsi="Arial"/>
                  <w:sz w:val="17"/>
                  <w:szCs w:val="17"/>
                  <w:color w:val="0000EE"/>
                  <w:w w:val="88"/>
                </w:rPr>
                <w:t>Consolidated Statements of Comprehensive (Loss) Income for the Year Ended December 31, 2020 (Successor Company) and for the periods</w:t>
              </w:r>
            </w:hyperlink>
          </w:p>
        </w:tc>
        <w:tc>
          <w:tcPr>
            <w:tcW w:w="400" w:type="dxa"/>
            <w:vAlign w:val="bottom"/>
            <w:gridSpan w:val="4"/>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8560" w:type="dxa"/>
            <w:vAlign w:val="bottom"/>
            <w:tcBorders>
              <w:bottom w:val="single" w:sz="8" w:color="0000EE"/>
            </w:tcBorders>
            <w:gridSpan w:val="14"/>
          </w:tcPr>
          <w:p>
            <w:pPr>
              <w:spacing w:after="0" w:line="183" w:lineRule="exact"/>
              <w:rPr>
                <w:rFonts w:ascii="Arial" w:cs="Arial" w:eastAsia="Arial" w:hAnsi="Arial"/>
                <w:sz w:val="17"/>
                <w:szCs w:val="17"/>
                <w:color w:val="0000EE"/>
                <w:w w:val="89"/>
              </w:rPr>
            </w:pPr>
            <w:hyperlink w:anchor="page218">
              <w:r>
                <w:rPr>
                  <w:rFonts w:ascii="Arial" w:cs="Arial" w:eastAsia="Arial" w:hAnsi="Arial"/>
                  <w:sz w:val="17"/>
                  <w:szCs w:val="17"/>
                  <w:color w:val="0000EE"/>
                  <w:w w:val="89"/>
                </w:rPr>
                <w:t>from July 16, 2019 to December 31, 2019 (Successor Company) and January 1, 2019 to July 15, 2019 (Predecessor Company)</w:t>
              </w:r>
            </w:hyperlink>
          </w:p>
        </w:tc>
        <w:tc>
          <w:tcPr>
            <w:tcW w:w="1180" w:type="dxa"/>
            <w:vAlign w:val="bottom"/>
            <w:gridSpan w:val="6"/>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F-10</w:t>
            </w:r>
          </w:p>
        </w:tc>
        <w:tc>
          <w:tcPr>
            <w:tcW w:w="0" w:type="dxa"/>
            <w:vAlign w:val="bottom"/>
          </w:tcPr>
          <w:p>
            <w:pPr>
              <w:spacing w:after="0"/>
              <w:rPr>
                <w:sz w:val="1"/>
                <w:szCs w:val="1"/>
                <w:color w:val="auto"/>
              </w:rPr>
            </w:pPr>
          </w:p>
        </w:tc>
      </w:tr>
      <w:tr>
        <w:trPr>
          <w:trHeight w:val="183"/>
        </w:trPr>
        <w:tc>
          <w:tcPr>
            <w:tcW w:w="9780" w:type="dxa"/>
            <w:vAlign w:val="bottom"/>
            <w:tcBorders>
              <w:bottom w:val="single" w:sz="8" w:color="0000EE"/>
            </w:tcBorders>
            <w:gridSpan w:val="20"/>
          </w:tcPr>
          <w:p>
            <w:pPr>
              <w:spacing w:after="0" w:line="183" w:lineRule="exact"/>
              <w:rPr>
                <w:rFonts w:ascii="Arial" w:cs="Arial" w:eastAsia="Arial" w:hAnsi="Arial"/>
                <w:sz w:val="17"/>
                <w:szCs w:val="17"/>
                <w:color w:val="0000EE"/>
                <w:w w:val="89"/>
              </w:rPr>
            </w:pPr>
            <w:hyperlink w:anchor="page219">
              <w:r>
                <w:rPr>
                  <w:rFonts w:ascii="Arial" w:cs="Arial" w:eastAsia="Arial" w:hAnsi="Arial"/>
                  <w:sz w:val="17"/>
                  <w:szCs w:val="17"/>
                  <w:color w:val="0000EE"/>
                  <w:w w:val="89"/>
                </w:rPr>
                <w:t>Consolidated Statements of Changes in Members’ Equity for the Year Ended December 31, 2020 (Successor Company) and for the periods from</w:t>
              </w:r>
            </w:hyperlink>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9740" w:type="dxa"/>
            <w:vAlign w:val="bottom"/>
            <w:gridSpan w:val="20"/>
          </w:tcPr>
          <w:p>
            <w:pPr>
              <w:spacing w:after="0" w:line="183" w:lineRule="exact"/>
              <w:rPr>
                <w:rFonts w:ascii="Arial" w:cs="Arial" w:eastAsia="Arial" w:hAnsi="Arial"/>
                <w:sz w:val="17"/>
                <w:szCs w:val="17"/>
                <w:color w:val="0000EE"/>
              </w:rPr>
            </w:pPr>
            <w:hyperlink w:anchor="page219">
              <w:r>
                <w:rPr>
                  <w:rFonts w:ascii="Arial" w:cs="Arial" w:eastAsia="Arial" w:hAnsi="Arial"/>
                  <w:sz w:val="17"/>
                  <w:szCs w:val="17"/>
                  <w:color w:val="0000EE"/>
                </w:rPr>
                <w:t>July 16, 2019 to December 31, 2019 (Successor Company) and January 1, 2019 to July 15, 2019 (Predecessor Company)</w:t>
              </w:r>
            </w:hyperlink>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F-11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20" w:type="dxa"/>
            <w:vAlign w:val="bottom"/>
            <w:tcBorders>
              <w:bottom w:val="single" w:sz="8" w:color="0000EE"/>
            </w:tcBorders>
            <w:gridSpan w:val="18"/>
          </w:tcPr>
          <w:p>
            <w:pPr>
              <w:spacing w:after="0" w:line="183" w:lineRule="exact"/>
              <w:rPr>
                <w:rFonts w:ascii="Arial" w:cs="Arial" w:eastAsia="Arial" w:hAnsi="Arial"/>
                <w:sz w:val="17"/>
                <w:szCs w:val="17"/>
                <w:color w:val="0000EE"/>
                <w:w w:val="89"/>
              </w:rPr>
            </w:pPr>
            <w:hyperlink w:anchor="page220">
              <w:r>
                <w:rPr>
                  <w:rFonts w:ascii="Arial" w:cs="Arial" w:eastAsia="Arial" w:hAnsi="Arial"/>
                  <w:sz w:val="17"/>
                  <w:szCs w:val="17"/>
                  <w:color w:val="0000EE"/>
                  <w:w w:val="89"/>
                </w:rPr>
                <w:t>Consolidated Statements of Cash Flows for the Year Ended December 31, 2020 (Successor Company) and for the periods from July 16, 2019 to</w:t>
              </w:r>
            </w:hyperlink>
          </w:p>
        </w:tc>
        <w:tc>
          <w:tcPr>
            <w:tcW w:w="180" w:type="dxa"/>
            <w:vAlign w:val="bottom"/>
            <w:gridSpan w:val="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7060" w:type="dxa"/>
            <w:vAlign w:val="bottom"/>
            <w:tcBorders>
              <w:bottom w:val="single" w:sz="8" w:color="0000EE"/>
            </w:tcBorders>
            <w:gridSpan w:val="11"/>
          </w:tcPr>
          <w:p>
            <w:pPr>
              <w:spacing w:after="0" w:line="183" w:lineRule="exact"/>
              <w:rPr>
                <w:rFonts w:ascii="Arial" w:cs="Arial" w:eastAsia="Arial" w:hAnsi="Arial"/>
                <w:sz w:val="17"/>
                <w:szCs w:val="17"/>
                <w:color w:val="0000EE"/>
                <w:w w:val="88"/>
              </w:rPr>
            </w:pPr>
            <w:hyperlink w:anchor="page220">
              <w:r>
                <w:rPr>
                  <w:rFonts w:ascii="Arial" w:cs="Arial" w:eastAsia="Arial" w:hAnsi="Arial"/>
                  <w:sz w:val="17"/>
                  <w:szCs w:val="17"/>
                  <w:color w:val="0000EE"/>
                  <w:w w:val="88"/>
                </w:rPr>
                <w:t>December 31, 2019 (Successor Company) and January 1, 2019 to July 15, 2019 (Predecessor Company)</w:t>
              </w:r>
            </w:hyperlink>
          </w:p>
        </w:tc>
        <w:tc>
          <w:tcPr>
            <w:tcW w:w="2680" w:type="dxa"/>
            <w:vAlign w:val="bottom"/>
            <w:gridSpan w:val="9"/>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F-12</w:t>
            </w:r>
          </w:p>
        </w:tc>
        <w:tc>
          <w:tcPr>
            <w:tcW w:w="0" w:type="dxa"/>
            <w:vAlign w:val="bottom"/>
          </w:tcPr>
          <w:p>
            <w:pPr>
              <w:spacing w:after="0"/>
              <w:rPr>
                <w:sz w:val="1"/>
                <w:szCs w:val="1"/>
                <w:color w:val="auto"/>
              </w:rPr>
            </w:pPr>
          </w:p>
        </w:tc>
      </w:tr>
      <w:tr>
        <w:trPr>
          <w:trHeight w:val="183"/>
        </w:trPr>
        <w:tc>
          <w:tcPr>
            <w:tcW w:w="3200" w:type="dxa"/>
            <w:vAlign w:val="bottom"/>
            <w:tcBorders>
              <w:bottom w:val="single" w:sz="8" w:color="0000EE"/>
            </w:tcBorders>
            <w:gridSpan w:val="5"/>
          </w:tcPr>
          <w:p>
            <w:pPr>
              <w:spacing w:after="0" w:line="183" w:lineRule="exact"/>
              <w:rPr>
                <w:rFonts w:ascii="Arial" w:cs="Arial" w:eastAsia="Arial" w:hAnsi="Arial"/>
                <w:sz w:val="17"/>
                <w:szCs w:val="17"/>
                <w:color w:val="0000EE"/>
                <w:w w:val="88"/>
              </w:rPr>
            </w:pPr>
            <w:hyperlink w:anchor="page222">
              <w:r>
                <w:rPr>
                  <w:rFonts w:ascii="Arial" w:cs="Arial" w:eastAsia="Arial" w:hAnsi="Arial"/>
                  <w:sz w:val="17"/>
                  <w:szCs w:val="17"/>
                  <w:color w:val="0000EE"/>
                  <w:w w:val="88"/>
                </w:rPr>
                <w:t>Notes to the Consolidated Financial Statements</w:t>
              </w:r>
            </w:hyperlink>
          </w:p>
        </w:tc>
        <w:tc>
          <w:tcPr>
            <w:tcW w:w="6700" w:type="dxa"/>
            <w:vAlign w:val="bottom"/>
            <w:gridSpan w:val="16"/>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F-14</w:t>
            </w:r>
          </w:p>
        </w:tc>
        <w:tc>
          <w:tcPr>
            <w:tcW w:w="0" w:type="dxa"/>
            <w:vAlign w:val="bottom"/>
          </w:tcPr>
          <w:p>
            <w:pPr>
              <w:spacing w:after="0"/>
              <w:rPr>
                <w:sz w:val="1"/>
                <w:szCs w:val="1"/>
                <w:color w:val="auto"/>
              </w:rPr>
            </w:pPr>
          </w:p>
        </w:tc>
      </w:tr>
      <w:tr>
        <w:trPr>
          <w:trHeight w:val="423"/>
        </w:trPr>
        <w:tc>
          <w:tcPr>
            <w:tcW w:w="9900" w:type="dxa"/>
            <w:vAlign w:val="bottom"/>
            <w:gridSpan w:val="21"/>
          </w:tcPr>
          <w:p>
            <w:pPr>
              <w:spacing w:after="0"/>
              <w:rPr>
                <w:sz w:val="20"/>
                <w:szCs w:val="20"/>
                <w:color w:val="auto"/>
              </w:rPr>
            </w:pPr>
            <w:r>
              <w:rPr>
                <w:rFonts w:ascii="Arial" w:cs="Arial" w:eastAsia="Arial" w:hAnsi="Arial"/>
                <w:sz w:val="17"/>
                <w:szCs w:val="17"/>
                <w:b w:val="1"/>
                <w:bCs w:val="1"/>
                <w:color w:val="auto"/>
              </w:rPr>
              <w:t>CONSOLIDATED FINANCIAL STATEMENTS OF DEFINITIVE HEALTHCARE CORP. (UNAUDITED)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380" w:type="dxa"/>
            <w:vAlign w:val="bottom"/>
            <w:tcBorders>
              <w:bottom w:val="single" w:sz="8" w:color="0000EE"/>
            </w:tcBorders>
            <w:gridSpan w:val="9"/>
          </w:tcPr>
          <w:p>
            <w:pPr>
              <w:spacing w:after="0"/>
              <w:rPr>
                <w:rFonts w:ascii="Arial" w:cs="Arial" w:eastAsia="Arial" w:hAnsi="Arial"/>
                <w:sz w:val="17"/>
                <w:szCs w:val="17"/>
                <w:color w:val="0000EE"/>
                <w:w w:val="87"/>
              </w:rPr>
            </w:pPr>
            <w:hyperlink w:anchor="page256">
              <w:r>
                <w:rPr>
                  <w:rFonts w:ascii="Arial" w:cs="Arial" w:eastAsia="Arial" w:hAnsi="Arial"/>
                  <w:sz w:val="17"/>
                  <w:szCs w:val="17"/>
                  <w:color w:val="0000EE"/>
                  <w:w w:val="87"/>
                </w:rPr>
                <w:t>Consolidated Balance Sheets as of September 30, 2021 and December 31, 2020</w:t>
              </w:r>
            </w:hyperlink>
          </w:p>
        </w:tc>
        <w:tc>
          <w:tcPr>
            <w:tcW w:w="45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F-48</w:t>
            </w:r>
          </w:p>
        </w:tc>
        <w:tc>
          <w:tcPr>
            <w:tcW w:w="0" w:type="dxa"/>
            <w:vAlign w:val="bottom"/>
          </w:tcPr>
          <w:p>
            <w:pPr>
              <w:spacing w:after="0"/>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rPr>
            </w:pPr>
            <w:hyperlink w:anchor="page257">
              <w:r>
                <w:rPr>
                  <w:rFonts w:ascii="Arial" w:cs="Arial" w:eastAsia="Arial" w:hAnsi="Arial"/>
                  <w:sz w:val="17"/>
                  <w:szCs w:val="17"/>
                  <w:color w:val="0000EE"/>
                </w:rPr>
                <w:t xml:space="preserve">Consolidated Statements of Operations </w:t>
              </w:r>
            </w:hyperlink>
            <w:r>
              <w:rPr>
                <w:rFonts w:ascii="Arial" w:cs="Arial" w:eastAsia="Arial" w:hAnsi="Arial"/>
                <w:sz w:val="17"/>
                <w:szCs w:val="17"/>
                <w:color w:val="000000"/>
              </w:rPr>
              <w:t>for</w:t>
            </w:r>
            <w:r>
              <w:rPr>
                <w:rFonts w:ascii="Arial" w:cs="Arial" w:eastAsia="Arial" w:hAnsi="Arial"/>
                <w:sz w:val="17"/>
                <w:szCs w:val="17"/>
                <w:color w:val="0000EE"/>
              </w:rPr>
              <w:t xml:space="preserve"> </w:t>
            </w:r>
            <w:r>
              <w:rPr>
                <w:rFonts w:ascii="Arial" w:cs="Arial" w:eastAsia="Arial" w:hAnsi="Arial"/>
                <w:sz w:val="17"/>
                <w:szCs w:val="17"/>
                <w:color w:val="000000"/>
              </w:rPr>
              <w:t>the Nine Months Ended September 30, 2021 and 2020</w:t>
            </w: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F-49</w:t>
            </w:r>
          </w:p>
        </w:tc>
        <w:tc>
          <w:tcPr>
            <w:tcW w:w="0" w:type="dxa"/>
            <w:vAlign w:val="bottom"/>
          </w:tcPr>
          <w:p>
            <w:pPr>
              <w:spacing w:after="0"/>
              <w:rPr>
                <w:sz w:val="1"/>
                <w:szCs w:val="1"/>
                <w:color w:val="auto"/>
              </w:rPr>
            </w:pPr>
          </w:p>
        </w:tc>
      </w:tr>
      <w:tr>
        <w:trPr>
          <w:trHeight w:val="20"/>
        </w:trPr>
        <w:tc>
          <w:tcPr>
            <w:tcW w:w="2680" w:type="dxa"/>
            <w:vAlign w:val="bottom"/>
            <w:gridSpan w:val="4"/>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rPr>
            </w:pPr>
            <w:hyperlink w:anchor="page258">
              <w:r>
                <w:rPr>
                  <w:rFonts w:ascii="Arial" w:cs="Arial" w:eastAsia="Arial" w:hAnsi="Arial"/>
                  <w:sz w:val="17"/>
                  <w:szCs w:val="17"/>
                  <w:color w:val="0000EE"/>
                </w:rPr>
                <w:t xml:space="preserve">Consolidated Statements of Comprehensive Loss </w:t>
              </w:r>
            </w:hyperlink>
            <w:r>
              <w:rPr>
                <w:rFonts w:ascii="Arial" w:cs="Arial" w:eastAsia="Arial" w:hAnsi="Arial"/>
                <w:sz w:val="17"/>
                <w:szCs w:val="17"/>
                <w:color w:val="000000"/>
              </w:rPr>
              <w:t>for</w:t>
            </w:r>
            <w:r>
              <w:rPr>
                <w:rFonts w:ascii="Arial" w:cs="Arial" w:eastAsia="Arial" w:hAnsi="Arial"/>
                <w:sz w:val="17"/>
                <w:szCs w:val="17"/>
                <w:color w:val="0000EE"/>
              </w:rPr>
              <w:t xml:space="preserve"> </w:t>
            </w:r>
            <w:r>
              <w:rPr>
                <w:rFonts w:ascii="Arial" w:cs="Arial" w:eastAsia="Arial" w:hAnsi="Arial"/>
                <w:sz w:val="17"/>
                <w:szCs w:val="17"/>
                <w:color w:val="000000"/>
              </w:rPr>
              <w:t>the Nine Months Ended September 30, 2021 and 2020</w:t>
            </w: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F-50</w:t>
            </w:r>
          </w:p>
        </w:tc>
        <w:tc>
          <w:tcPr>
            <w:tcW w:w="0" w:type="dxa"/>
            <w:vAlign w:val="bottom"/>
          </w:tcPr>
          <w:p>
            <w:pPr>
              <w:spacing w:after="0"/>
              <w:rPr>
                <w:sz w:val="1"/>
                <w:szCs w:val="1"/>
                <w:color w:val="auto"/>
              </w:rPr>
            </w:pPr>
          </w:p>
        </w:tc>
      </w:tr>
      <w:tr>
        <w:trPr>
          <w:trHeight w:val="20"/>
        </w:trPr>
        <w:tc>
          <w:tcPr>
            <w:tcW w:w="3360" w:type="dxa"/>
            <w:vAlign w:val="bottom"/>
            <w:gridSpan w:val="6"/>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0" w:type="dxa"/>
            <w:vAlign w:val="bottom"/>
            <w:tcBorders>
              <w:bottom w:val="single" w:sz="8" w:color="0000EE"/>
            </w:tcBorders>
            <w:gridSpan w:val="16"/>
          </w:tcPr>
          <w:p>
            <w:pPr>
              <w:spacing w:after="0" w:line="183" w:lineRule="exact"/>
              <w:rPr>
                <w:rFonts w:ascii="Arial" w:cs="Arial" w:eastAsia="Arial" w:hAnsi="Arial"/>
                <w:sz w:val="17"/>
                <w:szCs w:val="17"/>
                <w:color w:val="0000EE"/>
                <w:w w:val="89"/>
              </w:rPr>
            </w:pPr>
            <w:hyperlink w:anchor="page259">
              <w:r>
                <w:rPr>
                  <w:rFonts w:ascii="Arial" w:cs="Arial" w:eastAsia="Arial" w:hAnsi="Arial"/>
                  <w:sz w:val="17"/>
                  <w:szCs w:val="17"/>
                  <w:color w:val="0000EE"/>
                  <w:w w:val="89"/>
                </w:rPr>
                <w:t>Consolidated Statements of Changes in Members’ Equity and Total Equity for the Nine Months Ended September 30, 2021 and 2020</w:t>
              </w:r>
            </w:hyperlink>
          </w:p>
        </w:tc>
        <w:tc>
          <w:tcPr>
            <w:tcW w:w="900" w:type="dxa"/>
            <w:vAlign w:val="bottom"/>
            <w:gridSpan w:val="5"/>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F-51</w:t>
            </w:r>
          </w:p>
        </w:tc>
        <w:tc>
          <w:tcPr>
            <w:tcW w:w="0" w:type="dxa"/>
            <w:vAlign w:val="bottom"/>
          </w:tcPr>
          <w:p>
            <w:pPr>
              <w:spacing w:after="0"/>
              <w:rPr>
                <w:sz w:val="1"/>
                <w:szCs w:val="1"/>
                <w:color w:val="auto"/>
              </w:rPr>
            </w:pPr>
          </w:p>
        </w:tc>
      </w:tr>
      <w:tr>
        <w:trPr>
          <w:trHeight w:val="183"/>
        </w:trPr>
        <w:tc>
          <w:tcPr>
            <w:tcW w:w="6640" w:type="dxa"/>
            <w:vAlign w:val="bottom"/>
            <w:tcBorders>
              <w:bottom w:val="single" w:sz="8" w:color="0000EE"/>
            </w:tcBorders>
            <w:gridSpan w:val="11"/>
          </w:tcPr>
          <w:p>
            <w:pPr>
              <w:spacing w:after="0" w:line="183" w:lineRule="exact"/>
              <w:rPr>
                <w:rFonts w:ascii="Arial" w:cs="Arial" w:eastAsia="Arial" w:hAnsi="Arial"/>
                <w:sz w:val="17"/>
                <w:szCs w:val="17"/>
                <w:color w:val="0000EE"/>
                <w:w w:val="89"/>
              </w:rPr>
            </w:pPr>
            <w:hyperlink w:anchor="page262">
              <w:r>
                <w:rPr>
                  <w:rFonts w:ascii="Arial" w:cs="Arial" w:eastAsia="Arial" w:hAnsi="Arial"/>
                  <w:sz w:val="17"/>
                  <w:szCs w:val="17"/>
                  <w:color w:val="0000EE"/>
                  <w:w w:val="89"/>
                </w:rPr>
                <w:t>Consolidated Statements of Cash Flows for the Nine Months Ended September 30, 2021 and 2020</w:t>
              </w:r>
            </w:hyperlink>
          </w:p>
        </w:tc>
        <w:tc>
          <w:tcPr>
            <w:tcW w:w="3260" w:type="dxa"/>
            <w:vAlign w:val="bottom"/>
            <w:gridSpan w:val="10"/>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F-54</w:t>
            </w:r>
          </w:p>
        </w:tc>
        <w:tc>
          <w:tcPr>
            <w:tcW w:w="0" w:type="dxa"/>
            <w:vAlign w:val="bottom"/>
          </w:tcPr>
          <w:p>
            <w:pPr>
              <w:spacing w:after="0"/>
              <w:rPr>
                <w:sz w:val="1"/>
                <w:szCs w:val="1"/>
                <w:color w:val="auto"/>
              </w:rPr>
            </w:pPr>
          </w:p>
        </w:tc>
      </w:tr>
      <w:tr>
        <w:trPr>
          <w:trHeight w:val="183"/>
        </w:trPr>
        <w:tc>
          <w:tcPr>
            <w:tcW w:w="9900" w:type="dxa"/>
            <w:vAlign w:val="bottom"/>
            <w:gridSpan w:val="21"/>
          </w:tcPr>
          <w:p>
            <w:pPr>
              <w:spacing w:after="0" w:line="183" w:lineRule="exact"/>
              <w:rPr>
                <w:rFonts w:ascii="Arial" w:cs="Arial" w:eastAsia="Arial" w:hAnsi="Arial"/>
                <w:sz w:val="17"/>
                <w:szCs w:val="17"/>
                <w:color w:val="0000EE"/>
              </w:rPr>
            </w:pPr>
            <w:hyperlink w:anchor="page263">
              <w:r>
                <w:rPr>
                  <w:rFonts w:ascii="Arial" w:cs="Arial" w:eastAsia="Arial" w:hAnsi="Arial"/>
                  <w:sz w:val="17"/>
                  <w:szCs w:val="17"/>
                  <w:color w:val="0000EE"/>
                </w:rPr>
                <w:t>Notes to the Condensed Consolidated Financial Statements</w:t>
              </w:r>
            </w:hyperlink>
          </w:p>
        </w:tc>
        <w:tc>
          <w:tcPr>
            <w:tcW w:w="380" w:type="dxa"/>
            <w:vAlign w:val="bottom"/>
          </w:tcPr>
          <w:p>
            <w:pPr>
              <w:jc w:val="right"/>
              <w:spacing w:after="0" w:line="183" w:lineRule="exact"/>
              <w:rPr>
                <w:sz w:val="20"/>
                <w:szCs w:val="20"/>
                <w:color w:val="auto"/>
              </w:rPr>
            </w:pPr>
            <w:r>
              <w:rPr>
                <w:rFonts w:ascii="Arial" w:cs="Arial" w:eastAsia="Arial" w:hAnsi="Arial"/>
                <w:sz w:val="17"/>
                <w:szCs w:val="17"/>
                <w:color w:val="auto"/>
              </w:rPr>
              <w:t>F-55</w:t>
            </w:r>
          </w:p>
        </w:tc>
        <w:tc>
          <w:tcPr>
            <w:tcW w:w="0" w:type="dxa"/>
            <w:vAlign w:val="bottom"/>
          </w:tcPr>
          <w:p>
            <w:pPr>
              <w:spacing w:after="0"/>
              <w:rPr>
                <w:sz w:val="1"/>
                <w:szCs w:val="1"/>
                <w:color w:val="auto"/>
              </w:rPr>
            </w:pPr>
          </w:p>
        </w:tc>
      </w:tr>
      <w:tr>
        <w:trPr>
          <w:trHeight w:val="359"/>
        </w:trPr>
        <w:tc>
          <w:tcPr>
            <w:tcW w:w="16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900" w:type="dxa"/>
            <w:vAlign w:val="bottom"/>
            <w:gridSpan w:val="13"/>
          </w:tcPr>
          <w:p>
            <w:pPr>
              <w:ind w:left="1040"/>
              <w:spacing w:after="0"/>
              <w:rPr>
                <w:sz w:val="20"/>
                <w:szCs w:val="20"/>
                <w:color w:val="auto"/>
              </w:rPr>
            </w:pPr>
            <w:r>
              <w:rPr>
                <w:rFonts w:ascii="Arial" w:cs="Arial" w:eastAsia="Arial" w:hAnsi="Arial"/>
                <w:sz w:val="17"/>
                <w:szCs w:val="17"/>
                <w:color w:val="auto"/>
              </w:rPr>
              <w:t>F-1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66" w:right="8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Definitive Healthcare Corp.</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Balance Sheet as of May 24, 2021 and Report of Independent Registered Public Accounting Firm</w:t>
      </w:r>
    </w:p>
    <w:p>
      <w:pPr>
        <w:spacing w:after="0" w:line="16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139"/>
          </w:cols>
          <w:pgMar w:left="320" w:top="465" w:right="1440"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right="4540"/>
        <w:spacing w:after="0" w:line="441"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shareholders and the Board of Directors of Definitive Healthcare Corp.</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Opinion on the Financial Statement</w:t>
      </w:r>
    </w:p>
    <w:p>
      <w:pPr>
        <w:spacing w:after="0" w:line="112" w:lineRule="exact"/>
        <w:rPr>
          <w:sz w:val="20"/>
          <w:szCs w:val="20"/>
          <w:color w:val="auto"/>
        </w:rPr>
      </w:pPr>
    </w:p>
    <w:p>
      <w:pPr>
        <w:ind w:left="460"/>
        <w:spacing w:after="0" w:line="284" w:lineRule="auto"/>
        <w:rPr>
          <w:sz w:val="20"/>
          <w:szCs w:val="20"/>
          <w:color w:val="auto"/>
        </w:rPr>
      </w:pPr>
      <w:r>
        <w:rPr>
          <w:rFonts w:ascii="Arial" w:cs="Arial" w:eastAsia="Arial" w:hAnsi="Arial"/>
          <w:sz w:val="16"/>
          <w:szCs w:val="16"/>
          <w:color w:val="auto"/>
        </w:rPr>
        <w:t>We have audited the accompanying balance sheet of Definitive Healthcare Corp. (the “Company”) as of May 24, 2021, and the related notes (collectively referred to as the “financial statement”). In our opinion, the financial statement presents fairly, in all material respects, the financial position of the Company as of May 24, 2021, in conformity with accounting principles generally accepted in the United States of America.</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Basis for Opinion</w:t>
      </w:r>
    </w:p>
    <w:p>
      <w:pPr>
        <w:spacing w:after="0" w:line="112"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1" w:lineRule="exact"/>
        <w:rPr>
          <w:sz w:val="20"/>
          <w:szCs w:val="20"/>
          <w:color w:val="auto"/>
        </w:rPr>
      </w:pPr>
    </w:p>
    <w:p>
      <w:pPr>
        <w:ind w:left="460" w:right="60"/>
        <w:spacing w:after="0" w:line="301"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 Deloitte &amp; Touche LLP</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Boston, Massachusetts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May 28, 2021</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served as the Company’s auditor since 2021.</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780"/>
          </w:cols>
          <w:pgMar w:left="320" w:top="466" w:right="79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8040" w:type="dxa"/>
            <w:vAlign w:val="bottom"/>
          </w:tcPr>
          <w:p>
            <w:pPr>
              <w:jc w:val="center"/>
              <w:ind w:left="2216"/>
              <w:spacing w:after="0"/>
              <w:rPr>
                <w:sz w:val="20"/>
                <w:szCs w:val="20"/>
                <w:color w:val="auto"/>
              </w:rPr>
            </w:pPr>
            <w:r>
              <w:rPr>
                <w:rFonts w:ascii="Arial" w:cs="Arial" w:eastAsia="Arial" w:hAnsi="Arial"/>
                <w:sz w:val="17"/>
                <w:szCs w:val="17"/>
                <w:b w:val="1"/>
                <w:bCs w:val="1"/>
                <w:color w:val="auto"/>
              </w:rPr>
              <w:t>DEFINITIVE HEALTHCARE CORP.</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040" w:type="dxa"/>
            <w:vAlign w:val="bottom"/>
          </w:tcPr>
          <w:p>
            <w:pPr>
              <w:jc w:val="center"/>
              <w:ind w:left="2196"/>
              <w:spacing w:after="0"/>
              <w:rPr>
                <w:sz w:val="20"/>
                <w:szCs w:val="20"/>
                <w:color w:val="auto"/>
              </w:rPr>
            </w:pPr>
            <w:r>
              <w:rPr>
                <w:rFonts w:ascii="Arial" w:cs="Arial" w:eastAsia="Arial" w:hAnsi="Arial"/>
                <w:sz w:val="17"/>
                <w:szCs w:val="17"/>
                <w:b w:val="1"/>
                <w:bCs w:val="1"/>
                <w:color w:val="auto"/>
                <w:w w:val="99"/>
              </w:rPr>
              <w:t>BALANCE SHEET</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040" w:type="dxa"/>
            <w:vAlign w:val="bottom"/>
          </w:tcPr>
          <w:p>
            <w:pPr>
              <w:jc w:val="center"/>
              <w:ind w:left="2216"/>
              <w:spacing w:after="0"/>
              <w:rPr>
                <w:sz w:val="20"/>
                <w:szCs w:val="20"/>
                <w:color w:val="auto"/>
              </w:rPr>
            </w:pPr>
            <w:r>
              <w:rPr>
                <w:rFonts w:ascii="Arial" w:cs="Arial" w:eastAsia="Arial" w:hAnsi="Arial"/>
                <w:sz w:val="17"/>
                <w:szCs w:val="17"/>
                <w:i w:val="1"/>
                <w:iCs w:val="1"/>
                <w:color w:val="auto"/>
                <w:w w:val="92"/>
              </w:rPr>
              <w:t>(amounts in dollars)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8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May 24, 2021</w:t>
            </w:r>
          </w:p>
        </w:tc>
        <w:tc>
          <w:tcPr>
            <w:tcW w:w="0" w:type="dxa"/>
            <w:vAlign w:val="bottom"/>
          </w:tcPr>
          <w:p>
            <w:pPr>
              <w:spacing w:after="0"/>
              <w:rPr>
                <w:sz w:val="1"/>
                <w:szCs w:val="1"/>
                <w:color w:val="auto"/>
              </w:rPr>
            </w:pPr>
          </w:p>
        </w:tc>
      </w:tr>
      <w:tr>
        <w:trPr>
          <w:trHeight w:val="195"/>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rPr>
                <w:sz w:val="20"/>
                <w:szCs w:val="20"/>
                <w:color w:val="auto"/>
              </w:rPr>
            </w:pPr>
            <w:r>
              <w:rPr>
                <w:rFonts w:ascii="Arial" w:cs="Arial" w:eastAsia="Arial" w:hAnsi="Arial"/>
                <w:sz w:val="17"/>
                <w:szCs w:val="17"/>
                <w:color w:val="auto"/>
              </w:rPr>
              <w:t>Cash</w:t>
            </w:r>
          </w:p>
        </w:tc>
        <w:tc>
          <w:tcPr>
            <w:tcW w:w="14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assets</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7"/>
                <w:szCs w:val="17"/>
                <w:b w:val="1"/>
                <w:bCs w:val="1"/>
                <w:color w:val="auto"/>
              </w:rPr>
              <w:t>Stockholder’s equity</w:t>
            </w: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4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par value $0.01 per share, 100 shares authorized, 1 issued and outstanding</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340"/>
              <w:spacing w:after="0"/>
              <w:rPr>
                <w:sz w:val="20"/>
                <w:szCs w:val="20"/>
                <w:color w:val="auto"/>
              </w:rPr>
            </w:pPr>
            <w:r>
              <w:rPr>
                <w:rFonts w:ascii="Arial" w:cs="Arial" w:eastAsia="Arial" w:hAnsi="Arial"/>
                <w:sz w:val="17"/>
                <w:szCs w:val="17"/>
                <w:color w:val="auto"/>
              </w:rPr>
              <w:t>Additional paid in capital</w:t>
            </w:r>
          </w:p>
        </w:tc>
        <w:tc>
          <w:tcPr>
            <w:tcW w:w="1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4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99.99</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stockholder’s equity</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financial statement</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800"/>
          </w:cols>
          <w:pgMar w:left="320" w:top="466" w:right="77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DEFINITIVE HEALTHCARE CORP.</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THE FINANCIAL STATEMENT</w:t>
      </w:r>
    </w:p>
    <w:p>
      <w:pPr>
        <w:spacing w:after="0" w:line="223" w:lineRule="exact"/>
        <w:rPr>
          <w:sz w:val="20"/>
          <w:szCs w:val="20"/>
          <w:color w:val="auto"/>
        </w:rPr>
      </w:pPr>
    </w:p>
    <w:p>
      <w:pPr>
        <w:ind w:left="860" w:hanging="403"/>
        <w:spacing w:after="0"/>
        <w:tabs>
          <w:tab w:leader="none" w:pos="860" w:val="left"/>
        </w:tabs>
        <w:numPr>
          <w:ilvl w:val="0"/>
          <w:numId w:val="16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Organization</w:t>
      </w:r>
    </w:p>
    <w:p>
      <w:pPr>
        <w:spacing w:after="0" w:line="108"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Definitive Healthcare Corp. (the “Corporation”) was organized as a Delaware corporation on May 5, 2021 and its shares were funded at May 24, 2021. The Corporation’s fiscal year end is December 31. Pursuant to a reorganization into a holding corporation structure, the Corporation will become a holding corporation and its sole assets are expected to be an equity interest in AIDH TopCo, LLC.</w:t>
      </w:r>
    </w:p>
    <w:p>
      <w:pPr>
        <w:spacing w:after="0" w:line="157" w:lineRule="exact"/>
        <w:rPr>
          <w:sz w:val="20"/>
          <w:szCs w:val="20"/>
          <w:color w:val="auto"/>
        </w:rPr>
      </w:pPr>
    </w:p>
    <w:p>
      <w:pPr>
        <w:ind w:left="460" w:right="100" w:firstLine="413"/>
        <w:spacing w:after="0" w:line="303" w:lineRule="auto"/>
        <w:rPr>
          <w:sz w:val="20"/>
          <w:szCs w:val="20"/>
          <w:color w:val="auto"/>
        </w:rPr>
      </w:pPr>
      <w:r>
        <w:rPr>
          <w:rFonts w:ascii="Arial" w:cs="Arial" w:eastAsia="Arial" w:hAnsi="Arial"/>
          <w:sz w:val="16"/>
          <w:szCs w:val="16"/>
          <w:color w:val="auto"/>
        </w:rPr>
        <w:t>The Corporation will be the sole managing member of AIDH TopCo, LLC, and will operate and control all of the businesses and affairs of AIDH TopCo, LLC and, through AIDH TopCo, LLC and its subsidiaries, continue to conduct the business now conducted by these entities.</w:t>
      </w:r>
    </w:p>
    <w:p>
      <w:pPr>
        <w:spacing w:after="0" w:line="283" w:lineRule="exact"/>
        <w:rPr>
          <w:sz w:val="20"/>
          <w:szCs w:val="20"/>
          <w:color w:val="auto"/>
        </w:rPr>
      </w:pPr>
    </w:p>
    <w:p>
      <w:pPr>
        <w:ind w:left="460" w:right="6820" w:hanging="3"/>
        <w:spacing w:after="0" w:line="373" w:lineRule="auto"/>
        <w:tabs>
          <w:tab w:leader="none" w:pos="865" w:val="left"/>
        </w:tabs>
        <w:numPr>
          <w:ilvl w:val="0"/>
          <w:numId w:val="17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Summary of Significant Accounting Policies Basis of Accounting</w:t>
      </w:r>
    </w:p>
    <w:p>
      <w:pPr>
        <w:jc w:val="both"/>
        <w:ind w:left="460" w:right="120" w:firstLine="413"/>
        <w:spacing w:after="0" w:line="260"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 because there have been no activities in this entity or because the single transaction is fully disclosed below.</w:t>
      </w:r>
    </w:p>
    <w:p>
      <w:pPr>
        <w:spacing w:after="0" w:line="314" w:lineRule="exact"/>
        <w:rPr>
          <w:sz w:val="20"/>
          <w:szCs w:val="20"/>
          <w:color w:val="auto"/>
        </w:rPr>
      </w:pPr>
    </w:p>
    <w:p>
      <w:pPr>
        <w:ind w:left="860" w:hanging="403"/>
        <w:spacing w:after="0"/>
        <w:tabs>
          <w:tab w:leader="none" w:pos="860" w:val="left"/>
        </w:tabs>
        <w:numPr>
          <w:ilvl w:val="0"/>
          <w:numId w:val="17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Stockholder’s Equity</w:t>
      </w:r>
    </w:p>
    <w:p>
      <w:pPr>
        <w:spacing w:after="0" w:line="108"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The Corporation is authorized to issue 100 shares of Common Stock, par value $0.01 per share. In exchange for $100, the Corporation has issued 1 share of common stock, which is held by Advent International GPE IX Limited Partnership as of May 24, 2021.</w:t>
      </w:r>
    </w:p>
    <w:p>
      <w:pPr>
        <w:spacing w:after="0" w:line="304" w:lineRule="exact"/>
        <w:rPr>
          <w:sz w:val="20"/>
          <w:szCs w:val="20"/>
          <w:color w:val="auto"/>
        </w:rPr>
      </w:pPr>
    </w:p>
    <w:p>
      <w:pPr>
        <w:ind w:left="860" w:hanging="403"/>
        <w:spacing w:after="0"/>
        <w:tabs>
          <w:tab w:leader="none" w:pos="860" w:val="left"/>
        </w:tabs>
        <w:numPr>
          <w:ilvl w:val="0"/>
          <w:numId w:val="17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Subsequent Events</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Corporation has evaluated subsequent events through May 28, 2021, the date which the financial statement was issued, and did not identify any additional matters that require disclosure.</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780"/>
          </w:cols>
          <w:pgMar w:left="320" w:top="465" w:right="79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AIDH TopCo,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and Subsidiaries</w:t>
      </w:r>
    </w:p>
    <w:p>
      <w:pPr>
        <w:spacing w:after="0" w:line="198" w:lineRule="exact"/>
        <w:rPr>
          <w:sz w:val="20"/>
          <w:szCs w:val="20"/>
          <w:color w:val="auto"/>
        </w:rPr>
      </w:pPr>
    </w:p>
    <w:p>
      <w:pPr>
        <w:ind w:left="460"/>
        <w:spacing w:after="0" w:line="260" w:lineRule="auto"/>
        <w:rPr>
          <w:sz w:val="20"/>
          <w:szCs w:val="20"/>
          <w:color w:val="auto"/>
        </w:rPr>
      </w:pPr>
      <w:r>
        <w:rPr>
          <w:rFonts w:ascii="Arial" w:cs="Arial" w:eastAsia="Arial" w:hAnsi="Arial"/>
          <w:sz w:val="17"/>
          <w:szCs w:val="17"/>
          <w:color w:val="auto"/>
        </w:rPr>
        <w:t>Consolidated Financial Statements as of December 31, 2020 and 2019 (Successor Company), and for the Year Ended December 31, 2020 (Successor Company), and Periods from July 16, 2019 to December 31, 2019 (Successor Company) and January 1, 2019 to July 15, 2019 (Predecessor Company), and Report of Independent Registered Public Accounting Firm</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680"/>
          </w:cols>
          <w:pgMar w:left="320" w:top="465" w:right="89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shareholders and the Board of Directors of AIDH Topco, LLC</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2" w:lineRule="exact"/>
        <w:rPr>
          <w:sz w:val="20"/>
          <w:szCs w:val="20"/>
          <w:color w:val="auto"/>
        </w:rPr>
      </w:pPr>
    </w:p>
    <w:p>
      <w:pPr>
        <w:ind w:left="460" w:right="40"/>
        <w:spacing w:after="0" w:line="269" w:lineRule="auto"/>
        <w:rPr>
          <w:sz w:val="20"/>
          <w:szCs w:val="20"/>
          <w:color w:val="auto"/>
        </w:rPr>
      </w:pPr>
      <w:r>
        <w:rPr>
          <w:rFonts w:ascii="Arial" w:cs="Arial" w:eastAsia="Arial" w:hAnsi="Arial"/>
          <w:sz w:val="16"/>
          <w:szCs w:val="16"/>
          <w:color w:val="auto"/>
        </w:rPr>
        <w:t>We have audited the accompanying consolidated balance sheets of AIDH TopCo, LLC and subsidiaries (the “Company”), as of December 31, 2020 and 2019 (Successor Company), and the related consolidated statements of (loss) income, comprehensive (loss) income, changes in members’ equity, and cash flows for the year ended December 31, 2020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2020 and 2019 (Successor Company), and the results of its operations and its cash flows for the year ended December 31, 2020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Basis for Opinion</w:t>
      </w:r>
    </w:p>
    <w:p>
      <w:pPr>
        <w:spacing w:after="0" w:line="112" w:lineRule="exact"/>
        <w:rPr>
          <w:sz w:val="20"/>
          <w:szCs w:val="20"/>
          <w:color w:val="auto"/>
        </w:rPr>
      </w:pPr>
    </w:p>
    <w:p>
      <w:pPr>
        <w:ind w:left="460" w:right="60"/>
        <w:spacing w:after="0" w:line="25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left="460" w:right="20"/>
        <w:spacing w:after="0" w:line="253"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left="460"/>
        <w:spacing w:after="0" w:line="301"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 Deloitte &amp; Touche LLP</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Boston, Massachusetts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May 28, 2021</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served as the Company’s auditor since 2020.</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760"/>
          </w:cols>
          <w:pgMar w:left="320" w:top="466" w:right="81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BALANCE SHEETS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(in thousands, except number of units)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Successor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0" w:type="dxa"/>
            <w:vAlign w:val="bottom"/>
            <w:tcBorders>
              <w:top w:val="single" w:sz="8" w:color="auto"/>
            </w:tcBorders>
            <w:gridSpan w:val="3"/>
          </w:tcPr>
          <w:p>
            <w:pPr>
              <w:ind w:left="20"/>
              <w:spacing w:after="0" w:line="112" w:lineRule="exact"/>
              <w:rPr>
                <w:sz w:val="20"/>
                <w:szCs w:val="20"/>
                <w:color w:val="auto"/>
              </w:rPr>
            </w:pPr>
            <w:r>
              <w:rPr>
                <w:rFonts w:ascii="Arial" w:cs="Arial" w:eastAsia="Arial" w:hAnsi="Arial"/>
                <w:sz w:val="12"/>
                <w:szCs w:val="12"/>
                <w:b w:val="1"/>
                <w:bCs w:val="1"/>
                <w:color w:val="auto"/>
              </w:rPr>
              <w:t>December 31,</w:t>
            </w: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spacing w:after="0" w:line="112"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24,774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33,108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25,021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Current portion of deferred contract costs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63,845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36,107</w:t>
            </w:r>
          </w:p>
        </w:tc>
        <w:tc>
          <w:tcPr>
            <w:tcW w:w="0" w:type="dxa"/>
            <w:vAlign w:val="bottom"/>
          </w:tcPr>
          <w:p>
            <w:pPr>
              <w:spacing w:after="0"/>
              <w:rPr>
                <w:sz w:val="1"/>
                <w:szCs w:val="1"/>
                <w:color w:val="auto"/>
              </w:rPr>
            </w:pPr>
          </w:p>
        </w:tc>
      </w:tr>
      <w:tr>
        <w:trPr>
          <w:trHeight w:val="303"/>
        </w:trPr>
        <w:tc>
          <w:tcPr>
            <w:tcW w:w="82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3,248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5,952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Intangible assets, net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410,237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446,381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1,261,444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1,745,359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1,721,154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2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Liabilities and Members’ Capital</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26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17,321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distribution payable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Current portion of deferred revenue</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61,060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45,977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term loan</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current liabilities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88,723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69,917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Long term liabilities: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Term Loan, net of current portion</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457,197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434,849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549,796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26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Members’ capital:</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tcPr>
          <w:p>
            <w:pPr>
              <w:ind w:left="320"/>
              <w:spacing w:after="0" w:line="190" w:lineRule="exact"/>
              <w:rPr>
                <w:sz w:val="20"/>
                <w:szCs w:val="20"/>
                <w:color w:val="auto"/>
              </w:rPr>
            </w:pPr>
            <w:r>
              <w:rPr>
                <w:rFonts w:ascii="Arial" w:cs="Arial" w:eastAsia="Arial" w:hAnsi="Arial"/>
                <w:sz w:val="17"/>
                <w:szCs w:val="17"/>
                <w:color w:val="auto"/>
                <w:w w:val="92"/>
              </w:rPr>
              <w:t>Class A units, 130,245,990 and 127,125,435 units authorized, issued and outstanding at December 31, 2020 and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rPr>
              <w:t>2019, respectively</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1,303,058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1,271,254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4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w w:val="92"/>
              </w:rPr>
              <w:t>Class B units, 8,088,877 units authorized at December 31, 2020 and 2019; 3,720,063 and 3,799,364 units issued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2"/>
              </w:rPr>
              <w:t>at December 31, 2020 and 2019, respectively; and 474,920 and 0 units outstanding at December 31, 2020 and</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2019, respectively</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(109,855)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(55,758)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members’ capital</w:t>
            </w: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1,195,563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1,216,240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members’ capital</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1,745,359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1,721,154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800"/>
          </w:cols>
          <w:pgMar w:left="320" w:top="466" w:right="77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(LOSS) INCOME</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unit and per unit data)</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gridSpan w:val="5"/>
            <w:vMerge w:val="restart"/>
          </w:tcPr>
          <w:p>
            <w:pPr>
              <w:jc w:val="right"/>
              <w:ind w:right="840"/>
              <w:spacing w:after="0"/>
              <w:rPr>
                <w:sz w:val="20"/>
                <w:szCs w:val="20"/>
                <w:color w:val="auto"/>
              </w:rPr>
            </w:pPr>
            <w:r>
              <w:rPr>
                <w:rFonts w:ascii="Arial" w:cs="Arial" w:eastAsia="Arial" w:hAnsi="Arial"/>
                <w:sz w:val="13"/>
                <w:szCs w:val="13"/>
                <w:b w:val="1"/>
                <w:bCs w:val="1"/>
                <w:color w:val="auto"/>
              </w:rPr>
              <w:t>Successor Company</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6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gridSpan w:val="5"/>
            <w:vMerge w:val="continue"/>
          </w:tcPr>
          <w:p>
            <w:pPr>
              <w:spacing w:after="0"/>
              <w:rPr>
                <w:sz w:val="10"/>
                <w:szCs w:val="10"/>
                <w:color w:val="auto"/>
              </w:rPr>
            </w:pPr>
          </w:p>
        </w:tc>
        <w:tc>
          <w:tcPr>
            <w:tcW w:w="7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7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2"/>
        </w:trPr>
        <w:tc>
          <w:tcPr>
            <w:tcW w:w="60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95"/>
              </w:rPr>
              <w:t>Year Ended</w:t>
            </w: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rPr>
              <w:t>Period from</w:t>
            </w:r>
          </w:p>
        </w:tc>
        <w:tc>
          <w:tcPr>
            <w:tcW w:w="280" w:type="dxa"/>
            <w:vAlign w:val="bottom"/>
          </w:tcPr>
          <w:p>
            <w:pPr>
              <w:spacing w:after="0"/>
              <w:rPr>
                <w:sz w:val="9"/>
                <w:szCs w:val="9"/>
                <w:color w:val="auto"/>
              </w:rPr>
            </w:pPr>
          </w:p>
        </w:tc>
        <w:tc>
          <w:tcPr>
            <w:tcW w:w="720" w:type="dxa"/>
            <w:vAlign w:val="bottom"/>
            <w:tcBorders>
              <w:left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0"/>
              <w:spacing w:after="0" w:line="112" w:lineRule="exact"/>
              <w:rPr>
                <w:sz w:val="20"/>
                <w:szCs w:val="20"/>
                <w:color w:val="auto"/>
              </w:rPr>
            </w:pPr>
            <w:r>
              <w:rPr>
                <w:rFonts w:ascii="Arial" w:cs="Arial" w:eastAsia="Arial" w:hAnsi="Arial"/>
                <w:sz w:val="12"/>
                <w:szCs w:val="12"/>
                <w:b w:val="1"/>
                <w:bCs w:val="1"/>
                <w:color w:val="auto"/>
              </w:rPr>
              <w:t>Period from</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July 16, 2019 to</w:t>
            </w:r>
          </w:p>
        </w:tc>
        <w:tc>
          <w:tcPr>
            <w:tcW w:w="7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6"/>
              </w:rPr>
              <w:t>January 1,</w:t>
            </w:r>
          </w:p>
        </w:tc>
        <w:tc>
          <w:tcPr>
            <w:tcW w:w="0" w:type="dxa"/>
            <w:vAlign w:val="bottom"/>
          </w:tcPr>
          <w:p>
            <w:pPr>
              <w:spacing w:after="0"/>
              <w:rPr>
                <w:sz w:val="1"/>
                <w:szCs w:val="1"/>
                <w:color w:val="auto"/>
              </w:rPr>
            </w:pPr>
          </w:p>
        </w:tc>
      </w:tr>
      <w:tr>
        <w:trPr>
          <w:trHeight w:val="139"/>
        </w:trPr>
        <w:tc>
          <w:tcPr>
            <w:tcW w:w="6060" w:type="dxa"/>
            <w:vAlign w:val="bottom"/>
          </w:tcPr>
          <w:p>
            <w:pPr>
              <w:spacing w:after="0"/>
              <w:rPr>
                <w:sz w:val="12"/>
                <w:szCs w:val="12"/>
                <w:color w:val="auto"/>
              </w:rPr>
            </w:pPr>
          </w:p>
        </w:tc>
        <w:tc>
          <w:tcPr>
            <w:tcW w:w="1320" w:type="dxa"/>
            <w:vAlign w:val="bottom"/>
            <w:gridSpan w:val="3"/>
          </w:tcPr>
          <w:p>
            <w:pPr>
              <w:jc w:val="center"/>
              <w:ind w:right="38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1220" w:type="dxa"/>
            <w:vAlign w:val="bottom"/>
            <w:gridSpan w:val="3"/>
          </w:tcPr>
          <w:p>
            <w:pPr>
              <w:jc w:val="center"/>
              <w:ind w:right="28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720" w:type="dxa"/>
            <w:vAlign w:val="bottom"/>
            <w:tcBorders>
              <w:left w:val="single" w:sz="8" w:color="auto"/>
            </w:tcBorders>
          </w:tcPr>
          <w:p>
            <w:pPr>
              <w:spacing w:after="0"/>
              <w:rPr>
                <w:sz w:val="12"/>
                <w:szCs w:val="12"/>
                <w:color w:val="auto"/>
              </w:rPr>
            </w:pPr>
          </w:p>
        </w:tc>
        <w:tc>
          <w:tcPr>
            <w:tcW w:w="10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3"/>
              </w:rPr>
              <w:t>2019 to July 15,</w:t>
            </w:r>
          </w:p>
        </w:tc>
        <w:tc>
          <w:tcPr>
            <w:tcW w:w="0" w:type="dxa"/>
            <w:vAlign w:val="bottom"/>
          </w:tcPr>
          <w:p>
            <w:pPr>
              <w:spacing w:after="0"/>
              <w:rPr>
                <w:sz w:val="1"/>
                <w:szCs w:val="1"/>
                <w:color w:val="auto"/>
              </w:rPr>
            </w:pPr>
          </w:p>
        </w:tc>
      </w:tr>
      <w:tr>
        <w:trPr>
          <w:trHeight w:val="160"/>
        </w:trPr>
        <w:tc>
          <w:tcPr>
            <w:tcW w:w="60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2020</w:t>
            </w: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80" w:type="dxa"/>
            <w:vAlign w:val="bottom"/>
            <w:tcBorders>
              <w:bottom w:val="single" w:sz="8" w:color="CCEEFF"/>
            </w:tcBorders>
          </w:tcPr>
          <w:p>
            <w:pPr>
              <w:spacing w:after="0"/>
              <w:rPr>
                <w:sz w:val="13"/>
                <w:szCs w:val="13"/>
                <w:color w:val="auto"/>
              </w:rPr>
            </w:pPr>
          </w:p>
        </w:tc>
        <w:tc>
          <w:tcPr>
            <w:tcW w:w="720" w:type="dxa"/>
            <w:vAlign w:val="bottom"/>
            <w:tcBorders>
              <w:left w:val="single" w:sz="8" w:color="auto"/>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80" w:type="dxa"/>
            <w:vAlign w:val="bottom"/>
            <w:shd w:val="clear" w:color="auto" w:fill="CCEEFF"/>
          </w:tcPr>
          <w:p>
            <w:pPr>
              <w:spacing w:after="0"/>
              <w:rPr>
                <w:sz w:val="16"/>
                <w:szCs w:val="16"/>
                <w:color w:val="auto"/>
              </w:rPr>
            </w:pPr>
          </w:p>
        </w:tc>
        <w:tc>
          <w:tcPr>
            <w:tcW w:w="72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 exclusive of amortization shown below</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11,085</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4,668</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4,830</w:t>
            </w: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00" w:type="dxa"/>
            <w:vAlign w:val="bottom"/>
          </w:tcPr>
          <w:p>
            <w:pPr>
              <w:spacing w:after="0"/>
              <w:rPr>
                <w:sz w:val="17"/>
                <w:szCs w:val="17"/>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color w:val="auto"/>
              </w:rPr>
              <w:t>19,383</w:t>
            </w:r>
          </w:p>
        </w:tc>
        <w:tc>
          <w:tcPr>
            <w:tcW w:w="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8,614</w:t>
            </w: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87,849</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26,763</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8"/>
        </w:trPr>
        <w:tc>
          <w:tcPr>
            <w:tcW w:w="606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lef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34,332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10,814</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Product development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11,062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3,484</w:t>
            </w: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3,961</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12,927</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6,365</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3,979</w:t>
            </w: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color w:val="auto"/>
              </w:rPr>
              <w:t>40,197</w:t>
            </w:r>
          </w:p>
        </w:tc>
        <w:tc>
          <w:tcPr>
            <w:tcW w:w="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22,459</w:t>
            </w: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1,967</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expenses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3,776</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14,703</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color w:val="auto"/>
              </w:rPr>
              <w:t>102,294</w:t>
            </w: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57,825</w:t>
            </w:r>
          </w:p>
        </w:tc>
        <w:tc>
          <w:tcPr>
            <w:tcW w:w="7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27,097</w:t>
            </w:r>
          </w:p>
        </w:tc>
        <w:tc>
          <w:tcPr>
            <w:tcW w:w="0" w:type="dxa"/>
            <w:vAlign w:val="bottom"/>
          </w:tcPr>
          <w:p>
            <w:pPr>
              <w:spacing w:after="0"/>
              <w:rPr>
                <w:sz w:val="1"/>
                <w:szCs w:val="1"/>
                <w:color w:val="auto"/>
              </w:rPr>
            </w:pPr>
          </w:p>
        </w:tc>
      </w:tr>
      <w:tr>
        <w:trPr>
          <w:trHeight w:val="26"/>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(Loss) income from operations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(14,445)</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(31,062)</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7"/>
                <w:szCs w:val="17"/>
                <w:color w:val="auto"/>
              </w:rPr>
              <w:t>Other expense, net: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transaction loss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(36,490)</w:t>
            </w: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(18,204)</w:t>
            </w:r>
          </w:p>
        </w:tc>
        <w:tc>
          <w:tcPr>
            <w:tcW w:w="7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other expense, net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(36,712)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(18,204)</w:t>
            </w: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tcPr>
          <w:p>
            <w:pPr>
              <w:ind w:left="1020"/>
              <w:spacing w:after="0"/>
              <w:rPr>
                <w:sz w:val="20"/>
                <w:szCs w:val="20"/>
                <w:color w:val="auto"/>
              </w:rPr>
            </w:pPr>
            <w:r>
              <w:rPr>
                <w:rFonts w:ascii="Arial" w:cs="Arial" w:eastAsia="Arial" w:hAnsi="Arial"/>
                <w:sz w:val="17"/>
                <w:szCs w:val="17"/>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(51,157)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(49,266)</w:t>
            </w:r>
          </w:p>
        </w:tc>
        <w:tc>
          <w:tcPr>
            <w:tcW w:w="82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per unit: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(0.40)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(0.39)</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units outstanding:</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127,682,376</w:t>
            </w:r>
          </w:p>
        </w:tc>
        <w:tc>
          <w:tcPr>
            <w:tcW w:w="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126,794,329</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800"/>
          </w:cols>
          <w:pgMar w:left="320" w:top="465" w:right="77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gridSpan w:val="6"/>
            <w:vMerge w:val="restart"/>
          </w:tcPr>
          <w:p>
            <w:pPr>
              <w:ind w:left="280"/>
              <w:spacing w:after="0"/>
              <w:rPr>
                <w:sz w:val="20"/>
                <w:szCs w:val="20"/>
                <w:color w:val="auto"/>
              </w:rPr>
            </w:pPr>
            <w:r>
              <w:rPr>
                <w:rFonts w:ascii="Arial" w:cs="Arial" w:eastAsia="Arial" w:hAnsi="Arial"/>
                <w:sz w:val="13"/>
                <w:szCs w:val="13"/>
                <w:b w:val="1"/>
                <w:bCs w:val="1"/>
                <w:color w:val="auto"/>
              </w:rPr>
              <w:t>Successor Company</w:t>
            </w:r>
          </w:p>
        </w:tc>
        <w:tc>
          <w:tcPr>
            <w:tcW w:w="28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6"/>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7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60" w:type="dxa"/>
            <w:vAlign w:val="bottom"/>
            <w:tcBorders>
              <w:lef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4"/>
              </w:rPr>
              <w:t>Company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4"/>
            <w:vMerge w:val="restart"/>
          </w:tcPr>
          <w:p>
            <w:pPr>
              <w:jc w:val="right"/>
              <w:ind w:right="260"/>
              <w:spacing w:after="0"/>
              <w:rPr>
                <w:sz w:val="20"/>
                <w:szCs w:val="20"/>
                <w:color w:val="auto"/>
              </w:rPr>
            </w:pPr>
            <w:r>
              <w:rPr>
                <w:rFonts w:ascii="Arial" w:cs="Arial" w:eastAsia="Arial" w:hAnsi="Arial"/>
                <w:sz w:val="13"/>
                <w:szCs w:val="13"/>
                <w:b w:val="1"/>
                <w:bCs w:val="1"/>
                <w:color w:val="auto"/>
                <w:w w:val="97"/>
              </w:rPr>
              <w:t>Year Ended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3"/>
              <w:spacing w:after="0" w:line="112" w:lineRule="exact"/>
              <w:rPr>
                <w:sz w:val="20"/>
                <w:szCs w:val="20"/>
                <w:color w:val="auto"/>
              </w:rPr>
            </w:pPr>
            <w:r>
              <w:rPr>
                <w:rFonts w:ascii="Arial" w:cs="Arial" w:eastAsia="Arial" w:hAnsi="Arial"/>
                <w:sz w:val="12"/>
                <w:szCs w:val="12"/>
                <w:b w:val="1"/>
                <w:bCs w:val="1"/>
                <w:color w:val="auto"/>
              </w:rPr>
              <w:t>Period from</w:t>
            </w:r>
          </w:p>
        </w:tc>
        <w:tc>
          <w:tcPr>
            <w:tcW w:w="280" w:type="dxa"/>
            <w:vAlign w:val="bottom"/>
          </w:tcPr>
          <w:p>
            <w:pPr>
              <w:spacing w:after="0"/>
              <w:rPr>
                <w:sz w:val="9"/>
                <w:szCs w:val="9"/>
                <w:color w:val="auto"/>
              </w:rPr>
            </w:pPr>
          </w:p>
        </w:tc>
        <w:tc>
          <w:tcPr>
            <w:tcW w:w="76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39"/>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26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7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2"/>
                <w:szCs w:val="12"/>
                <w:color w:val="auto"/>
              </w:rPr>
            </w:pPr>
          </w:p>
        </w:tc>
        <w:tc>
          <w:tcPr>
            <w:tcW w:w="1200" w:type="dxa"/>
            <w:vAlign w:val="bottom"/>
            <w:gridSpan w:val="3"/>
          </w:tcPr>
          <w:p>
            <w:pPr>
              <w:jc w:val="center"/>
              <w:ind w:right="280"/>
              <w:spacing w:after="0" w:line="139" w:lineRule="exact"/>
              <w:rPr>
                <w:sz w:val="20"/>
                <w:szCs w:val="20"/>
                <w:color w:val="auto"/>
              </w:rPr>
            </w:pPr>
            <w:r>
              <w:rPr>
                <w:rFonts w:ascii="Arial" w:cs="Arial" w:eastAsia="Arial" w:hAnsi="Arial"/>
                <w:sz w:val="13"/>
                <w:szCs w:val="13"/>
                <w:b w:val="1"/>
                <w:bCs w:val="1"/>
                <w:color w:val="auto"/>
                <w:w w:val="94"/>
              </w:rPr>
              <w:t>December 31,</w:t>
            </w:r>
          </w:p>
        </w:tc>
        <w:tc>
          <w:tcPr>
            <w:tcW w:w="760" w:type="dxa"/>
            <w:vAlign w:val="bottom"/>
            <w:tcBorders>
              <w:left w:val="single" w:sz="8" w:color="auto"/>
            </w:tcBorders>
          </w:tcPr>
          <w:p>
            <w:pPr>
              <w:spacing w:after="0"/>
              <w:rPr>
                <w:sz w:val="12"/>
                <w:szCs w:val="12"/>
                <w:color w:val="auto"/>
              </w:rPr>
            </w:pPr>
          </w:p>
        </w:tc>
        <w:tc>
          <w:tcPr>
            <w:tcW w:w="98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4"/>
              </w:rPr>
              <w:t>January 1, 2019</w:t>
            </w:r>
          </w:p>
        </w:tc>
        <w:tc>
          <w:tcPr>
            <w:tcW w:w="0" w:type="dxa"/>
            <w:vAlign w:val="bottom"/>
          </w:tcPr>
          <w:p>
            <w:pPr>
              <w:spacing w:after="0"/>
              <w:rPr>
                <w:sz w:val="1"/>
                <w:szCs w:val="1"/>
                <w:color w:val="auto"/>
              </w:rPr>
            </w:pPr>
          </w:p>
        </w:tc>
      </w:tr>
      <w:tr>
        <w:trPr>
          <w:trHeight w:val="160"/>
        </w:trPr>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2"/>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3"/>
              <w:spacing w:after="0"/>
              <w:rPr>
                <w:sz w:val="20"/>
                <w:szCs w:val="20"/>
                <w:color w:val="auto"/>
              </w:rPr>
            </w:pPr>
            <w:r>
              <w:rPr>
                <w:rFonts w:ascii="Arial" w:cs="Arial" w:eastAsia="Arial" w:hAnsi="Arial"/>
                <w:sz w:val="13"/>
                <w:szCs w:val="13"/>
                <w:b w:val="1"/>
                <w:bCs w:val="1"/>
                <w:color w:val="auto"/>
                <w:w w:val="96"/>
              </w:rPr>
              <w:t>2019</w:t>
            </w:r>
          </w:p>
        </w:tc>
        <w:tc>
          <w:tcPr>
            <w:tcW w:w="280" w:type="dxa"/>
            <w:vAlign w:val="bottom"/>
          </w:tcPr>
          <w:p>
            <w:pPr>
              <w:spacing w:after="0"/>
              <w:rPr>
                <w:sz w:val="13"/>
                <w:szCs w:val="13"/>
                <w:color w:val="auto"/>
              </w:rPr>
            </w:pPr>
          </w:p>
        </w:tc>
        <w:tc>
          <w:tcPr>
            <w:tcW w:w="760" w:type="dxa"/>
            <w:vAlign w:val="bottom"/>
            <w:tcBorders>
              <w:left w:val="single" w:sz="8" w:color="auto"/>
            </w:tcBorders>
          </w:tcPr>
          <w:p>
            <w:pPr>
              <w:spacing w:after="0"/>
              <w:rPr>
                <w:sz w:val="13"/>
                <w:szCs w:val="13"/>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to July 15, 2019</w:t>
            </w:r>
          </w:p>
        </w:tc>
        <w:tc>
          <w:tcPr>
            <w:tcW w:w="0" w:type="dxa"/>
            <w:vAlign w:val="bottom"/>
          </w:tcPr>
          <w:p>
            <w:pPr>
              <w:spacing w:after="0"/>
              <w:rPr>
                <w:sz w:val="1"/>
                <w:szCs w:val="1"/>
                <w:color w:val="auto"/>
              </w:rPr>
            </w:pPr>
          </w:p>
        </w:tc>
      </w:tr>
      <w:tr>
        <w:trPr>
          <w:trHeight w:val="195"/>
        </w:trPr>
        <w:tc>
          <w:tcPr>
            <w:tcW w:w="62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(loss) income</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(51,157)</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78"/>
              </w:rPr>
              <w:t>(49,266)</w:t>
            </w: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left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6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80"/>
              <w:spacing w:after="0"/>
              <w:rPr>
                <w:sz w:val="20"/>
                <w:szCs w:val="20"/>
                <w:color w:val="auto"/>
              </w:rPr>
            </w:pPr>
            <w:r>
              <w:rPr>
                <w:rFonts w:ascii="Arial" w:cs="Arial" w:eastAsia="Arial" w:hAnsi="Arial"/>
                <w:sz w:val="17"/>
                <w:szCs w:val="17"/>
                <w:color w:val="auto"/>
              </w:rPr>
              <w:t>Comprehensive (loss) income</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40" w:type="dxa"/>
            <w:vAlign w:val="bottom"/>
            <w:vMerge w:val="continue"/>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(51,288)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300"/>
              <w:spacing w:after="0"/>
              <w:rPr>
                <w:sz w:val="20"/>
                <w:szCs w:val="20"/>
                <w:color w:val="auto"/>
              </w:rPr>
            </w:pPr>
            <w:r>
              <w:rPr>
                <w:rFonts w:ascii="Arial" w:cs="Arial" w:eastAsia="Arial" w:hAnsi="Arial"/>
                <w:sz w:val="17"/>
                <w:szCs w:val="17"/>
                <w:color w:val="auto"/>
              </w:rPr>
              <w:t>(49,266)</w:t>
            </w:r>
          </w:p>
        </w:tc>
        <w:tc>
          <w:tcPr>
            <w:tcW w:w="86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800"/>
          </w:cols>
          <w:pgMar w:left="320" w:top="465" w:right="77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CHANGES IN MEMBERS’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number of units)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Legacy</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Legacy</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Retained</w:t>
            </w:r>
          </w:p>
        </w:tc>
        <w:tc>
          <w:tcPr>
            <w:tcW w:w="40" w:type="dxa"/>
            <w:vAlign w:val="bottom"/>
          </w:tcPr>
          <w:p>
            <w:pPr>
              <w:spacing w:after="0"/>
              <w:rPr>
                <w:sz w:val="13"/>
                <w:szCs w:val="13"/>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Class A</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Class B</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Earnings</w:t>
            </w:r>
          </w:p>
        </w:tc>
        <w:tc>
          <w:tcPr>
            <w:tcW w:w="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87"/>
              </w:rPr>
              <w:t>Class A</w:t>
            </w:r>
          </w:p>
        </w:tc>
        <w:tc>
          <w:tcPr>
            <w:tcW w:w="6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jc w:val="right"/>
              <w:ind w:right="180"/>
              <w:spacing w:after="0" w:line="139" w:lineRule="exact"/>
              <w:rPr>
                <w:sz w:val="20"/>
                <w:szCs w:val="20"/>
                <w:color w:val="auto"/>
              </w:rPr>
            </w:pPr>
            <w:r>
              <w:rPr>
                <w:rFonts w:ascii="Arial" w:cs="Arial" w:eastAsia="Arial" w:hAnsi="Arial"/>
                <w:sz w:val="13"/>
                <w:szCs w:val="13"/>
                <w:b w:val="1"/>
                <w:bCs w:val="1"/>
                <w:color w:val="auto"/>
              </w:rPr>
              <w:t>Class B</w:t>
            </w:r>
          </w:p>
        </w:tc>
        <w:tc>
          <w:tcPr>
            <w:tcW w:w="40" w:type="dxa"/>
            <w:vAlign w:val="bottom"/>
          </w:tcPr>
          <w:p>
            <w:pPr>
              <w:spacing w:after="0"/>
              <w:rPr>
                <w:sz w:val="12"/>
                <w:szCs w:val="12"/>
                <w:color w:val="auto"/>
              </w:rPr>
            </w:pPr>
          </w:p>
        </w:tc>
        <w:tc>
          <w:tcPr>
            <w:tcW w:w="4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39" w:lineRule="exact"/>
              <w:rPr>
                <w:sz w:val="20"/>
                <w:szCs w:val="20"/>
                <w:color w:val="auto"/>
              </w:rPr>
            </w:pPr>
            <w:r>
              <w:rPr>
                <w:rFonts w:ascii="Arial" w:cs="Arial" w:eastAsia="Arial" w:hAnsi="Arial"/>
                <w:sz w:val="13"/>
                <w:szCs w:val="13"/>
                <w:b w:val="1"/>
                <w:bCs w:val="1"/>
                <w:color w:val="auto"/>
                <w:w w:val="96"/>
              </w:rPr>
              <w:t>Paid-in</w:t>
            </w:r>
          </w:p>
        </w:tc>
        <w:tc>
          <w:tcPr>
            <w:tcW w:w="9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2"/>
                <w:szCs w:val="12"/>
                <w:color w:val="auto"/>
              </w:rPr>
            </w:pPr>
          </w:p>
        </w:tc>
        <w:tc>
          <w:tcPr>
            <w:tcW w:w="10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Units</w:t>
            </w: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Units</w:t>
            </w:r>
          </w:p>
        </w:tc>
        <w:tc>
          <w:tcPr>
            <w:tcW w:w="680" w:type="dxa"/>
            <w:vAlign w:val="bottom"/>
            <w:gridSpan w:val="3"/>
            <w:vMerge w:val="continue"/>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Units</w:t>
            </w:r>
          </w:p>
        </w:tc>
        <w:tc>
          <w:tcPr>
            <w:tcW w:w="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Deficit)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2018</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(Predecessor)</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7,750,000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77,500</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88,716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(42,598)</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38,925</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73,827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Net income</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12,868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12,868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Adoption of ASC</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606 (See Note</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Unit-based</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5,807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members</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w w:val="92"/>
              </w:rPr>
              <w:t>Vesting of Class B</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Units</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180,137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July 15, 2019</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(Predecessor)</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7,750,000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77,500</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268,853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(31,844)</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51,793</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80" w:type="dxa"/>
            <w:vAlign w:val="bottom"/>
            <w:gridSpan w:val="2"/>
          </w:tcPr>
          <w:p>
            <w:pPr>
              <w:spacing w:after="0"/>
              <w:rPr>
                <w:sz w:val="20"/>
                <w:szCs w:val="20"/>
                <w:color w:val="auto"/>
              </w:rPr>
            </w:pPr>
            <w:r>
              <w:rPr>
                <w:rFonts w:ascii="Arial" w:cs="Arial" w:eastAsia="Arial" w:hAnsi="Arial"/>
                <w:sz w:val="15"/>
                <w:szCs w:val="15"/>
                <w:color w:val="auto"/>
              </w:rPr>
              <w:t>Recapitalization</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(See Note 12)</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(7,750,000)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(77,500)</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(268,853)</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31,844</w:t>
            </w:r>
          </w:p>
        </w:tc>
        <w:tc>
          <w:tcPr>
            <w:tcW w:w="1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(51,793)</w:t>
            </w:r>
          </w:p>
        </w:tc>
        <w:tc>
          <w:tcPr>
            <w:tcW w:w="2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(97,449)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Capital</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contribution</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3"/>
              </w:rPr>
              <w:t>(See Note 3 and</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126,725,743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1,267,257</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1,267,257</w:t>
            </w:r>
          </w:p>
        </w:tc>
        <w:tc>
          <w:tcPr>
            <w:tcW w:w="0" w:type="dxa"/>
            <w:vAlign w:val="bottom"/>
          </w:tcPr>
          <w:p>
            <w:pPr>
              <w:spacing w:after="0"/>
              <w:rPr>
                <w:sz w:val="1"/>
                <w:szCs w:val="1"/>
                <w:color w:val="auto"/>
              </w:rPr>
            </w:pPr>
          </w:p>
        </w:tc>
      </w:tr>
      <w:tr>
        <w:trPr>
          <w:trHeight w:val="187"/>
        </w:trPr>
        <w:tc>
          <w:tcPr>
            <w:tcW w:w="1180" w:type="dxa"/>
            <w:vAlign w:val="bottom"/>
            <w:gridSpan w:val="2"/>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July 16, 2019</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(Successor)</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126,725,743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1,267,257</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w w:val="86"/>
              </w:rPr>
              <w:t>1,267,257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(49,266)</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(49,266)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Distribution to</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members</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(6,492)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(6,492)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Unit-based</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87"/>
              </w:rPr>
              <w:t>744</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contributions</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399,692</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3,997</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3,997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2019</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(Successor)</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127,125,435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1,271,254</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87"/>
              </w:rPr>
              <w:t>744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(55,758)</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1,216,240</w:t>
            </w: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gridSpan w:val="2"/>
            <w:vMerge w:val="continue"/>
          </w:tcPr>
          <w:p>
            <w:pPr>
              <w:spacing w:after="0"/>
              <w:rPr>
                <w:sz w:val="16"/>
                <w:szCs w:val="16"/>
                <w:color w:val="auto"/>
              </w:rPr>
            </w:pPr>
          </w:p>
        </w:tc>
        <w:tc>
          <w:tcPr>
            <w:tcW w:w="800" w:type="dxa"/>
            <w:vAlign w:val="bottom"/>
          </w:tcPr>
          <w:p>
            <w:pPr>
              <w:ind w:left="5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3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(51,157)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(51,157)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members</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(2,940)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contributions</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3,120,555</w:t>
            </w: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31,804</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31,804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w w:val="92"/>
              </w:rPr>
              <w:t>Vesting of Class B</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Units and unit-</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based</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474,920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0"/>
              </w:rPr>
              <w:t>1,747</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Comprehensive</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loss</w:t>
            </w:r>
          </w:p>
        </w:tc>
        <w:tc>
          <w:tcPr>
            <w:tcW w:w="8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420"/>
              <w:spacing w:after="0"/>
              <w:rPr>
                <w:sz w:val="20"/>
                <w:szCs w:val="20"/>
                <w:color w:val="auto"/>
              </w:rPr>
            </w:pPr>
            <w:r>
              <w:rPr>
                <w:rFonts w:ascii="Arial" w:cs="Arial" w:eastAsia="Arial" w:hAnsi="Arial"/>
                <w:sz w:val="15"/>
                <w:szCs w:val="15"/>
                <w:color w:val="auto"/>
              </w:rPr>
              <w:t>(131)</w:t>
            </w: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2020</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(Successor)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130,245,990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1,303,058</w:t>
            </w:r>
          </w:p>
        </w:tc>
        <w:tc>
          <w:tcPr>
            <w:tcW w:w="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474,920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0"/>
              </w:rPr>
              <w:t>2,491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(109,855)</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(131)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1,195,563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800"/>
          </w:cols>
          <w:pgMar w:left="320" w:top="466" w:right="77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7" w:lineRule="exact"/>
        <w:rPr>
          <w:sz w:val="20"/>
          <w:szCs w:val="20"/>
          <w:color w:val="auto"/>
        </w:rPr>
      </w:pPr>
    </w:p>
    <w:p>
      <w:pPr>
        <w:jc w:val="center"/>
        <w:ind w:right="-439"/>
        <w:spacing w:after="0"/>
        <w:rPr>
          <w:sz w:val="20"/>
          <w:szCs w:val="20"/>
          <w:color w:val="auto"/>
        </w:rPr>
      </w:pPr>
      <w:r>
        <w:rPr>
          <w:rFonts w:ascii="Arial" w:cs="Arial" w:eastAsia="Arial" w:hAnsi="Arial"/>
          <w:sz w:val="13"/>
          <w:szCs w:val="13"/>
          <w:i w:val="1"/>
          <w:iCs w:val="1"/>
          <w:color w:val="auto"/>
        </w:rPr>
        <w:t>(amounts in thousands)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gridSpan w:val="5"/>
            <w:vMerge w:val="restart"/>
          </w:tcPr>
          <w:p>
            <w:pPr>
              <w:jc w:val="right"/>
              <w:ind w:right="377"/>
              <w:spacing w:after="0"/>
              <w:rPr>
                <w:sz w:val="20"/>
                <w:szCs w:val="20"/>
                <w:color w:val="auto"/>
              </w:rPr>
            </w:pPr>
            <w:r>
              <w:rPr>
                <w:rFonts w:ascii="Arial" w:cs="Arial" w:eastAsia="Arial" w:hAnsi="Arial"/>
                <w:sz w:val="13"/>
                <w:szCs w:val="13"/>
                <w:b w:val="1"/>
                <w:bCs w:val="1"/>
                <w:color w:val="auto"/>
              </w:rPr>
              <w:t>Successor Company</w:t>
            </w:r>
          </w:p>
        </w:tc>
        <w:tc>
          <w:tcPr>
            <w:tcW w:w="20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4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60" w:type="dxa"/>
            <w:vAlign w:val="bottom"/>
            <w:tcBorders>
              <w:lef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4"/>
              </w:rPr>
              <w:t>Company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00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w w:val="97"/>
              </w:rPr>
              <w:t>Year Ended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17"/>
              <w:spacing w:after="0" w:line="112"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46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July 16, 2019 to</w:t>
            </w:r>
          </w:p>
        </w:tc>
        <w:tc>
          <w:tcPr>
            <w:tcW w:w="4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2"/>
                <w:szCs w:val="12"/>
                <w:color w:val="auto"/>
              </w:rPr>
            </w:pPr>
          </w:p>
        </w:tc>
        <w:tc>
          <w:tcPr>
            <w:tcW w:w="110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460" w:type="dxa"/>
            <w:vAlign w:val="bottom"/>
            <w:tcBorders>
              <w:left w:val="single" w:sz="8" w:color="auto"/>
            </w:tcBorders>
          </w:tcPr>
          <w:p>
            <w:pPr>
              <w:spacing w:after="0"/>
              <w:rPr>
                <w:sz w:val="12"/>
                <w:szCs w:val="12"/>
                <w:color w:val="auto"/>
              </w:rPr>
            </w:pPr>
          </w:p>
        </w:tc>
        <w:tc>
          <w:tcPr>
            <w:tcW w:w="118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3"/>
              </w:rPr>
              <w:t>January 1, 2019 to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Pr>
          <w:p>
            <w:pPr>
              <w:spacing w:after="0"/>
              <w:rPr>
                <w:sz w:val="13"/>
                <w:szCs w:val="13"/>
                <w:color w:val="auto"/>
              </w:rPr>
            </w:pPr>
          </w:p>
        </w:tc>
        <w:tc>
          <w:tcPr>
            <w:tcW w:w="46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provided by (used in) operating activities:</w:t>
            </w: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left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Net (loss) income</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(51,157)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(49,266)</w:t>
            </w:r>
          </w:p>
        </w:tc>
        <w:tc>
          <w:tcPr>
            <w:tcW w:w="58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9"/>
              </w:rPr>
              <w:t>Adjustments to reconcile net (loss) income to net cash provided by (used in) operating</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tcBorders>
              <w:lef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456</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58,429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30,617</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Amortization of deferred contract costs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1,671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189</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Unit-based compensation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744</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Noncash paid in kind interest expense</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7,371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3,041</w:t>
            </w: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Changes in fair value of contingent consideration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2,636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Provision for doubtful accounts receivable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333</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(12,494)</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Deferred contract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(3,075)</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0"/>
              <w:spacing w:after="0"/>
              <w:rPr>
                <w:sz w:val="20"/>
                <w:szCs w:val="20"/>
                <w:color w:val="auto"/>
              </w:rPr>
            </w:pPr>
            <w:r>
              <w:rPr>
                <w:rFonts w:ascii="Arial" w:cs="Arial" w:eastAsia="Arial" w:hAnsi="Arial"/>
                <w:sz w:val="17"/>
                <w:szCs w:val="17"/>
                <w:color w:val="auto"/>
              </w:rPr>
              <w:t>Accounts payable, accrued expenses and other current liabilities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2,996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7,396</w:t>
            </w: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13,805</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4,776</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23,217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(7,133)</w:t>
            </w:r>
          </w:p>
        </w:tc>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(1,171)</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Acquisitions, net of cash acquired</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(1,108,197)</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(23,862)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(1,109,368)</w:t>
            </w:r>
          </w:p>
        </w:tc>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provided by (used in)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Proceeds from Term Loan</w:t>
            </w:r>
          </w:p>
        </w:tc>
        <w:tc>
          <w:tcPr>
            <w:tcW w:w="16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450,000</w:t>
            </w: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Delayed Draw Term Loan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Proceeds from Revolving Line of Credit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Repayments on Term Loan and Delayed Draw Term Loan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(1,125)</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Repayments on Revolving Line of Credit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 of debt issuance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(14,255)</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Members distributions</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(2,940)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(6,492)</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contributions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696,991</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40" w:type="dxa"/>
            <w:vAlign w:val="bottom"/>
            <w:gridSpan w:val="2"/>
          </w:tcPr>
          <w:p>
            <w:pPr>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16,655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1,125,119</w:t>
            </w:r>
          </w:p>
        </w:tc>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320"/>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42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24,774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8,618</w:t>
            </w:r>
          </w:p>
        </w:tc>
        <w:tc>
          <w:tcPr>
            <w:tcW w:w="200" w:type="dxa"/>
            <w:vAlign w:val="bottom"/>
          </w:tcPr>
          <w:p>
            <w:pPr>
              <w:spacing w:after="0"/>
              <w:rPr>
                <w:sz w:val="18"/>
                <w:szCs w:val="18"/>
                <w:color w:val="auto"/>
              </w:rPr>
            </w:pPr>
          </w:p>
        </w:tc>
        <w:tc>
          <w:tcPr>
            <w:tcW w:w="58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17,058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4980"/>
              <w:spacing w:after="0"/>
              <w:rPr>
                <w:sz w:val="20"/>
                <w:szCs w:val="20"/>
                <w:color w:val="auto"/>
              </w:rPr>
            </w:pPr>
            <w:r>
              <w:rPr>
                <w:rFonts w:ascii="Arial" w:cs="Arial" w:eastAsia="Arial" w:hAnsi="Arial"/>
                <w:sz w:val="17"/>
                <w:szCs w:val="17"/>
                <w:color w:val="auto"/>
              </w:rPr>
              <w:t>F-12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66" w:right="77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gridSpan w:val="5"/>
            <w:vMerge w:val="restart"/>
          </w:tcPr>
          <w:p>
            <w:pPr>
              <w:jc w:val="right"/>
              <w:ind w:right="380"/>
              <w:spacing w:after="0"/>
              <w:rPr>
                <w:sz w:val="20"/>
                <w:szCs w:val="20"/>
                <w:color w:val="auto"/>
              </w:rPr>
            </w:pPr>
            <w:r>
              <w:rPr>
                <w:rFonts w:ascii="Arial" w:cs="Arial" w:eastAsia="Arial" w:hAnsi="Arial"/>
                <w:sz w:val="13"/>
                <w:szCs w:val="13"/>
                <w:b w:val="1"/>
                <w:bCs w:val="1"/>
                <w:color w:val="auto"/>
              </w:rPr>
              <w:t>Successor Company</w:t>
            </w:r>
          </w:p>
        </w:tc>
        <w:tc>
          <w:tcPr>
            <w:tcW w:w="20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6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4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60" w:type="dxa"/>
            <w:vAlign w:val="bottom"/>
            <w:tcBorders>
              <w:lef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4"/>
              </w:rPr>
              <w:t>Company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460" w:type="dxa"/>
            <w:vAlign w:val="bottom"/>
          </w:tcPr>
          <w:p>
            <w:pPr>
              <w:spacing w:after="0"/>
              <w:rPr>
                <w:sz w:val="9"/>
                <w:szCs w:val="9"/>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46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39"/>
        </w:trPr>
        <w:tc>
          <w:tcPr>
            <w:tcW w:w="64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July 16, 2019 to</w:t>
            </w:r>
          </w:p>
        </w:tc>
        <w:tc>
          <w:tcPr>
            <w:tcW w:w="4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60" w:type="dxa"/>
            <w:vAlign w:val="bottom"/>
          </w:tcPr>
          <w:p>
            <w:pPr>
              <w:spacing w:after="0"/>
              <w:rPr>
                <w:sz w:val="12"/>
                <w:szCs w:val="12"/>
                <w:color w:val="auto"/>
              </w:rPr>
            </w:pPr>
          </w:p>
        </w:tc>
        <w:tc>
          <w:tcPr>
            <w:tcW w:w="10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2"/>
                <w:szCs w:val="12"/>
                <w:color w:val="auto"/>
              </w:rPr>
            </w:pPr>
          </w:p>
        </w:tc>
        <w:tc>
          <w:tcPr>
            <w:tcW w:w="1100" w:type="dxa"/>
            <w:vAlign w:val="bottom"/>
            <w:gridSpan w:val="3"/>
          </w:tcPr>
          <w:p>
            <w:pPr>
              <w:jc w:val="center"/>
              <w:ind w:right="20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460" w:type="dxa"/>
            <w:vAlign w:val="bottom"/>
            <w:tcBorders>
              <w:left w:val="single" w:sz="8" w:color="auto"/>
            </w:tcBorders>
          </w:tcPr>
          <w:p>
            <w:pPr>
              <w:spacing w:after="0"/>
              <w:rPr>
                <w:sz w:val="12"/>
                <w:szCs w:val="12"/>
                <w:color w:val="auto"/>
              </w:rPr>
            </w:pPr>
          </w:p>
        </w:tc>
        <w:tc>
          <w:tcPr>
            <w:tcW w:w="11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w w:val="99"/>
              </w:rPr>
              <w:t>January 1, 2019 to</w:t>
            </w:r>
          </w:p>
        </w:tc>
        <w:tc>
          <w:tcPr>
            <w:tcW w:w="0" w:type="dxa"/>
            <w:vAlign w:val="bottom"/>
          </w:tcPr>
          <w:p>
            <w:pPr>
              <w:spacing w:after="0"/>
              <w:rPr>
                <w:sz w:val="1"/>
                <w:szCs w:val="1"/>
                <w:color w:val="auto"/>
              </w:rPr>
            </w:pPr>
          </w:p>
        </w:tc>
      </w:tr>
      <w:tr>
        <w:trPr>
          <w:trHeight w:val="160"/>
        </w:trPr>
        <w:tc>
          <w:tcPr>
            <w:tcW w:w="6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9"/>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Pr>
          <w:p>
            <w:pPr>
              <w:spacing w:after="0"/>
              <w:rPr>
                <w:sz w:val="13"/>
                <w:szCs w:val="13"/>
                <w:color w:val="auto"/>
              </w:rPr>
            </w:pPr>
          </w:p>
        </w:tc>
        <w:tc>
          <w:tcPr>
            <w:tcW w:w="46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July 15, 2019</w:t>
            </w:r>
          </w:p>
        </w:tc>
        <w:tc>
          <w:tcPr>
            <w:tcW w:w="0" w:type="dxa"/>
            <w:vAlign w:val="bottom"/>
          </w:tcPr>
          <w:p>
            <w:pPr>
              <w:spacing w:after="0"/>
              <w:rPr>
                <w:sz w:val="1"/>
                <w:szCs w:val="1"/>
                <w:color w:val="auto"/>
              </w:rPr>
            </w:pPr>
          </w:p>
        </w:tc>
      </w:tr>
      <w:tr>
        <w:trPr>
          <w:trHeight w:val="195"/>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for cash flow information:</w:t>
            </w: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left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340"/>
              <w:spacing w:after="0"/>
              <w:rPr>
                <w:sz w:val="20"/>
                <w:szCs w:val="20"/>
                <w:color w:val="auto"/>
              </w:rPr>
            </w:pPr>
            <w:r>
              <w:rPr>
                <w:rFonts w:ascii="Arial" w:cs="Arial" w:eastAsia="Arial" w:hAnsi="Arial"/>
                <w:sz w:val="17"/>
                <w:szCs w:val="17"/>
                <w:color w:val="auto"/>
              </w:rPr>
              <w:t>Cash paid during the year for:</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25,958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9,939</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15"/>
        </w:trPr>
        <w:tc>
          <w:tcPr>
            <w:tcW w:w="6460" w:type="dxa"/>
            <w:vAlign w:val="bottom"/>
          </w:tcPr>
          <w:p>
            <w:pPr>
              <w:ind w:left="680"/>
              <w:spacing w:after="0"/>
              <w:rPr>
                <w:sz w:val="20"/>
                <w:szCs w:val="20"/>
                <w:color w:val="auto"/>
              </w:rPr>
            </w:pPr>
            <w:r>
              <w:rPr>
                <w:rFonts w:ascii="Arial" w:cs="Arial" w:eastAsia="Arial" w:hAnsi="Arial"/>
                <w:sz w:val="17"/>
                <w:szCs w:val="17"/>
                <w:color w:val="auto"/>
              </w:rPr>
              <w:t>Income taxes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noncash disclosures of investing activities: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7"/>
                <w:szCs w:val="17"/>
                <w:color w:val="auto"/>
              </w:rPr>
              <w:t>Accrued purchases of data</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3,389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investing activities: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340"/>
              <w:spacing w:after="0"/>
              <w:rPr>
                <w:sz w:val="20"/>
                <w:szCs w:val="20"/>
                <w:color w:val="auto"/>
              </w:rPr>
            </w:pPr>
            <w:r>
              <w:rPr>
                <w:rFonts w:ascii="Arial" w:cs="Arial" w:eastAsia="Arial" w:hAnsi="Arial"/>
                <w:sz w:val="17"/>
                <w:szCs w:val="17"/>
                <w:color w:val="auto"/>
              </w:rPr>
              <w:t>Acquisitions: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assets acquired, net of cash acquired</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43,571</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1,689,395</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3"/>
        </w:trPr>
        <w:tc>
          <w:tcPr>
            <w:tcW w:w="6460" w:type="dxa"/>
            <w:vAlign w:val="bottom"/>
          </w:tcPr>
          <w:p>
            <w:pPr>
              <w:ind w:left="680"/>
              <w:spacing w:after="0"/>
              <w:rPr>
                <w:sz w:val="20"/>
                <w:szCs w:val="20"/>
                <w:color w:val="auto"/>
              </w:rPr>
            </w:pPr>
            <w:r>
              <w:rPr>
                <w:rFonts w:ascii="Arial" w:cs="Arial" w:eastAsia="Arial" w:hAnsi="Arial"/>
                <w:sz w:val="17"/>
                <w:szCs w:val="17"/>
                <w:color w:val="auto"/>
              </w:rPr>
              <w:t>Capital contribution</w:t>
            </w:r>
          </w:p>
        </w:tc>
        <w:tc>
          <w:tcPr>
            <w:tcW w:w="1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(25,439)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(574,263)</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Contingent consideration</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460" w:type="dxa"/>
            <w:vAlign w:val="bottom"/>
          </w:tcPr>
          <w:p>
            <w:pPr>
              <w:ind w:left="680"/>
              <w:spacing w:after="0"/>
              <w:rPr>
                <w:sz w:val="20"/>
                <w:szCs w:val="20"/>
                <w:color w:val="auto"/>
              </w:rPr>
            </w:pPr>
            <w:r>
              <w:rPr>
                <w:rFonts w:ascii="Arial" w:cs="Arial" w:eastAsia="Arial" w:hAnsi="Arial"/>
                <w:sz w:val="17"/>
                <w:szCs w:val="17"/>
                <w:color w:val="auto"/>
              </w:rPr>
              <w:t>Consideration paid to former members included in accrued expenses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6,935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(6,935)</w:t>
            </w:r>
          </w:p>
        </w:tc>
        <w:tc>
          <w:tcPr>
            <w:tcW w:w="4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paid</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22,467</w:t>
            </w:r>
          </w:p>
        </w:tc>
        <w:tc>
          <w:tcPr>
            <w:tcW w:w="2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1,108,197</w:t>
            </w:r>
          </w:p>
        </w:tc>
        <w:tc>
          <w:tcPr>
            <w:tcW w:w="200" w:type="dxa"/>
            <w:vAlign w:val="bottom"/>
            <w:shd w:val="clear" w:color="auto" w:fill="CCEEFF"/>
          </w:tcPr>
          <w:p>
            <w:pPr>
              <w:spacing w:after="0"/>
              <w:rPr>
                <w:sz w:val="17"/>
                <w:szCs w:val="17"/>
                <w:color w:val="auto"/>
              </w:rPr>
            </w:pPr>
          </w:p>
        </w:tc>
        <w:tc>
          <w:tcPr>
            <w:tcW w:w="46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800"/>
          </w:cols>
          <w:pgMar w:left="320" w:top="465" w:right="77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AIDH TOPCO, LLC</w:t>
      </w:r>
    </w:p>
    <w:p>
      <w:pPr>
        <w:spacing w:after="0" w:line="210"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35" w:lineRule="exact"/>
        <w:rPr>
          <w:sz w:val="20"/>
          <w:szCs w:val="20"/>
          <w:color w:val="auto"/>
        </w:rPr>
      </w:pPr>
    </w:p>
    <w:p>
      <w:pPr>
        <w:ind w:left="860" w:hanging="403"/>
        <w:spacing w:after="0"/>
        <w:tabs>
          <w:tab w:leader="none" w:pos="86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2" w:lineRule="exact"/>
        <w:rPr>
          <w:sz w:val="20"/>
          <w:szCs w:val="20"/>
          <w:color w:val="auto"/>
        </w:rPr>
      </w:pPr>
    </w:p>
    <w:p>
      <w:pPr>
        <w:ind w:left="460" w:right="40" w:firstLine="413"/>
        <w:spacing w:after="0" w:line="274" w:lineRule="auto"/>
        <w:rPr>
          <w:sz w:val="20"/>
          <w:szCs w:val="20"/>
          <w:color w:val="auto"/>
        </w:rPr>
      </w:pPr>
      <w:r>
        <w:rPr>
          <w:rFonts w:ascii="Arial" w:cs="Arial" w:eastAsia="Arial" w:hAnsi="Arial"/>
          <w:sz w:val="16"/>
          <w:szCs w:val="16"/>
          <w:color w:val="auto"/>
        </w:rPr>
        <w:t xml:space="preserve">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 Refer to Note 3. </w:t>
      </w:r>
      <w:r>
        <w:rPr>
          <w:rFonts w:ascii="Arial" w:cs="Arial" w:eastAsia="Arial" w:hAnsi="Arial"/>
          <w:sz w:val="16"/>
          <w:szCs w:val="16"/>
          <w:i w:val="1"/>
          <w:iCs w:val="1"/>
          <w:color w:val="auto"/>
        </w:rPr>
        <w:t>Business Combinations</w:t>
      </w:r>
      <w:r>
        <w:rPr>
          <w:rFonts w:ascii="Arial" w:cs="Arial" w:eastAsia="Arial" w:hAnsi="Arial"/>
          <w:sz w:val="16"/>
          <w:szCs w:val="16"/>
          <w:color w:val="auto"/>
        </w:rPr>
        <w:t>, for additional information.</w:t>
      </w:r>
    </w:p>
    <w:p>
      <w:pPr>
        <w:spacing w:after="0" w:line="165" w:lineRule="exact"/>
        <w:rPr>
          <w:sz w:val="20"/>
          <w:szCs w:val="20"/>
          <w:color w:val="auto"/>
        </w:rPr>
      </w:pPr>
    </w:p>
    <w:p>
      <w:pPr>
        <w:ind w:left="460" w:right="20" w:firstLine="413"/>
        <w:spacing w:after="0" w:line="301" w:lineRule="auto"/>
        <w:rPr>
          <w:sz w:val="20"/>
          <w:szCs w:val="20"/>
          <w:color w:val="auto"/>
        </w:rPr>
      </w:pPr>
      <w:r>
        <w:rPr>
          <w:rFonts w:ascii="Arial" w:cs="Arial" w:eastAsia="Arial" w:hAnsi="Arial"/>
          <w:sz w:val="15"/>
          <w:szCs w:val="15"/>
          <w:color w:val="auto"/>
        </w:rPr>
        <w:t>References to “Successor” or “Successor Company” relate to the financial position and results of operations of the Company after the Definitive Holdco Acquisition. References to “Predecessor” or “Predecessor Company” refer to the financial position and results of operations of the legacy Definitive Holdco. Definitive Holdco was formed in 2015 for the purpose of acquiring Definitive, which was founded in 2011 to provide healthcare commercial intelligence that enables all companies that compete within or sell into the healthcare ecosystem to be more successful.</w:t>
      </w:r>
    </w:p>
    <w:p>
      <w:pPr>
        <w:spacing w:after="0" w:line="148" w:lineRule="exact"/>
        <w:rPr>
          <w:sz w:val="20"/>
          <w:szCs w:val="20"/>
          <w:color w:val="auto"/>
        </w:rPr>
      </w:pPr>
    </w:p>
    <w:p>
      <w:pPr>
        <w:ind w:left="460" w:right="480" w:firstLine="413"/>
        <w:spacing w:after="0" w:line="303" w:lineRule="auto"/>
        <w:rPr>
          <w:sz w:val="20"/>
          <w:szCs w:val="20"/>
          <w:color w:val="auto"/>
        </w:rPr>
      </w:pPr>
      <w:r>
        <w:rPr>
          <w:rFonts w:ascii="Arial" w:cs="Arial" w:eastAsia="Arial" w:hAnsi="Arial"/>
          <w:sz w:val="16"/>
          <w:szCs w:val="16"/>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3" w:lineRule="exact"/>
        <w:rPr>
          <w:sz w:val="20"/>
          <w:szCs w:val="20"/>
          <w:color w:val="auto"/>
        </w:rPr>
      </w:pPr>
    </w:p>
    <w:p>
      <w:pPr>
        <w:ind w:left="460" w:right="240" w:firstLine="413"/>
        <w:spacing w:after="0" w:line="272" w:lineRule="auto"/>
        <w:rPr>
          <w:sz w:val="20"/>
          <w:szCs w:val="20"/>
          <w:color w:val="auto"/>
        </w:rPr>
      </w:pPr>
      <w:r>
        <w:rPr>
          <w:rFonts w:ascii="Arial" w:cs="Arial" w:eastAsia="Arial" w:hAnsi="Arial"/>
          <w:sz w:val="17"/>
          <w:szCs w:val="17"/>
          <w:color w:val="auto"/>
        </w:rPr>
        <w:t>The Company’s headquarters are located in Framingham, MA, with operations in three offices throughout the United States and one office in Sweden.</w:t>
      </w:r>
    </w:p>
    <w:p>
      <w:pPr>
        <w:spacing w:after="0" w:line="165"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 xml:space="preserve">On January 16, 2019, Definitive acquired substantially all of the assets and assumed substantially all of the liabilities of HIMSS Analytics, LLC (“HIMSS”).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On December 2, 2019, the Company acquired all of the outstanding common and preferred stock of Healthcare Sales Enablement, Inc. (“HSE”).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98"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300" w:lineRule="exact"/>
        <w:rPr>
          <w:sz w:val="20"/>
          <w:szCs w:val="20"/>
          <w:color w:val="auto"/>
        </w:rPr>
      </w:pPr>
    </w:p>
    <w:p>
      <w:pPr>
        <w:ind w:left="880" w:right="6600" w:hanging="423"/>
        <w:spacing w:after="0" w:line="375" w:lineRule="auto"/>
        <w:tabs>
          <w:tab w:leader="none" w:pos="872"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left="460" w:right="120" w:firstLine="413"/>
        <w:spacing w:after="0" w:line="277"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08" w:lineRule="exact"/>
        <w:rPr>
          <w:sz w:val="20"/>
          <w:szCs w:val="20"/>
          <w:color w:val="auto"/>
        </w:rPr>
      </w:pPr>
    </w:p>
    <w:p>
      <w:pPr>
        <w:ind w:left="460" w:right="420" w:firstLine="413"/>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consolidated subsidiaries. All significant intercompany accounts and transactions have been eliminated in consolidation.</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640"/>
          </w:cols>
          <w:pgMar w:left="320" w:top="465" w:right="93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Use of Estimates in the Preparation of Financial Statements</w:t>
      </w:r>
    </w:p>
    <w:p>
      <w:pPr>
        <w:spacing w:after="0" w:line="108"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6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8" w:lineRule="exact"/>
        <w:rPr>
          <w:sz w:val="20"/>
          <w:szCs w:val="20"/>
          <w:color w:val="auto"/>
        </w:rPr>
      </w:pPr>
    </w:p>
    <w:p>
      <w:pPr>
        <w:ind w:left="460" w:firstLine="413"/>
        <w:spacing w:after="0" w:line="311" w:lineRule="auto"/>
        <w:rPr>
          <w:sz w:val="20"/>
          <w:szCs w:val="20"/>
          <w:color w:val="auto"/>
        </w:rPr>
      </w:pPr>
      <w:r>
        <w:rPr>
          <w:rFonts w:ascii="Arial" w:cs="Arial" w:eastAsia="Arial" w:hAnsi="Arial"/>
          <w:sz w:val="15"/>
          <w:szCs w:val="15"/>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0"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The Company recognizes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5"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75" w:lineRule="exact"/>
        <w:rPr>
          <w:sz w:val="20"/>
          <w:szCs w:val="20"/>
          <w:color w:val="auto"/>
        </w:rPr>
      </w:pPr>
    </w:p>
    <w:p>
      <w:pPr>
        <w:jc w:val="both"/>
        <w:ind w:left="460" w:right="180" w:firstLine="413"/>
        <w:spacing w:after="0" w:line="256" w:lineRule="auto"/>
        <w:rPr>
          <w:sz w:val="20"/>
          <w:szCs w:val="20"/>
          <w:color w:val="auto"/>
        </w:rPr>
      </w:pPr>
      <w:r>
        <w:rPr>
          <w:rFonts w:ascii="Arial" w:cs="Arial" w:eastAsia="Arial" w:hAnsi="Arial"/>
          <w:sz w:val="17"/>
          <w:szCs w:val="17"/>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7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70"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7"/>
          <w:szCs w:val="17"/>
          <w:color w:val="auto"/>
        </w:rPr>
        <w:t>The Company arrangements typically do not contain variable consideration. However, certain contracts with customers may include service level agreements that entitle the customer to receive service credits, and in certain</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760"/>
          </w:cols>
          <w:pgMar w:left="320" w:top="466" w:right="81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54" w:lineRule="auto"/>
        <w:rPr>
          <w:sz w:val="20"/>
          <w:szCs w:val="20"/>
          <w:color w:val="auto"/>
        </w:rPr>
      </w:pPr>
      <w:r>
        <w:rPr>
          <w:rFonts w:ascii="Arial" w:cs="Arial" w:eastAsia="Arial" w:hAnsi="Arial"/>
          <w:sz w:val="17"/>
          <w:szCs w:val="17"/>
          <w:color w:val="auto"/>
        </w:rPr>
        <w:t>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08"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1" w:lineRule="exact"/>
        <w:rPr>
          <w:sz w:val="20"/>
          <w:szCs w:val="20"/>
          <w:color w:val="auto"/>
        </w:rPr>
      </w:pPr>
    </w:p>
    <w:p>
      <w:pPr>
        <w:ind w:left="880" w:right="2200"/>
        <w:spacing w:after="0" w:line="256" w:lineRule="auto"/>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 Level 2 - Other inputs that are directly or indirectly observable in the marketplace</w:t>
      </w:r>
    </w:p>
    <w:p>
      <w:pPr>
        <w:ind w:left="880"/>
        <w:spacing w:after="0"/>
        <w:rPr>
          <w:sz w:val="20"/>
          <w:szCs w:val="20"/>
          <w:color w:val="auto"/>
        </w:rPr>
      </w:pPr>
      <w:r>
        <w:rPr>
          <w:rFonts w:ascii="Arial" w:cs="Arial" w:eastAsia="Arial" w:hAnsi="Arial"/>
          <w:sz w:val="15"/>
          <w:szCs w:val="15"/>
          <w:color w:val="auto"/>
        </w:rPr>
        <w:t>Level 3 - Unobservable inputs that are supported by little or no market activity, including the Company’s own assumptions in determining fair</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value.</w:t>
      </w:r>
    </w:p>
    <w:p>
      <w:pPr>
        <w:spacing w:after="0" w:line="29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Company considers all short-term, highly liquid investments with an original maturity of three months or less to be cash and cash equivalents.</w:t>
      </w:r>
    </w:p>
    <w:p>
      <w:pPr>
        <w:spacing w:after="0" w:line="33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Concentration of Credit Risk and Significant Customers</w:t>
      </w:r>
    </w:p>
    <w:p>
      <w:pPr>
        <w:spacing w:after="0" w:line="108"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67" w:lineRule="exact"/>
        <w:rPr>
          <w:sz w:val="20"/>
          <w:szCs w:val="20"/>
          <w:color w:val="auto"/>
        </w:rPr>
      </w:pPr>
    </w:p>
    <w:p>
      <w:pPr>
        <w:ind w:left="460" w:right="20" w:firstLine="413"/>
        <w:spacing w:after="0" w:line="303" w:lineRule="auto"/>
        <w:rPr>
          <w:sz w:val="20"/>
          <w:szCs w:val="20"/>
          <w:color w:val="auto"/>
        </w:rPr>
      </w:pPr>
      <w:r>
        <w:rPr>
          <w:rFonts w:ascii="Arial" w:cs="Arial" w:eastAsia="Arial" w:hAnsi="Arial"/>
          <w:sz w:val="16"/>
          <w:szCs w:val="16"/>
          <w:color w:val="auto"/>
        </w:rPr>
        <w:t>Concentrations of credit risk with respect to trade account receivables are limited due to the large number of customers comprising the Company’s customer base. No single customer accounted for more than 10% of total net sales or accounts receivable in 2020 and 2019.</w:t>
      </w:r>
    </w:p>
    <w:p>
      <w:pPr>
        <w:spacing w:after="0" w:line="24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08" w:lineRule="exact"/>
        <w:rPr>
          <w:sz w:val="20"/>
          <w:szCs w:val="20"/>
          <w:color w:val="auto"/>
        </w:rPr>
      </w:pPr>
    </w:p>
    <w:p>
      <w:pPr>
        <w:ind w:left="460" w:right="340" w:firstLine="413"/>
        <w:spacing w:after="0" w:line="296" w:lineRule="auto"/>
        <w:rPr>
          <w:sz w:val="20"/>
          <w:szCs w:val="20"/>
          <w:color w:val="auto"/>
        </w:rPr>
      </w:pPr>
      <w:r>
        <w:rPr>
          <w:rFonts w:ascii="Arial" w:cs="Arial" w:eastAsia="Arial" w:hAnsi="Arial"/>
          <w:sz w:val="15"/>
          <w:szCs w:val="15"/>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2020 and 2019, the allowance for doubtful accounts was $0.9 million and $0.5 million, respectively.</w:t>
      </w:r>
    </w:p>
    <w:p>
      <w:pPr>
        <w:spacing w:after="0" w:line="8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780"/>
          </w:cols>
          <w:pgMar w:left="320" w:top="466" w:right="79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80" w:firstLine="413"/>
        <w:spacing w:after="0" w:line="277" w:lineRule="auto"/>
        <w:rPr>
          <w:sz w:val="20"/>
          <w:szCs w:val="20"/>
          <w:color w:val="auto"/>
        </w:rPr>
      </w:pPr>
      <w:r>
        <w:rPr>
          <w:rFonts w:ascii="Arial" w:cs="Arial" w:eastAsia="Arial" w:hAnsi="Arial"/>
          <w:sz w:val="16"/>
          <w:szCs w:val="16"/>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08"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79"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straight-basis over 2 years, which reflects the average renewal period. Renewal contracts with a term of one year or less are expensed.</w:t>
      </w:r>
    </w:p>
    <w:p>
      <w:pPr>
        <w:spacing w:after="0" w:line="181" w:lineRule="exact"/>
        <w:rPr>
          <w:sz w:val="20"/>
          <w:szCs w:val="20"/>
          <w:color w:val="auto"/>
        </w:rPr>
      </w:pPr>
    </w:p>
    <w:p>
      <w:pPr>
        <w:ind w:left="460" w:right="40" w:firstLine="413"/>
        <w:spacing w:after="0" w:line="252"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income (loss). Costs capitalized to obtain a revenue contract, net on the Company’s consolidated balance sheets totaled $8.9 million and $2.9 million at December 31, 2020 and 2019, respectively and are included in current portion of deferred contract costs ($2.9 million and $0.8 million, as of December 31, 2020 and 2019, respectively) and deferred contract costs, net of current portion ($6.0 million and $2.1 million, as of December 31, 2020 and 2019, respectively) in the accompanying consolidated balance sheets. There were no impairments of costs to obtain revenue contracts in the years ended December 31, 2020 and 2019.</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08"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0780"/>
          </w:cols>
          <w:pgMar w:left="320" w:top="465" w:right="799" w:bottom="1440" w:gutter="0" w:footer="0" w:header="0"/>
        </w:sectPr>
      </w:pPr>
    </w:p>
    <w:p>
      <w:pPr>
        <w:spacing w:after="0" w:line="190"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Furniture and equipment</w:t>
      </w:r>
    </w:p>
    <w:p>
      <w:pPr>
        <w:spacing w:after="0" w:line="42"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Computers and software</w:t>
      </w:r>
    </w:p>
    <w:p>
      <w:pPr>
        <w:spacing w:after="0" w:line="30"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Lesser of the asset life or lease term</w:t>
      </w:r>
    </w:p>
    <w:p>
      <w:pPr>
        <w:spacing w:after="0" w:line="200" w:lineRule="exact"/>
        <w:rPr>
          <w:sz w:val="20"/>
          <w:szCs w:val="20"/>
          <w:color w:val="auto"/>
        </w:rPr>
      </w:pPr>
    </w:p>
    <w:p>
      <w:pPr>
        <w:sectPr>
          <w:pgSz w:w="11900" w:h="16838" w:orient="portrait"/>
          <w:cols w:equalWidth="0" w:num="2">
            <w:col w:w="4960" w:space="720"/>
            <w:col w:w="5100"/>
          </w:cols>
          <w:pgMar w:left="320" w:top="465" w:right="799" w:bottom="1440" w:gutter="0" w:footer="0" w:header="0"/>
          <w:type w:val="continuous"/>
        </w:sectPr>
      </w:pPr>
    </w:p>
    <w:p>
      <w:pPr>
        <w:spacing w:after="0" w:line="21" w:lineRule="exact"/>
        <w:rPr>
          <w:sz w:val="20"/>
          <w:szCs w:val="20"/>
          <w:color w:val="auto"/>
        </w:rPr>
      </w:pPr>
    </w:p>
    <w:p>
      <w:pPr>
        <w:ind w:left="460" w:firstLine="413"/>
        <w:spacing w:after="0" w:line="260"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recognized as gain or loss on disposal of assets in the consolidated statements of income (loss). Major replacements and improvements are capitalized, while general repairs and maintenance are charged to expense as incurred.</w:t>
      </w:r>
    </w:p>
    <w:p>
      <w:pPr>
        <w:spacing w:after="0" w:line="27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08"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The Company expenses advertising costs as incurred in accordance with ASC 720—</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$0.6 million for the year ended December 31, 2020 (Successor) and $0.2 million and $0.2 million for the periods from July 16, 2019 through December 31, 2019 (Successor), and from January 1, 2019 through July 15, 2019 (Predecessor), respectively, are included in sales and marketing on the consolidated statements of income (loss).</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780"/>
          </w:cols>
          <w:pgMar w:left="320" w:top="465" w:right="799" w:bottom="1440" w:gutter="0" w:footer="0" w:header="0"/>
          <w:type w:val="continuous"/>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08" w:lineRule="exact"/>
        <w:rPr>
          <w:sz w:val="20"/>
          <w:szCs w:val="20"/>
          <w:color w:val="auto"/>
        </w:rPr>
      </w:pPr>
    </w:p>
    <w:p>
      <w:pPr>
        <w:ind w:left="460" w:right="100" w:firstLine="413"/>
        <w:spacing w:after="0" w:line="253" w:lineRule="auto"/>
        <w:rPr>
          <w:sz w:val="20"/>
          <w:szCs w:val="20"/>
          <w:color w:val="auto"/>
        </w:rPr>
      </w:pPr>
      <w:r>
        <w:rPr>
          <w:rFonts w:ascii="Arial" w:cs="Arial" w:eastAsia="Arial" w:hAnsi="Arial"/>
          <w:sz w:val="17"/>
          <w:szCs w:val="17"/>
          <w:color w:val="auto"/>
        </w:rPr>
        <w:t xml:space="preserve">The Company accounts for its software development costs in accordance with the guidance set forth in ASC 350-40, </w:t>
      </w:r>
      <w:r>
        <w:rPr>
          <w:rFonts w:ascii="Arial" w:cs="Arial" w:eastAsia="Arial" w:hAnsi="Arial"/>
          <w:sz w:val="17"/>
          <w:szCs w:val="17"/>
          <w:i w:val="1"/>
          <w:iCs w:val="1"/>
          <w:color w:val="auto"/>
        </w:rPr>
        <w:t>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 Internal Use Software. </w:t>
      </w:r>
      <w:r>
        <w:rPr>
          <w:rFonts w:ascii="Arial" w:cs="Arial" w:eastAsia="Arial" w:hAnsi="Arial"/>
          <w:sz w:val="17"/>
          <w:szCs w:val="17"/>
          <w:color w:val="auto"/>
        </w:rPr>
        <w:t>The Company capitalizes costs to develop software for internal use incurred during the application development stage.</w:t>
      </w:r>
      <w:r>
        <w:rPr>
          <w:rFonts w:ascii="Arial" w:cs="Arial" w:eastAsia="Arial" w:hAnsi="Arial"/>
          <w:sz w:val="17"/>
          <w:szCs w:val="17"/>
          <w:i w:val="1"/>
          <w:iCs w:val="1"/>
          <w:color w:val="auto"/>
        </w:rPr>
        <w:t xml:space="preserve"> </w:t>
      </w:r>
      <w:r>
        <w:rPr>
          <w:rFonts w:ascii="Arial" w:cs="Arial" w:eastAsia="Arial" w:hAnsi="Arial"/>
          <w:sz w:val="17"/>
          <w:szCs w:val="17"/>
          <w:color w:val="auto"/>
        </w:rPr>
        <w:t>Costs related to preliminary project activities and post implementation activities are expensed as incurred. Capitalized costs of $0.1 million for the year ended December 31, 2020,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8" w:lineRule="exact"/>
        <w:rPr>
          <w:sz w:val="20"/>
          <w:szCs w:val="20"/>
          <w:color w:val="auto"/>
        </w:rPr>
      </w:pPr>
    </w:p>
    <w:p>
      <w:pPr>
        <w:ind w:left="460" w:right="80" w:firstLine="413"/>
        <w:spacing w:after="0" w:line="289" w:lineRule="auto"/>
        <w:rPr>
          <w:sz w:val="20"/>
          <w:szCs w:val="20"/>
          <w:color w:val="auto"/>
        </w:rPr>
      </w:pPr>
      <w:r>
        <w:rPr>
          <w:rFonts w:ascii="Arial" w:cs="Arial" w:eastAsia="Arial" w:hAnsi="Arial"/>
          <w:sz w:val="15"/>
          <w:szCs w:val="15"/>
          <w:color w:val="auto"/>
        </w:rPr>
        <w:t xml:space="preserve">The Company accounts for business combinations using the acquisition method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57" w:lineRule="exact"/>
        <w:rPr>
          <w:sz w:val="20"/>
          <w:szCs w:val="20"/>
          <w:color w:val="auto"/>
        </w:rPr>
      </w:pPr>
    </w:p>
    <w:p>
      <w:pPr>
        <w:ind w:left="460" w:right="180" w:firstLine="413"/>
        <w:spacing w:after="0" w:line="254"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1" w:lineRule="exact"/>
        <w:rPr>
          <w:sz w:val="20"/>
          <w:szCs w:val="20"/>
          <w:color w:val="auto"/>
        </w:rPr>
      </w:pPr>
    </w:p>
    <w:p>
      <w:pPr>
        <w:ind w:left="460" w:firstLine="413"/>
        <w:spacing w:after="0" w:line="301" w:lineRule="auto"/>
        <w:rPr>
          <w:sz w:val="20"/>
          <w:szCs w:val="20"/>
          <w:color w:val="auto"/>
        </w:rPr>
      </w:pPr>
      <w:r>
        <w:rPr>
          <w:rFonts w:ascii="Arial" w:cs="Arial" w:eastAsia="Arial" w:hAnsi="Arial"/>
          <w:sz w:val="15"/>
          <w:szCs w:val="15"/>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48"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08"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780"/>
          </w:cols>
          <w:pgMar w:left="320" w:top="465" w:right="79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56" w:lineRule="exact"/>
        <w:rPr>
          <w:sz w:val="20"/>
          <w:szCs w:val="20"/>
          <w:color w:val="auto"/>
        </w:rPr>
      </w:pPr>
    </w:p>
    <w:p>
      <w:pPr>
        <w:ind w:left="460" w:right="160" w:firstLine="413"/>
        <w:spacing w:after="0" w:line="256" w:lineRule="auto"/>
        <w:rPr>
          <w:sz w:val="20"/>
          <w:szCs w:val="20"/>
          <w:color w:val="auto"/>
        </w:rPr>
      </w:pPr>
      <w:r>
        <w:rPr>
          <w:rFonts w:ascii="Arial" w:cs="Arial" w:eastAsia="Arial" w:hAnsi="Arial"/>
          <w:sz w:val="17"/>
          <w:szCs w:val="17"/>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338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960" w:type="dxa"/>
            <w:vAlign w:val="bottom"/>
          </w:tcPr>
          <w:p>
            <w:pPr>
              <w:ind w:left="1760"/>
              <w:spacing w:after="0"/>
              <w:rPr>
                <w:sz w:val="20"/>
                <w:szCs w:val="20"/>
                <w:color w:val="auto"/>
              </w:rPr>
            </w:pPr>
            <w:r>
              <w:rPr>
                <w:rFonts w:ascii="Arial" w:cs="Arial" w:eastAsia="Arial" w:hAnsi="Arial"/>
                <w:sz w:val="17"/>
                <w:szCs w:val="17"/>
                <w:color w:val="auto"/>
                <w:w w:val="94"/>
              </w:rPr>
              <w:t>14</w:t>
            </w:r>
          </w:p>
        </w:tc>
        <w:tc>
          <w:tcPr>
            <w:tcW w:w="700" w:type="dxa"/>
            <w:vAlign w:val="bottom"/>
          </w:tcPr>
          <w:p>
            <w:pPr>
              <w:ind w:left="20"/>
              <w:spacing w:after="0"/>
              <w:rPr>
                <w:sz w:val="20"/>
                <w:szCs w:val="20"/>
                <w:color w:val="auto"/>
              </w:rPr>
            </w:pPr>
            <w:r>
              <w:rPr>
                <w:rFonts w:ascii="Arial" w:cs="Arial" w:eastAsia="Arial" w:hAnsi="Arial"/>
                <w:sz w:val="17"/>
                <w:szCs w:val="17"/>
                <w:color w:val="auto"/>
                <w:w w:val="83"/>
              </w:rPr>
              <w:t>– 15 years</w:t>
            </w:r>
          </w:p>
        </w:tc>
      </w:tr>
      <w:tr>
        <w:trPr>
          <w:trHeight w:val="203"/>
        </w:trPr>
        <w:tc>
          <w:tcPr>
            <w:tcW w:w="3380" w:type="dxa"/>
            <w:vAlign w:val="bottom"/>
          </w:tcPr>
          <w:p>
            <w:pPr>
              <w:spacing w:after="0"/>
              <w:rPr>
                <w:sz w:val="20"/>
                <w:szCs w:val="20"/>
                <w:color w:val="auto"/>
              </w:rPr>
            </w:pPr>
            <w:r>
              <w:rPr>
                <w:rFonts w:ascii="Arial" w:cs="Arial" w:eastAsia="Arial" w:hAnsi="Arial"/>
                <w:sz w:val="17"/>
                <w:szCs w:val="17"/>
                <w:color w:val="auto"/>
              </w:rPr>
              <w:t>Technology</w:t>
            </w:r>
          </w:p>
        </w:tc>
        <w:tc>
          <w:tcPr>
            <w:tcW w:w="2660" w:type="dxa"/>
            <w:vAlign w:val="bottom"/>
            <w:gridSpan w:val="2"/>
          </w:tcPr>
          <w:p>
            <w:pPr>
              <w:ind w:left="1760"/>
              <w:spacing w:after="0"/>
              <w:rPr>
                <w:sz w:val="20"/>
                <w:szCs w:val="20"/>
                <w:color w:val="auto"/>
              </w:rPr>
            </w:pPr>
            <w:r>
              <w:rPr>
                <w:rFonts w:ascii="Arial" w:cs="Arial" w:eastAsia="Arial" w:hAnsi="Arial"/>
                <w:sz w:val="17"/>
                <w:szCs w:val="17"/>
                <w:color w:val="auto"/>
              </w:rPr>
              <w:t>7 – 8 years</w:t>
            </w:r>
          </w:p>
        </w:tc>
      </w:tr>
      <w:tr>
        <w:trPr>
          <w:trHeight w:val="203"/>
        </w:trPr>
        <w:tc>
          <w:tcPr>
            <w:tcW w:w="3380" w:type="dxa"/>
            <w:vAlign w:val="bottom"/>
          </w:tcPr>
          <w:p>
            <w:pPr>
              <w:spacing w:after="0"/>
              <w:rPr>
                <w:sz w:val="20"/>
                <w:szCs w:val="20"/>
                <w:color w:val="auto"/>
              </w:rPr>
            </w:pPr>
            <w:r>
              <w:rPr>
                <w:rFonts w:ascii="Arial" w:cs="Arial" w:eastAsia="Arial" w:hAnsi="Arial"/>
                <w:sz w:val="17"/>
                <w:szCs w:val="17"/>
                <w:color w:val="auto"/>
              </w:rPr>
              <w:t>Tradenames / trademark</w:t>
            </w:r>
          </w:p>
        </w:tc>
        <w:tc>
          <w:tcPr>
            <w:tcW w:w="1960" w:type="dxa"/>
            <w:vAlign w:val="bottom"/>
          </w:tcPr>
          <w:p>
            <w:pPr>
              <w:ind w:left="1760"/>
              <w:spacing w:after="0"/>
              <w:rPr>
                <w:sz w:val="20"/>
                <w:szCs w:val="20"/>
                <w:color w:val="auto"/>
              </w:rPr>
            </w:pPr>
            <w:r>
              <w:rPr>
                <w:rFonts w:ascii="Arial" w:cs="Arial" w:eastAsia="Arial" w:hAnsi="Arial"/>
                <w:sz w:val="17"/>
                <w:szCs w:val="17"/>
                <w:color w:val="auto"/>
                <w:w w:val="94"/>
              </w:rPr>
              <w:t>17</w:t>
            </w:r>
          </w:p>
        </w:tc>
        <w:tc>
          <w:tcPr>
            <w:tcW w:w="700" w:type="dxa"/>
            <w:vAlign w:val="bottom"/>
          </w:tcPr>
          <w:p>
            <w:pPr>
              <w:ind w:left="20"/>
              <w:spacing w:after="0"/>
              <w:rPr>
                <w:sz w:val="20"/>
                <w:szCs w:val="20"/>
                <w:color w:val="auto"/>
              </w:rPr>
            </w:pPr>
            <w:r>
              <w:rPr>
                <w:rFonts w:ascii="Arial" w:cs="Arial" w:eastAsia="Arial" w:hAnsi="Arial"/>
                <w:sz w:val="17"/>
                <w:szCs w:val="17"/>
                <w:color w:val="auto"/>
                <w:w w:val="83"/>
              </w:rPr>
              <w:t>– 19 years</w:t>
            </w:r>
          </w:p>
        </w:tc>
      </w:tr>
      <w:tr>
        <w:trPr>
          <w:trHeight w:val="214"/>
        </w:trPr>
        <w:tc>
          <w:tcPr>
            <w:tcW w:w="3380" w:type="dxa"/>
            <w:vAlign w:val="bottom"/>
          </w:tcPr>
          <w:p>
            <w:pPr>
              <w:spacing w:after="0"/>
              <w:rPr>
                <w:sz w:val="20"/>
                <w:szCs w:val="20"/>
                <w:color w:val="auto"/>
              </w:rPr>
            </w:pPr>
            <w:r>
              <w:rPr>
                <w:rFonts w:ascii="Arial" w:cs="Arial" w:eastAsia="Arial" w:hAnsi="Arial"/>
                <w:sz w:val="17"/>
                <w:szCs w:val="17"/>
                <w:color w:val="auto"/>
              </w:rPr>
              <w:t>Data</w:t>
            </w:r>
          </w:p>
        </w:tc>
        <w:tc>
          <w:tcPr>
            <w:tcW w:w="2660" w:type="dxa"/>
            <w:vAlign w:val="bottom"/>
            <w:gridSpan w:val="2"/>
          </w:tcPr>
          <w:p>
            <w:pPr>
              <w:ind w:left="1760"/>
              <w:spacing w:after="0"/>
              <w:rPr>
                <w:sz w:val="20"/>
                <w:szCs w:val="20"/>
                <w:color w:val="auto"/>
              </w:rPr>
            </w:pPr>
            <w:r>
              <w:rPr>
                <w:rFonts w:ascii="Arial" w:cs="Arial" w:eastAsia="Arial" w:hAnsi="Arial"/>
                <w:sz w:val="17"/>
                <w:szCs w:val="17"/>
                <w:color w:val="auto"/>
              </w:rPr>
              <w:t>1– 4 years</w:t>
            </w:r>
          </w:p>
        </w:tc>
      </w:tr>
    </w:tbl>
    <w:p>
      <w:pPr>
        <w:spacing w:after="0" w:line="292"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08" w:lineRule="exact"/>
        <w:rPr>
          <w:sz w:val="20"/>
          <w:szCs w:val="20"/>
          <w:color w:val="auto"/>
        </w:rPr>
      </w:pPr>
    </w:p>
    <w:p>
      <w:pPr>
        <w:ind w:left="460" w:right="120" w:firstLine="413"/>
        <w:spacing w:after="0" w:line="301" w:lineRule="auto"/>
        <w:rPr>
          <w:sz w:val="20"/>
          <w:szCs w:val="20"/>
          <w:color w:val="auto"/>
        </w:rPr>
      </w:pPr>
      <w:r>
        <w:rPr>
          <w:rFonts w:ascii="Arial" w:cs="Arial" w:eastAsia="Arial" w:hAnsi="Arial"/>
          <w:sz w:val="15"/>
          <w:szCs w:val="15"/>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4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08" w:lineRule="exact"/>
        <w:rPr>
          <w:sz w:val="20"/>
          <w:szCs w:val="20"/>
          <w:color w:val="auto"/>
        </w:rPr>
      </w:pPr>
    </w:p>
    <w:p>
      <w:pPr>
        <w:jc w:val="both"/>
        <w:ind w:left="460" w:right="80" w:firstLine="413"/>
        <w:spacing w:after="0" w:line="311" w:lineRule="auto"/>
        <w:rPr>
          <w:sz w:val="20"/>
          <w:szCs w:val="20"/>
          <w:color w:val="auto"/>
        </w:rPr>
      </w:pPr>
      <w:r>
        <w:rPr>
          <w:rFonts w:ascii="Arial" w:cs="Arial" w:eastAsia="Arial" w:hAnsi="Arial"/>
          <w:sz w:val="15"/>
          <w:szCs w:val="15"/>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08"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2020 and 2019, the Company had $10.9 million and $12.6 million, respectively, of unamortized deferred financing costs related to its non-revolving credit facilities.</w:t>
      </w:r>
    </w:p>
    <w:p>
      <w:pPr>
        <w:spacing w:after="0" w:line="10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740"/>
          </w:cols>
          <w:pgMar w:left="320" w:top="466" w:right="83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08"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The Company capitalizes deferred initial public offering (“IPO”) costs, which primarily consist of direct, incremental legal, professional, accounting and other third-party fees relating to the Company’s initial public offering, within other non-current assets. The deferred IPO costs will be offset against IPO proceeds upon the consummation of an offering. Should the planned IPO be abandoned, the deferred issuance costs will be expensed immediately as a charge to operating expenses in the consolidated statement of (loss) income. There were no deferred IPO costs as of December 31, 2020.</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Sales Tax</w:t>
      </w:r>
    </w:p>
    <w:p>
      <w:pPr>
        <w:spacing w:after="0" w:line="108"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7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Income Taxes</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tax years ended December 31, 2020 and 2019, nor was it subject to state income taxes in certain jurisdictions for the tax years ended December 31, 2020 and 2019.</w:t>
      </w:r>
    </w:p>
    <w:p>
      <w:pPr>
        <w:spacing w:after="0" w:line="182"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 of operations.</w:t>
      </w:r>
    </w:p>
    <w:p>
      <w:pPr>
        <w:spacing w:after="0" w:line="172" w:lineRule="exact"/>
        <w:rPr>
          <w:sz w:val="20"/>
          <w:szCs w:val="20"/>
          <w:color w:val="auto"/>
        </w:rPr>
      </w:pPr>
    </w:p>
    <w:p>
      <w:pPr>
        <w:ind w:left="460" w:right="20" w:firstLine="413"/>
        <w:spacing w:after="0" w:line="277" w:lineRule="auto"/>
        <w:rPr>
          <w:sz w:val="20"/>
          <w:szCs w:val="20"/>
          <w:color w:val="auto"/>
        </w:rPr>
      </w:pPr>
      <w:r>
        <w:rPr>
          <w:rFonts w:ascii="Arial" w:cs="Arial" w:eastAsia="Arial" w:hAnsi="Arial"/>
          <w:sz w:val="16"/>
          <w:szCs w:val="16"/>
          <w:color w:val="auto"/>
        </w:rPr>
        <w:t>Under the provisions of ASC 740</w:t>
      </w:r>
      <w:r>
        <w:rPr>
          <w:rFonts w:ascii="Arial" w:cs="Arial" w:eastAsia="Arial" w:hAnsi="Arial"/>
          <w:sz w:val="16"/>
          <w:szCs w:val="16"/>
          <w:i w:val="1"/>
          <w:iCs w:val="1"/>
          <w:color w:val="auto"/>
        </w:rPr>
        <w:t>, Income Taxes</w:t>
      </w:r>
      <w:r>
        <w:rPr>
          <w:rFonts w:ascii="Arial" w:cs="Arial" w:eastAsia="Arial" w:hAnsi="Arial"/>
          <w:sz w:val="16"/>
          <w:szCs w:val="16"/>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the Company did not have any uncertain tax positions.</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Net Loss Per Unit</w:t>
      </w:r>
    </w:p>
    <w:p>
      <w:pPr>
        <w:spacing w:after="0" w:line="108"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1"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Basic net income or loss per unit is computed by dividing the net income or loss by the weighted-average number of common units of the Company outstanding during the period. Diluted net income or loss per unit is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760"/>
          </w:cols>
          <w:pgMar w:left="320" w:top="466" w:right="81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56" w:lineRule="auto"/>
        <w:rPr>
          <w:sz w:val="20"/>
          <w:szCs w:val="20"/>
          <w:color w:val="auto"/>
        </w:rPr>
      </w:pPr>
      <w:r>
        <w:rPr>
          <w:rFonts w:ascii="Arial" w:cs="Arial" w:eastAsia="Arial" w:hAnsi="Arial"/>
          <w:sz w:val="17"/>
          <w:szCs w:val="17"/>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79" w:lineRule="exact"/>
        <w:rPr>
          <w:sz w:val="20"/>
          <w:szCs w:val="20"/>
          <w:color w:val="auto"/>
        </w:rPr>
      </w:pPr>
    </w:p>
    <w:p>
      <w:pPr>
        <w:ind w:left="460" w:right="180" w:firstLine="413"/>
        <w:spacing w:after="0" w:line="254" w:lineRule="auto"/>
        <w:rPr>
          <w:sz w:val="20"/>
          <w:szCs w:val="20"/>
          <w:color w:val="auto"/>
        </w:rPr>
      </w:pPr>
      <w:r>
        <w:rPr>
          <w:rFonts w:ascii="Arial" w:cs="Arial" w:eastAsia="Arial" w:hAnsi="Arial"/>
          <w:sz w:val="17"/>
          <w:szCs w:val="17"/>
          <w:color w:val="auto"/>
        </w:rPr>
        <w:t xml:space="preserve">All net earnings (loss) for the Predecessor period from January 1, 2019 to July 15, 2019 were entirely allocable to Predecessor members. Additionally, due to the impact of the Definitive Holdco Acquisition, the Company’s capital structure for the Predecessor and Successor periods is not comparable. As a result, the presentation of earnings (loss) per share for the periods prior to such transaction is not meaningful and only earnings (loss) per unit for periods subsequent to the Definitive Holdco Acquisition are presented herein. See Note 16. </w:t>
      </w:r>
      <w:r>
        <w:rPr>
          <w:rFonts w:ascii="Arial" w:cs="Arial" w:eastAsia="Arial" w:hAnsi="Arial"/>
          <w:sz w:val="17"/>
          <w:szCs w:val="17"/>
          <w:i w:val="1"/>
          <w:iCs w:val="1"/>
          <w:color w:val="auto"/>
        </w:rPr>
        <w:t>Net Loss Per Unit</w:t>
      </w:r>
      <w:r>
        <w:rPr>
          <w:rFonts w:ascii="Arial" w:cs="Arial" w:eastAsia="Arial" w:hAnsi="Arial"/>
          <w:sz w:val="17"/>
          <w:szCs w:val="17"/>
          <w:color w:val="auto"/>
        </w:rPr>
        <w:t xml:space="preserve"> for additional information on dilutive securities.</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08" w:lineRule="exact"/>
        <w:rPr>
          <w:sz w:val="20"/>
          <w:szCs w:val="20"/>
          <w:color w:val="auto"/>
        </w:rPr>
      </w:pPr>
    </w:p>
    <w:p>
      <w:pPr>
        <w:ind w:left="460" w:right="140" w:firstLine="413"/>
        <w:spacing w:after="0" w:line="311" w:lineRule="auto"/>
        <w:rPr>
          <w:sz w:val="20"/>
          <w:szCs w:val="20"/>
          <w:color w:val="auto"/>
        </w:rPr>
      </w:pPr>
      <w:r>
        <w:rPr>
          <w:rFonts w:ascii="Arial" w:cs="Arial" w:eastAsia="Arial" w:hAnsi="Arial"/>
          <w:sz w:val="15"/>
          <w:szCs w:val="15"/>
          <w:color w:val="auto"/>
        </w:rPr>
        <w:t>The Company periodically grants equity units to employees, consultants, directors, managers, or others providing service. These units are considered profit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0" w:lineRule="exact"/>
        <w:rPr>
          <w:sz w:val="20"/>
          <w:szCs w:val="20"/>
          <w:color w:val="auto"/>
        </w:rPr>
      </w:pPr>
    </w:p>
    <w:p>
      <w:pPr>
        <w:ind w:left="460" w:right="60" w:firstLine="413"/>
        <w:spacing w:after="0" w:line="274" w:lineRule="auto"/>
        <w:rPr>
          <w:sz w:val="20"/>
          <w:szCs w:val="20"/>
          <w:color w:val="auto"/>
        </w:rPr>
      </w:pPr>
      <w:r>
        <w:rPr>
          <w:rFonts w:ascii="Arial" w:cs="Arial" w:eastAsia="Arial" w:hAnsi="Arial"/>
          <w:sz w:val="16"/>
          <w:szCs w:val="16"/>
          <w:color w:val="auto"/>
        </w:rPr>
        <w:t>The Company accounts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65" w:lineRule="exact"/>
        <w:rPr>
          <w:sz w:val="20"/>
          <w:szCs w:val="20"/>
          <w:color w:val="auto"/>
        </w:rPr>
      </w:pPr>
    </w:p>
    <w:p>
      <w:pPr>
        <w:ind w:left="460" w:right="420" w:firstLine="413"/>
        <w:spacing w:after="0" w:line="272" w:lineRule="auto"/>
        <w:rPr>
          <w:sz w:val="20"/>
          <w:szCs w:val="20"/>
          <w:color w:val="auto"/>
        </w:rPr>
      </w:pPr>
      <w:r>
        <w:rPr>
          <w:rFonts w:ascii="Arial" w:cs="Arial" w:eastAsia="Arial" w:hAnsi="Arial"/>
          <w:sz w:val="17"/>
          <w:szCs w:val="17"/>
          <w:color w:val="auto"/>
        </w:rPr>
        <w:t>The Company classifies equity-based compensation expense in its consolidated statements of (loss) income in the same manner in which the award recipient’s salary and related costs are classified.</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Adoption of Recently Issued Financial Accounting Standards</w:t>
      </w:r>
    </w:p>
    <w:p>
      <w:pPr>
        <w:spacing w:after="0" w:line="108" w:lineRule="exact"/>
        <w:rPr>
          <w:sz w:val="20"/>
          <w:szCs w:val="20"/>
          <w:color w:val="auto"/>
        </w:rPr>
      </w:pPr>
    </w:p>
    <w:p>
      <w:pPr>
        <w:ind w:left="460" w:right="40" w:firstLine="413"/>
        <w:spacing w:after="0" w:line="293" w:lineRule="auto"/>
        <w:rPr>
          <w:sz w:val="20"/>
          <w:szCs w:val="20"/>
          <w:color w:val="auto"/>
        </w:rPr>
      </w:pPr>
      <w:r>
        <w:rPr>
          <w:rFonts w:ascii="Arial" w:cs="Arial" w:eastAsia="Arial" w:hAnsi="Arial"/>
          <w:sz w:val="15"/>
          <w:szCs w:val="15"/>
          <w:color w:val="auto"/>
        </w:rPr>
        <w:t>In May 2014, the FASB issued ASC 606—</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which amended the accounting standards for revenue recognition and expanded the Company’s disclosure requirements. The core principle of the guidance is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5"/>
          <w:szCs w:val="15"/>
          <w:i w:val="1"/>
          <w:iCs w:val="1"/>
          <w:color w:val="auto"/>
        </w:rPr>
        <w:t>Other Assets and Deferred Costs – Contracts with Customers</w:t>
      </w:r>
      <w:r>
        <w:rPr>
          <w:rFonts w:ascii="Arial" w:cs="Arial" w:eastAsia="Arial" w:hAnsi="Arial"/>
          <w:sz w:val="15"/>
          <w:szCs w:val="15"/>
          <w:color w:val="auto"/>
        </w:rPr>
        <w:t>, which requires the deferral of incremental costs of obtaining a contract with a customer. This standard also requires additional disclosure about the nature, amount, timing and uncertainty of revenue and cash flows arising from customer contracts, including significant judgments and changes in judgments.</w:t>
      </w:r>
    </w:p>
    <w:p>
      <w:pPr>
        <w:spacing w:after="0" w:line="155" w:lineRule="exact"/>
        <w:rPr>
          <w:sz w:val="20"/>
          <w:szCs w:val="20"/>
          <w:color w:val="auto"/>
        </w:rPr>
      </w:pPr>
    </w:p>
    <w:p>
      <w:pPr>
        <w:ind w:left="460" w:right="40" w:firstLine="413"/>
        <w:spacing w:after="0" w:line="340" w:lineRule="auto"/>
        <w:rPr>
          <w:sz w:val="20"/>
          <w:szCs w:val="20"/>
          <w:color w:val="auto"/>
        </w:rPr>
      </w:pPr>
      <w:r>
        <w:rPr>
          <w:rFonts w:ascii="Arial" w:cs="Arial" w:eastAsia="Arial" w:hAnsi="Arial"/>
          <w:sz w:val="15"/>
          <w:szCs w:val="15"/>
          <w:color w:val="auto"/>
        </w:rPr>
        <w:t>The Company adopted ASC 606 effective January 1, 2019 under the modified retrospective method, which resulted in an adjustment at January 1, 2019 of $5.4 million to members’ capital for the cumulative effect of applying the standard to all contracts not completed as of the adoption date.</w:t>
      </w:r>
    </w:p>
    <w:p>
      <w:pPr>
        <w:spacing w:after="0" w:line="119"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The adjustment primarily related to deferred contract costs, including incremental employee sales commissions and other employee compensation arrangements, and adjustments to deferred and unbilled revenues of $4.3 million and $1.1 million, respectively. The cost of all incremental commissions and other employee compensation arrangements are deferred and amortized on a straight-line basis over the expected period of benefit, generally between two and four years. The deferred and unbilled revenues were adjusted upon adoption to better align the recognition of revenues with the timing of transfer of control to the customer.</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780"/>
          </w:cols>
          <w:pgMar w:left="320" w:top="465" w:right="79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cumulative effect of applying the new guidance was recorded as an adjustment to members’ capital as of the adoption date.</w:t>
      </w:r>
    </w:p>
    <w:p>
      <w:pPr>
        <w:spacing w:after="0" w:line="210"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As a result of applying the modified retrospective method to adopt the new revenue guidance, the following adjustments were made to the consolidated balance sheet as of January 1, 2019.</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3"/>
                <w:szCs w:val="13"/>
                <w:color w:val="auto"/>
              </w:rPr>
              <w:t>As reported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color w:val="auto"/>
                <w:w w:val="96"/>
              </w:rPr>
              <w:t>ASC 606</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w w:val="95"/>
              </w:rPr>
              <w:t>As Adjusted</w:t>
            </w: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Arial" w:cs="Arial" w:eastAsia="Arial" w:hAnsi="Arial"/>
                <w:sz w:val="13"/>
                <w:szCs w:val="13"/>
                <w:color w:val="auto"/>
              </w:rPr>
              <w:t>December 31, 2018</w:t>
            </w:r>
          </w:p>
        </w:tc>
        <w:tc>
          <w:tcPr>
            <w:tcW w:w="34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Adjustments</w:t>
            </w:r>
          </w:p>
        </w:tc>
        <w:tc>
          <w:tcPr>
            <w:tcW w:w="3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w w:val="96"/>
              </w:rPr>
              <w:t>January 1, 2019</w:t>
            </w:r>
          </w:p>
        </w:tc>
        <w:tc>
          <w:tcPr>
            <w:tcW w:w="0" w:type="dxa"/>
            <w:vAlign w:val="bottom"/>
          </w:tcPr>
          <w:p>
            <w:pPr>
              <w:spacing w:after="0"/>
              <w:rPr>
                <w:sz w:val="1"/>
                <w:szCs w:val="1"/>
                <w:color w:val="auto"/>
              </w:rPr>
            </w:pPr>
          </w:p>
        </w:tc>
      </w:tr>
      <w:tr>
        <w:trPr>
          <w:trHeight w:val="195"/>
        </w:trPr>
        <w:tc>
          <w:tcPr>
            <w:tcW w:w="46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Consolidated Balance Sheet:</w:t>
            </w:r>
          </w:p>
        </w:tc>
        <w:tc>
          <w:tcPr>
            <w:tcW w:w="1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740" w:type="dxa"/>
            <w:vAlign w:val="bottom"/>
            <w:gridSpan w:val="2"/>
          </w:tcPr>
          <w:p>
            <w:pPr>
              <w:ind w:left="160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14,932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367</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15,299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contract costs</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1,346</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Total current assets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35,176</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1,713</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36,889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costs, net of current portion</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2,973</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340"/>
              <w:spacing w:after="0"/>
              <w:rPr>
                <w:sz w:val="20"/>
                <w:szCs w:val="20"/>
                <w:color w:val="auto"/>
              </w:rPr>
            </w:pPr>
            <w:r>
              <w:rPr>
                <w:rFonts w:ascii="Arial" w:cs="Arial" w:eastAsia="Arial" w:hAnsi="Arial"/>
                <w:sz w:val="17"/>
                <w:szCs w:val="17"/>
                <w:color w:val="auto"/>
              </w:rPr>
              <w:t>Total assets</w:t>
            </w: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vMerge w:val="continue"/>
          </w:tcPr>
          <w:p>
            <w:pPr>
              <w:spacing w:after="0"/>
              <w:rPr>
                <w:sz w:val="18"/>
                <w:szCs w:val="18"/>
                <w:color w:val="auto"/>
              </w:rPr>
            </w:pPr>
          </w:p>
        </w:tc>
        <w:tc>
          <w:tcPr>
            <w:tcW w:w="1740" w:type="dxa"/>
            <w:vAlign w:val="bottom"/>
            <w:gridSpan w:val="2"/>
          </w:tcPr>
          <w:p>
            <w:pPr>
              <w:ind w:left="160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87,061</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4,686</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91,747</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revenue</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32,187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(729)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31,458</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36,676</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(729)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35,947</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36,676</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(729)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35,947</w:t>
            </w:r>
          </w:p>
        </w:tc>
        <w:tc>
          <w:tcPr>
            <w:tcW w:w="0" w:type="dxa"/>
            <w:vAlign w:val="bottom"/>
          </w:tcPr>
          <w:p>
            <w:pPr>
              <w:spacing w:after="0"/>
              <w:rPr>
                <w:sz w:val="1"/>
                <w:szCs w:val="1"/>
                <w:color w:val="auto"/>
              </w:rPr>
            </w:pPr>
          </w:p>
        </w:tc>
      </w:tr>
      <w:tr>
        <w:trPr>
          <w:trHeight w:val="203"/>
        </w:trPr>
        <w:tc>
          <w:tcPr>
            <w:tcW w:w="4660" w:type="dxa"/>
            <w:vAlign w:val="bottom"/>
          </w:tcPr>
          <w:p>
            <w:pPr>
              <w:ind w:left="340"/>
              <w:spacing w:after="0"/>
              <w:rPr>
                <w:sz w:val="20"/>
                <w:szCs w:val="20"/>
                <w:color w:val="auto"/>
              </w:rPr>
            </w:pPr>
            <w:r>
              <w:rPr>
                <w:rFonts w:ascii="Arial" w:cs="Arial" w:eastAsia="Arial" w:hAnsi="Arial"/>
                <w:sz w:val="17"/>
                <w:szCs w:val="17"/>
                <w:color w:val="auto"/>
              </w:rPr>
              <w:t>Members’ capital</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50,385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5,415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55,800</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and members’ capital</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87,061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4,686</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91,747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The following tables compare the reported consolidated balance sheet as of December 31, 2019 and statements of (loss) income for the periods from July 16, 2019 to December 31, 2019 and January 1, 2019 to July 15, 2019, to the adjusted amounts had ASC 605</w:t>
      </w:r>
      <w:r>
        <w:rPr>
          <w:rFonts w:ascii="Arial" w:cs="Arial" w:eastAsia="Arial" w:hAnsi="Arial"/>
          <w:sz w:val="17"/>
          <w:szCs w:val="17"/>
          <w:i w:val="1"/>
          <w:iCs w:val="1"/>
          <w:color w:val="auto"/>
        </w:rPr>
        <w:t>,</w:t>
      </w:r>
      <w:r>
        <w:rPr>
          <w:rFonts w:ascii="Arial" w:cs="Arial" w:eastAsia="Arial" w:hAnsi="Arial"/>
          <w:sz w:val="17"/>
          <w:szCs w:val="17"/>
          <w:color w:val="auto"/>
        </w:rPr>
        <w:t xml:space="preserve"> the previous revenue recognition standard, been in effect:</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1040" w:type="dxa"/>
            <w:vAlign w:val="bottom"/>
            <w:gridSpan w:val="3"/>
          </w:tcPr>
          <w:p>
            <w:pPr>
              <w:ind w:left="60"/>
              <w:spacing w:after="0"/>
              <w:rPr>
                <w:sz w:val="20"/>
                <w:szCs w:val="20"/>
                <w:color w:val="auto"/>
              </w:rPr>
            </w:pPr>
            <w:r>
              <w:rPr>
                <w:rFonts w:ascii="Arial" w:cs="Arial" w:eastAsia="Arial" w:hAnsi="Arial"/>
                <w:sz w:val="13"/>
                <w:szCs w:val="13"/>
                <w:color w:val="auto"/>
              </w:rPr>
              <w:t>As Reported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As Adjusted</w:t>
            </w:r>
          </w:p>
        </w:tc>
        <w:tc>
          <w:tcPr>
            <w:tcW w:w="0" w:type="dxa"/>
            <w:vAlign w:val="bottom"/>
          </w:tcPr>
          <w:p>
            <w:pPr>
              <w:spacing w:after="0"/>
              <w:rPr>
                <w:sz w:val="1"/>
                <w:szCs w:val="1"/>
                <w:color w:val="auto"/>
              </w:rPr>
            </w:pPr>
          </w:p>
        </w:tc>
      </w:tr>
      <w:tr>
        <w:trPr>
          <w:trHeight w:val="139"/>
        </w:trPr>
        <w:tc>
          <w:tcPr>
            <w:tcW w:w="6120" w:type="dxa"/>
            <w:vAlign w:val="bottom"/>
          </w:tcPr>
          <w:p>
            <w:pPr>
              <w:spacing w:after="0"/>
              <w:rPr>
                <w:sz w:val="12"/>
                <w:szCs w:val="12"/>
                <w:color w:val="auto"/>
              </w:rPr>
            </w:pPr>
          </w:p>
        </w:tc>
        <w:tc>
          <w:tcPr>
            <w:tcW w:w="104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December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ind w:left="20"/>
              <w:spacing w:after="0" w:line="139" w:lineRule="exact"/>
              <w:rPr>
                <w:sz w:val="20"/>
                <w:szCs w:val="20"/>
                <w:color w:val="auto"/>
              </w:rPr>
            </w:pPr>
            <w:r>
              <w:rPr>
                <w:rFonts w:ascii="Arial" w:cs="Arial" w:eastAsia="Arial" w:hAnsi="Arial"/>
                <w:sz w:val="13"/>
                <w:szCs w:val="13"/>
                <w:color w:val="auto"/>
                <w:w w:val="97"/>
              </w:rPr>
              <w:t>December 31,</w:t>
            </w:r>
          </w:p>
        </w:tc>
        <w:tc>
          <w:tcPr>
            <w:tcW w:w="0" w:type="dxa"/>
            <w:vAlign w:val="bottom"/>
          </w:tcPr>
          <w:p>
            <w:pPr>
              <w:spacing w:after="0"/>
              <w:rPr>
                <w:sz w:val="1"/>
                <w:szCs w:val="1"/>
                <w:color w:val="auto"/>
              </w:rPr>
            </w:pPr>
          </w:p>
        </w:tc>
      </w:tr>
      <w:tr>
        <w:trPr>
          <w:trHeight w:val="158"/>
        </w:trPr>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color w:val="auto"/>
              </w:rPr>
              <w:t>2019</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Arial" w:cs="Arial" w:eastAsia="Arial" w:hAnsi="Arial"/>
                <w:sz w:val="13"/>
                <w:szCs w:val="13"/>
                <w:color w:val="auto"/>
              </w:rPr>
              <w:t>Adjustments</w:t>
            </w:r>
          </w:p>
        </w:tc>
        <w:tc>
          <w:tcPr>
            <w:tcW w:w="10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1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Consolidated Balance Sheet:</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25,021</w:t>
            </w:r>
          </w:p>
        </w:tc>
        <w:tc>
          <w:tcPr>
            <w:tcW w:w="4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24,771</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contract assets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34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36,107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35,088</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 net of current portion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2,116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(2,116)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1,721,154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(3,135)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1,718,019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revenue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46,967</w:t>
            </w:r>
          </w:p>
        </w:tc>
        <w:tc>
          <w:tcPr>
            <w:tcW w:w="0" w:type="dxa"/>
            <w:vAlign w:val="bottom"/>
          </w:tcPr>
          <w:p>
            <w:pPr>
              <w:spacing w:after="0"/>
              <w:rPr>
                <w:sz w:val="1"/>
                <w:szCs w:val="1"/>
                <w:color w:val="auto"/>
              </w:rPr>
            </w:pPr>
          </w:p>
        </w:tc>
      </w:tr>
      <w:tr>
        <w:trPr>
          <w:trHeight w:val="203"/>
        </w:trPr>
        <w:tc>
          <w:tcPr>
            <w:tcW w:w="612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69,917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70,907</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504,914</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505,904</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7"/>
                <w:szCs w:val="17"/>
                <w:color w:val="auto"/>
              </w:rPr>
              <w:t>Members’ capital (deficit)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1,216,240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(4,125)</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1,212,115</w:t>
            </w:r>
          </w:p>
        </w:tc>
        <w:tc>
          <w:tcPr>
            <w:tcW w:w="0" w:type="dxa"/>
            <w:vAlign w:val="bottom"/>
          </w:tcPr>
          <w:p>
            <w:pPr>
              <w:spacing w:after="0"/>
              <w:rPr>
                <w:sz w:val="1"/>
                <w:szCs w:val="1"/>
                <w:color w:val="auto"/>
              </w:rPr>
            </w:pPr>
          </w:p>
        </w:tc>
      </w:tr>
      <w:tr>
        <w:trPr>
          <w:trHeight w:val="25"/>
        </w:trPr>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and members’ capital (deficit)</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1,721,154</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(3,135)</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1,718,019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3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Predecessor Company</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tcPr>
          <w:p>
            <w:pPr>
              <w:jc w:val="right"/>
              <w:ind w:right="620"/>
              <w:spacing w:after="0" w:line="114" w:lineRule="exact"/>
              <w:rPr>
                <w:sz w:val="20"/>
                <w:szCs w:val="20"/>
                <w:color w:val="auto"/>
              </w:rPr>
            </w:pPr>
            <w:r>
              <w:rPr>
                <w:rFonts w:ascii="Arial" w:cs="Arial" w:eastAsia="Arial" w:hAnsi="Arial"/>
                <w:sz w:val="13"/>
                <w:szCs w:val="13"/>
                <w:color w:val="auto"/>
              </w:rPr>
              <w:t>As Reported</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jc w:val="right"/>
              <w:ind w:right="217"/>
              <w:spacing w:after="0" w:line="114" w:lineRule="exact"/>
              <w:rPr>
                <w:sz w:val="20"/>
                <w:szCs w:val="20"/>
                <w:color w:val="auto"/>
              </w:rPr>
            </w:pPr>
            <w:r>
              <w:rPr>
                <w:rFonts w:ascii="Arial" w:cs="Arial" w:eastAsia="Arial" w:hAnsi="Arial"/>
                <w:sz w:val="13"/>
                <w:szCs w:val="13"/>
                <w:color w:val="auto"/>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gridSpan w:val="3"/>
          </w:tcPr>
          <w:p>
            <w:pPr>
              <w:spacing w:after="0" w:line="139" w:lineRule="exact"/>
              <w:rPr>
                <w:sz w:val="20"/>
                <w:szCs w:val="20"/>
                <w:color w:val="auto"/>
              </w:rPr>
            </w:pPr>
            <w:r>
              <w:rPr>
                <w:rFonts w:ascii="Arial" w:cs="Arial" w:eastAsia="Arial" w:hAnsi="Arial"/>
                <w:sz w:val="13"/>
                <w:szCs w:val="13"/>
                <w:color w:val="auto"/>
              </w:rPr>
              <w:t>Period from January 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3"/>
          </w:tcPr>
          <w:p>
            <w:pPr>
              <w:spacing w:after="0" w:line="139" w:lineRule="exact"/>
              <w:rPr>
                <w:sz w:val="20"/>
                <w:szCs w:val="20"/>
                <w:color w:val="auto"/>
              </w:rPr>
            </w:pPr>
            <w:r>
              <w:rPr>
                <w:rFonts w:ascii="Arial" w:cs="Arial" w:eastAsia="Arial" w:hAnsi="Arial"/>
                <w:sz w:val="13"/>
                <w:szCs w:val="13"/>
                <w:color w:val="auto"/>
              </w:rPr>
              <w:t>Period from January 1,</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3"/>
                <w:szCs w:val="13"/>
                <w:color w:val="auto"/>
                <w:w w:val="96"/>
              </w:rPr>
              <w:t>2019 to July 15, 2019</w:t>
            </w:r>
          </w:p>
        </w:tc>
        <w:tc>
          <w:tcPr>
            <w:tcW w:w="5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3"/>
                <w:szCs w:val="13"/>
                <w:color w:val="auto"/>
              </w:rPr>
              <w:t>Adjustments</w:t>
            </w:r>
          </w:p>
        </w:tc>
        <w:tc>
          <w:tcPr>
            <w:tcW w:w="1340" w:type="dxa"/>
            <w:vAlign w:val="bottom"/>
            <w:gridSpan w:val="3"/>
          </w:tcPr>
          <w:p>
            <w:pPr>
              <w:ind w:left="20"/>
              <w:spacing w:after="0"/>
              <w:rPr>
                <w:sz w:val="20"/>
                <w:szCs w:val="20"/>
                <w:color w:val="auto"/>
              </w:rPr>
            </w:pPr>
            <w:r>
              <w:rPr>
                <w:rFonts w:ascii="Arial" w:cs="Arial" w:eastAsia="Arial" w:hAnsi="Arial"/>
                <w:sz w:val="13"/>
                <w:szCs w:val="13"/>
                <w:color w:val="auto"/>
              </w:rPr>
              <w:t>2019 to July 15, 2019</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45,458</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(79)</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45,379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7"/>
                <w:szCs w:val="17"/>
                <w:color w:val="auto"/>
              </w:rPr>
              <w:t>Total cost of revenue</w:t>
            </w: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5,328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40,130</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(79)</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40,051</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7"/>
                <w:szCs w:val="17"/>
                <w:color w:val="auto"/>
              </w:rPr>
              <w:t>Sales and marketing</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16,039</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1,416</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17,455</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27,097</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28,513</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340"/>
              <w:spacing w:after="0"/>
              <w:rPr>
                <w:sz w:val="20"/>
                <w:szCs w:val="20"/>
                <w:color w:val="auto"/>
              </w:rPr>
            </w:pPr>
            <w:r>
              <w:rPr>
                <w:rFonts w:ascii="Arial" w:cs="Arial" w:eastAsia="Arial" w:hAnsi="Arial"/>
                <w:sz w:val="17"/>
                <w:szCs w:val="17"/>
                <w:color w:val="auto"/>
              </w:rPr>
              <w:t>Income (loss) from operations</w:t>
            </w: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13,033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7"/>
                <w:szCs w:val="17"/>
                <w:color w:val="auto"/>
              </w:rPr>
              <w:t>(1,495)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11,538</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(165)</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680"/>
              <w:spacing w:after="0"/>
              <w:rPr>
                <w:sz w:val="20"/>
                <w:szCs w:val="20"/>
                <w:color w:val="auto"/>
              </w:rPr>
            </w:pPr>
            <w:r>
              <w:rPr>
                <w:rFonts w:ascii="Arial" w:cs="Arial" w:eastAsia="Arial" w:hAnsi="Arial"/>
                <w:sz w:val="17"/>
                <w:szCs w:val="17"/>
                <w:color w:val="auto"/>
              </w:rPr>
              <w:t>Net income (loss)</w:t>
            </w: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12,868</w:t>
            </w:r>
          </w:p>
        </w:tc>
        <w:tc>
          <w:tcPr>
            <w:tcW w:w="7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860"/>
              <w:spacing w:after="0"/>
              <w:rPr>
                <w:sz w:val="20"/>
                <w:szCs w:val="20"/>
                <w:color w:val="auto"/>
              </w:rPr>
            </w:pPr>
            <w:r>
              <w:rPr>
                <w:rFonts w:ascii="Arial" w:cs="Arial" w:eastAsia="Arial" w:hAnsi="Arial"/>
                <w:sz w:val="17"/>
                <w:szCs w:val="17"/>
                <w:color w:val="auto"/>
              </w:rPr>
              <w:t>(1,495)</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11,373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1100"/>
              <w:spacing w:after="0"/>
              <w:rPr>
                <w:sz w:val="20"/>
                <w:szCs w:val="20"/>
                <w:color w:val="auto"/>
              </w:rPr>
            </w:pPr>
            <w:r>
              <w:rPr>
                <w:rFonts w:ascii="Arial" w:cs="Arial" w:eastAsia="Arial" w:hAnsi="Arial"/>
                <w:sz w:val="17"/>
                <w:szCs w:val="17"/>
                <w:color w:val="auto"/>
                <w:w w:val="97"/>
              </w:rPr>
              <w:t>F-22</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65" w:right="77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Successor Company</w:t>
            </w: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tcPr>
          <w:p>
            <w:pPr>
              <w:jc w:val="center"/>
              <w:ind w:right="520"/>
              <w:spacing w:after="0" w:line="114" w:lineRule="exact"/>
              <w:rPr>
                <w:sz w:val="20"/>
                <w:szCs w:val="20"/>
                <w:color w:val="auto"/>
              </w:rPr>
            </w:pPr>
            <w:r>
              <w:rPr>
                <w:rFonts w:ascii="Arial" w:cs="Arial" w:eastAsia="Arial" w:hAnsi="Arial"/>
                <w:sz w:val="13"/>
                <w:szCs w:val="13"/>
                <w:color w:val="auto"/>
                <w:w w:val="94"/>
              </w:rPr>
              <w:t>As Reported</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center"/>
              <w:ind w:right="99"/>
              <w:spacing w:after="0" w:line="114" w:lineRule="exact"/>
              <w:rPr>
                <w:sz w:val="20"/>
                <w:szCs w:val="20"/>
                <w:color w:val="auto"/>
              </w:rPr>
            </w:pPr>
            <w:r>
              <w:rPr>
                <w:rFonts w:ascii="Arial" w:cs="Arial" w:eastAsia="Arial" w:hAnsi="Arial"/>
                <w:sz w:val="13"/>
                <w:szCs w:val="13"/>
                <w:color w:val="auto"/>
                <w:w w:val="95"/>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1540" w:type="dxa"/>
            <w:vAlign w:val="bottom"/>
            <w:gridSpan w:val="3"/>
          </w:tcPr>
          <w:p>
            <w:pPr>
              <w:jc w:val="center"/>
              <w:ind w:right="320"/>
              <w:spacing w:after="0" w:line="139" w:lineRule="exact"/>
              <w:rPr>
                <w:sz w:val="20"/>
                <w:szCs w:val="20"/>
                <w:color w:val="auto"/>
              </w:rPr>
            </w:pPr>
            <w:r>
              <w:rPr>
                <w:rFonts w:ascii="Arial" w:cs="Arial" w:eastAsia="Arial" w:hAnsi="Arial"/>
                <w:sz w:val="13"/>
                <w:szCs w:val="13"/>
                <w:color w:val="auto"/>
                <w:w w:val="95"/>
              </w:rPr>
              <w:t>Period from July 16,</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3"/>
                <w:szCs w:val="13"/>
                <w:color w:val="auto"/>
                <w:w w:val="95"/>
              </w:rPr>
              <w:t>Period from July 16,</w:t>
            </w: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1540" w:type="dxa"/>
            <w:vAlign w:val="bottom"/>
            <w:gridSpan w:val="3"/>
          </w:tcPr>
          <w:p>
            <w:pPr>
              <w:jc w:val="center"/>
              <w:ind w:right="340"/>
              <w:spacing w:after="0" w:line="139" w:lineRule="exact"/>
              <w:rPr>
                <w:sz w:val="20"/>
                <w:szCs w:val="20"/>
                <w:color w:val="auto"/>
              </w:rPr>
            </w:pPr>
            <w:r>
              <w:rPr>
                <w:rFonts w:ascii="Arial" w:cs="Arial" w:eastAsia="Arial" w:hAnsi="Arial"/>
                <w:sz w:val="13"/>
                <w:szCs w:val="13"/>
                <w:color w:val="auto"/>
                <w:w w:val="93"/>
              </w:rPr>
              <w:t>2019 to December 31,</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3"/>
                <w:szCs w:val="13"/>
                <w:color w:val="auto"/>
                <w:w w:val="91"/>
              </w:rPr>
              <w:t>2019 to December 31,</w:t>
            </w: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79"/>
              <w:spacing w:after="0"/>
              <w:rPr>
                <w:sz w:val="20"/>
                <w:szCs w:val="20"/>
                <w:color w:val="auto"/>
              </w:rPr>
            </w:pPr>
            <w:r>
              <w:rPr>
                <w:rFonts w:ascii="Arial" w:cs="Arial" w:eastAsia="Arial" w:hAnsi="Arial"/>
                <w:sz w:val="13"/>
                <w:szCs w:val="13"/>
                <w:color w:val="auto"/>
                <w:w w:val="89"/>
              </w:rPr>
              <w:t>2019</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3"/>
                <w:szCs w:val="13"/>
                <w:color w:val="auto"/>
              </w:rPr>
              <w:t>Adjustments</w:t>
            </w: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40,045</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(66)</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39,979</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7"/>
                <w:szCs w:val="17"/>
                <w:color w:val="auto"/>
              </w:rPr>
              <w:t>Total cost of revenue</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13,282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13,282</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26,763</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(66)</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26,697</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Sales and marketing</w:t>
            </w:r>
          </w:p>
        </w:tc>
        <w:tc>
          <w:tcPr>
            <w:tcW w:w="18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10,814</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7"/>
                <w:szCs w:val="17"/>
                <w:color w:val="auto"/>
              </w:rPr>
              <w:t>2,885</w:t>
            </w: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13,699</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57,825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2,885</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60,710</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340"/>
              <w:spacing w:after="0"/>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(31,062)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7"/>
                <w:szCs w:val="17"/>
                <w:color w:val="auto"/>
              </w:rPr>
              <w:t>(2,951)</w:t>
            </w: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(34,013)</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(18,204)</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(18,204)</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68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(49,266)</w:t>
            </w:r>
          </w:p>
        </w:tc>
        <w:tc>
          <w:tcPr>
            <w:tcW w:w="68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780"/>
              <w:spacing w:after="0"/>
              <w:rPr>
                <w:sz w:val="20"/>
                <w:szCs w:val="20"/>
                <w:color w:val="auto"/>
              </w:rPr>
            </w:pPr>
            <w:r>
              <w:rPr>
                <w:rFonts w:ascii="Arial" w:cs="Arial" w:eastAsia="Arial" w:hAnsi="Arial"/>
                <w:sz w:val="17"/>
                <w:szCs w:val="17"/>
                <w:color w:val="auto"/>
              </w:rPr>
              <w:t>(2,951)</w:t>
            </w:r>
          </w:p>
        </w:tc>
        <w:tc>
          <w:tcPr>
            <w:tcW w:w="180" w:type="dxa"/>
            <w:vAlign w:val="bottom"/>
          </w:tcPr>
          <w:p>
            <w:pPr>
              <w:jc w:val="right"/>
              <w:ind w:right="4"/>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(52,217)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In January 2017, the FASB issued ASU No. 2017-04</w:t>
      </w:r>
      <w:r>
        <w:rPr>
          <w:rFonts w:ascii="Arial" w:cs="Arial" w:eastAsia="Arial" w:hAnsi="Arial"/>
          <w:sz w:val="17"/>
          <w:szCs w:val="17"/>
          <w:i w:val="1"/>
          <w:iCs w:val="1"/>
          <w:color w:val="auto"/>
        </w:rPr>
        <w:t>—Goodwill and Other (Topic 350) – Simplifying the Test for Goodwill Impairment.</w:t>
      </w:r>
      <w:r>
        <w:rPr>
          <w:rFonts w:ascii="Arial" w:cs="Arial" w:eastAsia="Arial" w:hAnsi="Arial"/>
          <w:sz w:val="17"/>
          <w:szCs w:val="17"/>
          <w:color w:val="auto"/>
        </w:rPr>
        <w:t xml:space="preserve"> ASU 2017-04 simplifies the accounting for goodwill impairments by eliminating step 2 from the goodwill impairment test. The amendment is effective for fiscal years beginning after December 15, 2020. The Company adopted this standard on January 1, 2019. The adoption did not have a material impact on the Company’s financial statements.</w:t>
      </w:r>
    </w:p>
    <w:p>
      <w:pPr>
        <w:spacing w:after="0" w:line="179" w:lineRule="exact"/>
        <w:rPr>
          <w:sz w:val="20"/>
          <w:szCs w:val="20"/>
          <w:color w:val="auto"/>
        </w:rPr>
      </w:pPr>
    </w:p>
    <w:p>
      <w:pPr>
        <w:ind w:left="460" w:right="40" w:firstLine="413"/>
        <w:spacing w:after="0" w:line="290" w:lineRule="auto"/>
        <w:rPr>
          <w:sz w:val="20"/>
          <w:szCs w:val="20"/>
          <w:color w:val="auto"/>
        </w:rPr>
      </w:pPr>
      <w:r>
        <w:rPr>
          <w:rFonts w:ascii="Arial" w:cs="Arial" w:eastAsia="Arial" w:hAnsi="Arial"/>
          <w:sz w:val="15"/>
          <w:szCs w:val="15"/>
          <w:color w:val="auto"/>
        </w:rPr>
        <w:t>In June 2018, the FASB issued ASU No. 2018-07</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This standard aligns most of the guidance on share-based payments to nonemployees with share-based payments</w:t>
      </w:r>
    </w:p>
    <w:p>
      <w:pPr>
        <w:ind w:left="460" w:right="100"/>
        <w:spacing w:after="0" w:line="253" w:lineRule="auto"/>
        <w:rPr>
          <w:sz w:val="20"/>
          <w:szCs w:val="20"/>
          <w:color w:val="auto"/>
        </w:rPr>
      </w:pPr>
      <w:r>
        <w:rPr>
          <w:rFonts w:ascii="Arial" w:cs="Arial" w:eastAsia="Arial" w:hAnsi="Arial"/>
          <w:sz w:val="17"/>
          <w:szCs w:val="17"/>
          <w:color w:val="auto"/>
        </w:rPr>
        <w:t>to employees. The amendment is effective for fiscal years beginning after December 15, 2019 and interim periods within fiscal years beginning after December 15, 2020, with early adoption permitted. The Company adopted the update in its 2020 annual and interim periods. The adoption did not have an impact on the consolidated financial statements.</w:t>
      </w:r>
    </w:p>
    <w:p>
      <w:pPr>
        <w:spacing w:after="0" w:line="282"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Recently-Issued Accounting Pronouncements Not Yet Adopted</w:t>
      </w:r>
    </w:p>
    <w:p>
      <w:pPr>
        <w:spacing w:after="0" w:line="108" w:lineRule="exact"/>
        <w:rPr>
          <w:sz w:val="20"/>
          <w:szCs w:val="20"/>
          <w:color w:val="auto"/>
        </w:rPr>
      </w:pPr>
    </w:p>
    <w:p>
      <w:pPr>
        <w:ind w:left="460" w:right="100" w:firstLine="413"/>
        <w:spacing w:after="0" w:line="291" w:lineRule="auto"/>
        <w:rPr>
          <w:sz w:val="20"/>
          <w:szCs w:val="20"/>
          <w:color w:val="auto"/>
        </w:rPr>
      </w:pPr>
      <w:r>
        <w:rPr>
          <w:rFonts w:ascii="Arial" w:cs="Arial" w:eastAsia="Arial" w:hAnsi="Arial"/>
          <w:sz w:val="15"/>
          <w:szCs w:val="15"/>
          <w:color w:val="auto"/>
        </w:rPr>
        <w:t>In February 2016, the FASB issued ASU 2016-02—</w:t>
      </w:r>
      <w:r>
        <w:rPr>
          <w:rFonts w:ascii="Arial" w:cs="Arial" w:eastAsia="Arial" w:hAnsi="Arial"/>
          <w:sz w:val="15"/>
          <w:szCs w:val="15"/>
          <w:i w:val="1"/>
          <w:iCs w:val="1"/>
          <w:color w:val="auto"/>
        </w:rPr>
        <w:t>Leases</w:t>
      </w:r>
      <w:r>
        <w:rPr>
          <w:rFonts w:ascii="Arial" w:cs="Arial" w:eastAsia="Arial" w:hAnsi="Arial"/>
          <w:sz w:val="15"/>
          <w:szCs w:val="15"/>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57"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—Financial Instruments—Credit Losses (Topic 326)—Measurement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This standard is intended to improve financial reporting by requiring earlier recognition of credit losses on financing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81" w:lineRule="exact"/>
        <w:rPr>
          <w:sz w:val="20"/>
          <w:szCs w:val="20"/>
          <w:color w:val="auto"/>
        </w:rPr>
      </w:pPr>
    </w:p>
    <w:p>
      <w:pPr>
        <w:ind w:left="460" w:right="20" w:firstLine="413"/>
        <w:spacing w:after="0" w:line="311" w:lineRule="auto"/>
        <w:rPr>
          <w:sz w:val="20"/>
          <w:szCs w:val="20"/>
          <w:color w:val="auto"/>
        </w:rPr>
      </w:pPr>
      <w:r>
        <w:rPr>
          <w:rFonts w:ascii="Arial" w:cs="Arial" w:eastAsia="Arial" w:hAnsi="Arial"/>
          <w:sz w:val="15"/>
          <w:szCs w:val="15"/>
          <w:color w:val="auto"/>
        </w:rPr>
        <w:t>In August 2018, the FASB issued ASU No. 2018-15—</w:t>
      </w:r>
      <w:r>
        <w:rPr>
          <w:rFonts w:ascii="Arial" w:cs="Arial" w:eastAsia="Arial" w:hAnsi="Arial"/>
          <w:sz w:val="15"/>
          <w:szCs w:val="15"/>
          <w:i w:val="1"/>
          <w:iCs w:val="1"/>
          <w:color w:val="auto"/>
        </w:rPr>
        <w:t>Intangibles—Goodwill and Other—Internal-Use Software (Subtopic 350-40), Customer’s</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 for Implementation Costs Incurred in a Cloud Computing Arrangement That Is a Service Contract</w:t>
      </w:r>
      <w:r>
        <w:rPr>
          <w:rFonts w:ascii="Arial" w:cs="Arial" w:eastAsia="Arial" w:hAnsi="Arial"/>
          <w:sz w:val="15"/>
          <w:szCs w:val="15"/>
          <w:color w:val="auto"/>
        </w:rPr>
        <w:t>. This standard aligns the requirements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capitalizing implementation costs incurred in a hosting arrangement that is a service contract with the requirements for capitalizing</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780"/>
          </w:cols>
          <w:pgMar w:left="320" w:top="466" w:right="79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320"/>
        <w:spacing w:after="0" w:line="303" w:lineRule="auto"/>
        <w:rPr>
          <w:sz w:val="20"/>
          <w:szCs w:val="20"/>
          <w:color w:val="auto"/>
        </w:rPr>
      </w:pPr>
      <w:r>
        <w:rPr>
          <w:rFonts w:ascii="Arial" w:cs="Arial" w:eastAsia="Arial" w:hAnsi="Arial"/>
          <w:sz w:val="16"/>
          <w:szCs w:val="16"/>
          <w:color w:val="auto"/>
        </w:rPr>
        <w:t>implementation costs incurred to develop or obtain internal-use software. The amendment is effective for fiscal years beginning after December 15, 2020 and early adoption is permitted. The adoption did not have a material impact on its consolidated financial statements.</w:t>
      </w:r>
    </w:p>
    <w:p>
      <w:pPr>
        <w:spacing w:after="0" w:line="143" w:lineRule="exact"/>
        <w:rPr>
          <w:sz w:val="20"/>
          <w:szCs w:val="20"/>
          <w:color w:val="auto"/>
        </w:rPr>
      </w:pPr>
    </w:p>
    <w:p>
      <w:pPr>
        <w:ind w:left="460" w:right="80" w:firstLine="413"/>
        <w:spacing w:after="0" w:line="256" w:lineRule="auto"/>
        <w:rPr>
          <w:sz w:val="20"/>
          <w:szCs w:val="20"/>
          <w:color w:val="auto"/>
        </w:rPr>
      </w:pPr>
      <w:r>
        <w:rPr>
          <w:rFonts w:ascii="Arial" w:cs="Arial" w:eastAsia="Arial" w:hAnsi="Arial"/>
          <w:sz w:val="17"/>
          <w:szCs w:val="17"/>
          <w:color w:val="auto"/>
        </w:rPr>
        <w:t>In December 2019, the FASB issued ASU No. 2019-12—</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7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10" w:lineRule="exact"/>
        <w:rPr>
          <w:sz w:val="20"/>
          <w:szCs w:val="20"/>
          <w:color w:val="auto"/>
        </w:rPr>
      </w:pPr>
    </w:p>
    <w:p>
      <w:pPr>
        <w:ind w:left="860" w:hanging="403"/>
        <w:spacing w:after="0"/>
        <w:tabs>
          <w:tab w:leader="none" w:pos="860"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Business Combinations</w:t>
      </w:r>
    </w:p>
    <w:p>
      <w:pPr>
        <w:spacing w:after="0" w:line="108"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14"/>
        </w:trPr>
        <w:tc>
          <w:tcPr>
            <w:tcW w:w="7600" w:type="dxa"/>
            <w:vAlign w:val="bottom"/>
            <w:gridSpan w:val="2"/>
          </w:tcPr>
          <w:p>
            <w:pPr>
              <w:spacing w:after="0"/>
              <w:rPr>
                <w:sz w:val="20"/>
                <w:szCs w:val="20"/>
                <w:color w:val="auto"/>
              </w:rPr>
            </w:pPr>
            <w:r>
              <w:rPr>
                <w:rFonts w:ascii="Arial" w:cs="Arial" w:eastAsia="Arial" w:hAnsi="Arial"/>
                <w:sz w:val="17"/>
                <w:szCs w:val="17"/>
                <w:color w:val="auto"/>
              </w:rPr>
              <w:t>The consideration transferred for the transaction is summarized as follows (in thousands):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2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124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$ 18,307</w:t>
            </w:r>
          </w:p>
        </w:tc>
        <w:tc>
          <w:tcPr>
            <w:tcW w:w="80" w:type="dxa"/>
            <w:vAlign w:val="bottom"/>
            <w:shd w:val="clear" w:color="auto" w:fill="CCEEFF"/>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Equity issuance</w:t>
            </w:r>
          </w:p>
        </w:tc>
        <w:tc>
          <w:tcPr>
            <w:tcW w:w="580" w:type="dxa"/>
            <w:vAlign w:val="bottom"/>
          </w:tcPr>
          <w:p>
            <w:pPr>
              <w:jc w:val="right"/>
              <w:spacing w:after="0"/>
              <w:rPr>
                <w:sz w:val="20"/>
                <w:szCs w:val="20"/>
                <w:color w:val="auto"/>
              </w:rPr>
            </w:pPr>
            <w:r>
              <w:rPr>
                <w:rFonts w:ascii="Arial" w:cs="Arial" w:eastAsia="Arial" w:hAnsi="Arial"/>
                <w:sz w:val="17"/>
                <w:szCs w:val="17"/>
                <w:color w:val="auto"/>
              </w:rPr>
              <w:t>25,439</w:t>
            </w:r>
          </w:p>
        </w:tc>
        <w:tc>
          <w:tcPr>
            <w:tcW w:w="80" w:type="dxa"/>
            <w:vAlign w:val="bottom"/>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80" w:type="dxa"/>
            <w:vAlign w:val="bottom"/>
            <w:shd w:val="clear" w:color="auto" w:fill="CCEEFF"/>
          </w:tcPr>
          <w:p>
            <w:pPr>
              <w:spacing w:after="0"/>
              <w:rPr>
                <w:sz w:val="17"/>
                <w:szCs w:val="17"/>
                <w:color w:val="auto"/>
              </w:rPr>
            </w:pPr>
          </w:p>
        </w:tc>
      </w:tr>
      <w:tr>
        <w:trPr>
          <w:trHeight w:val="208"/>
        </w:trPr>
        <w:tc>
          <w:tcPr>
            <w:tcW w:w="124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$ 46,346</w:t>
            </w:r>
          </w:p>
        </w:tc>
        <w:tc>
          <w:tcPr>
            <w:tcW w:w="80" w:type="dxa"/>
            <w:vAlign w:val="bottom"/>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Cash consideration for the acquisition was primarily provided through borrowings under the Company’s credit facility.</w:t>
      </w:r>
    </w:p>
    <w:p>
      <w:pPr>
        <w:spacing w:after="0" w:line="210" w:lineRule="exact"/>
        <w:rPr>
          <w:sz w:val="20"/>
          <w:szCs w:val="20"/>
          <w:color w:val="auto"/>
        </w:rPr>
      </w:pPr>
    </w:p>
    <w:p>
      <w:pPr>
        <w:ind w:left="460" w:right="20" w:firstLine="413"/>
        <w:spacing w:after="0" w:line="290" w:lineRule="auto"/>
        <w:rPr>
          <w:sz w:val="20"/>
          <w:szCs w:val="20"/>
          <w:color w:val="auto"/>
        </w:rPr>
      </w:pPr>
      <w:r>
        <w:rPr>
          <w:rFonts w:ascii="Arial" w:cs="Arial" w:eastAsia="Arial" w:hAnsi="Arial"/>
          <w:sz w:val="15"/>
          <w:szCs w:val="15"/>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460" w:right="120"/>
        <w:spacing w:after="0" w:line="257" w:lineRule="auto"/>
        <w:rPr>
          <w:sz w:val="20"/>
          <w:szCs w:val="20"/>
          <w:color w:val="auto"/>
        </w:rPr>
      </w:pPr>
      <w:r>
        <w:rPr>
          <w:rFonts w:ascii="Arial" w:cs="Arial" w:eastAsia="Arial" w:hAnsi="Arial"/>
          <w:sz w:val="17"/>
          <w:szCs w:val="17"/>
          <w:color w:val="auto"/>
        </w:rPr>
        <w:t>$5.0 million and $0 to $10 million based on ARR of below $8.5 million to over $9.5 million and below $12.0 million to over $16.0 million for each of the twelve month periods ending December 31, 2020 and 2021, respectively.</w:t>
      </w:r>
    </w:p>
    <w:p>
      <w:pPr>
        <w:spacing w:after="0" w:line="177" w:lineRule="exact"/>
        <w:rPr>
          <w:sz w:val="20"/>
          <w:szCs w:val="20"/>
          <w:color w:val="auto"/>
        </w:rPr>
      </w:pPr>
    </w:p>
    <w:p>
      <w:pPr>
        <w:ind w:left="460" w:right="420" w:firstLine="413"/>
        <w:spacing w:after="0" w:line="340" w:lineRule="auto"/>
        <w:rPr>
          <w:sz w:val="20"/>
          <w:szCs w:val="20"/>
          <w:color w:val="auto"/>
        </w:rPr>
      </w:pPr>
      <w:r>
        <w:rPr>
          <w:rFonts w:ascii="Arial" w:cs="Arial" w:eastAsia="Arial" w:hAnsi="Arial"/>
          <w:sz w:val="15"/>
          <w:szCs w:val="15"/>
          <w:color w:val="auto"/>
        </w:rPr>
        <w:t>The Company estimated the fair value of the contingent consideration to be $5.2 million at December 31, 2020 based on the achievement of Annual 2020 ARR targets and the probability of achieving the 2021 targets. Refer to note 9. Fair Value Measurements for more detail.</w:t>
      </w:r>
    </w:p>
    <w:p>
      <w:pPr>
        <w:spacing w:after="0" w:line="5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740"/>
          </w:cols>
          <w:pgMar w:left="320" w:top="465" w:right="83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97" w:lineRule="exact"/>
        <w:rPr>
          <w:sz w:val="20"/>
          <w:szCs w:val="20"/>
          <w:color w:val="auto"/>
        </w:rPr>
      </w:pPr>
    </w:p>
    <w:tbl>
      <w:tblPr>
        <w:tblLayout w:type="fixed"/>
        <w:tblInd w:w="2120" w:type="dxa"/>
        <w:tblCellMar>
          <w:top w:w="0" w:type="dxa"/>
          <w:left w:w="0" w:type="dxa"/>
          <w:bottom w:w="0" w:type="dxa"/>
          <w:right w:w="0" w:type="dxa"/>
        </w:tblCellMar>
      </w:tblPr>
      <w:tr>
        <w:trPr>
          <w:trHeight w:val="158"/>
        </w:trPr>
        <w:tc>
          <w:tcPr>
            <w:tcW w:w="5960" w:type="dxa"/>
            <w:vAlign w:val="bottom"/>
          </w:tcPr>
          <w:p>
            <w:pPr>
              <w:spacing w:after="0"/>
              <w:rPr>
                <w:sz w:val="13"/>
                <w:szCs w:val="13"/>
                <w:color w:val="auto"/>
              </w:rPr>
            </w:pPr>
          </w:p>
        </w:tc>
        <w:tc>
          <w:tcPr>
            <w:tcW w:w="1060" w:type="dxa"/>
            <w:vAlign w:val="bottom"/>
            <w:gridSpan w:val="4"/>
          </w:tcPr>
          <w:p>
            <w:pPr>
              <w:spacing w:after="0"/>
              <w:rPr>
                <w:sz w:val="20"/>
                <w:szCs w:val="20"/>
                <w:color w:val="auto"/>
              </w:rPr>
            </w:pPr>
            <w:r>
              <w:rPr>
                <w:rFonts w:ascii="Arial" w:cs="Arial" w:eastAsia="Arial" w:hAnsi="Arial"/>
                <w:sz w:val="13"/>
                <w:szCs w:val="13"/>
                <w:color w:val="auto"/>
              </w:rPr>
              <w:t>October 27, 2020</w:t>
            </w:r>
          </w:p>
        </w:tc>
      </w:tr>
      <w:tr>
        <w:trPr>
          <w:trHeight w:val="195"/>
        </w:trPr>
        <w:tc>
          <w:tcPr>
            <w:tcW w:w="59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8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18,900</w:t>
            </w:r>
          </w:p>
        </w:tc>
        <w:tc>
          <w:tcPr>
            <w:tcW w:w="8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8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(2,137)</w:t>
            </w: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(2,884)</w:t>
            </w:r>
          </w:p>
        </w:tc>
      </w:tr>
      <w:tr>
        <w:trPr>
          <w:trHeight w:val="208"/>
        </w:trPr>
        <w:tc>
          <w:tcPr>
            <w:tcW w:w="5960" w:type="dxa"/>
            <w:vAlign w:val="bottom"/>
          </w:tcPr>
          <w:p>
            <w:pPr>
              <w:spacing w:after="0"/>
              <w:rPr>
                <w:sz w:val="20"/>
                <w:szCs w:val="20"/>
                <w:color w:val="auto"/>
              </w:rPr>
            </w:pPr>
            <w:r>
              <w:rPr>
                <w:rFonts w:ascii="Arial" w:cs="Arial" w:eastAsia="Arial" w:hAnsi="Arial"/>
                <w:sz w:val="17"/>
                <w:szCs w:val="17"/>
                <w:color w:val="auto"/>
              </w:rPr>
              <w:t>Total assets acquired and liabilities assumed</w:t>
            </w: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46,346</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60" w:firstLine="413"/>
        <w:spacing w:after="0" w:line="253" w:lineRule="auto"/>
        <w:rPr>
          <w:sz w:val="20"/>
          <w:szCs w:val="20"/>
          <w:color w:val="auto"/>
        </w:rPr>
      </w:pPr>
      <w:r>
        <w:rPr>
          <w:rFonts w:ascii="Arial" w:cs="Arial" w:eastAsia="Arial" w:hAnsi="Arial"/>
          <w:sz w:val="17"/>
          <w:szCs w:val="17"/>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for more detail on determination of fair value.</w:t>
      </w:r>
    </w:p>
    <w:p>
      <w:pPr>
        <w:spacing w:after="0" w:line="182"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1" w:lineRule="exact"/>
        <w:rPr>
          <w:sz w:val="20"/>
          <w:szCs w:val="20"/>
          <w:color w:val="auto"/>
        </w:rPr>
      </w:pPr>
    </w:p>
    <w:p>
      <w:pPr>
        <w:jc w:val="both"/>
        <w:ind w:left="460" w:right="60" w:firstLine="413"/>
        <w:spacing w:after="0" w:line="260" w:lineRule="auto"/>
        <w:rPr>
          <w:sz w:val="20"/>
          <w:szCs w:val="20"/>
          <w:color w:val="auto"/>
        </w:rPr>
      </w:pPr>
      <w:r>
        <w:rPr>
          <w:rFonts w:ascii="Arial" w:cs="Arial" w:eastAsia="Arial" w:hAnsi="Arial"/>
          <w:sz w:val="17"/>
          <w:szCs w:val="17"/>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75" w:lineRule="exact"/>
        <w:rPr>
          <w:sz w:val="20"/>
          <w:szCs w:val="20"/>
          <w:color w:val="auto"/>
        </w:rPr>
      </w:pPr>
    </w:p>
    <w:p>
      <w:pPr>
        <w:ind w:left="460" w:right="20" w:firstLine="413"/>
        <w:spacing w:after="0" w:line="274" w:lineRule="auto"/>
        <w:rPr>
          <w:sz w:val="20"/>
          <w:szCs w:val="20"/>
          <w:color w:val="auto"/>
        </w:rPr>
      </w:pPr>
      <w:r>
        <w:rPr>
          <w:rFonts w:ascii="Arial" w:cs="Arial" w:eastAsia="Arial" w:hAnsi="Arial"/>
          <w:sz w:val="16"/>
          <w:szCs w:val="16"/>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65" w:lineRule="exact"/>
        <w:rPr>
          <w:sz w:val="20"/>
          <w:szCs w:val="20"/>
          <w:color w:val="auto"/>
        </w:rPr>
      </w:pPr>
    </w:p>
    <w:p>
      <w:pPr>
        <w:ind w:left="460" w:right="180" w:firstLine="413"/>
        <w:spacing w:after="0" w:line="256" w:lineRule="auto"/>
        <w:rPr>
          <w:sz w:val="20"/>
          <w:szCs w:val="20"/>
          <w:color w:val="auto"/>
        </w:rPr>
      </w:pPr>
      <w:r>
        <w:rPr>
          <w:rFonts w:ascii="Arial" w:cs="Arial" w:eastAsia="Arial" w:hAnsi="Arial"/>
          <w:sz w:val="17"/>
          <w:szCs w:val="17"/>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780"/>
          </w:cols>
          <w:pgMar w:left="320" w:top="465" w:right="79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80" w:firstLine="413"/>
        <w:spacing w:after="0" w:line="303" w:lineRule="auto"/>
        <w:rPr>
          <w:sz w:val="20"/>
          <w:szCs w:val="20"/>
          <w:color w:val="auto"/>
        </w:rPr>
      </w:pPr>
      <w:r>
        <w:rPr>
          <w:rFonts w:ascii="Arial" w:cs="Arial" w:eastAsia="Arial" w:hAnsi="Arial"/>
          <w:sz w:val="16"/>
          <w:szCs w:val="16"/>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43" w:lineRule="exact"/>
        <w:rPr>
          <w:sz w:val="20"/>
          <w:szCs w:val="20"/>
          <w:color w:val="auto"/>
        </w:rPr>
      </w:pPr>
    </w:p>
    <w:p>
      <w:pPr>
        <w:ind w:left="460" w:right="420" w:firstLine="413"/>
        <w:spacing w:after="0" w:line="272" w:lineRule="auto"/>
        <w:rPr>
          <w:sz w:val="20"/>
          <w:szCs w:val="20"/>
          <w:color w:val="auto"/>
        </w:rPr>
      </w:pPr>
      <w:r>
        <w:rPr>
          <w:rFonts w:ascii="Arial" w:cs="Arial" w:eastAsia="Arial" w:hAnsi="Arial"/>
          <w:sz w:val="17"/>
          <w:szCs w:val="17"/>
          <w:color w:val="auto"/>
        </w:rPr>
        <w:t>In connection with the acquisition, the Company recognized acquisition related costs of $0.4 million which were recorded within transaction expenses in the accompanying consolidated statements of income (loss).</w:t>
      </w:r>
    </w:p>
    <w:p>
      <w:pPr>
        <w:spacing w:after="0" w:line="165" w:lineRule="exact"/>
        <w:rPr>
          <w:sz w:val="20"/>
          <w:szCs w:val="20"/>
          <w:color w:val="auto"/>
        </w:rPr>
      </w:pPr>
    </w:p>
    <w:p>
      <w:pPr>
        <w:ind w:left="460" w:right="520" w:firstLine="413"/>
        <w:spacing w:after="0" w:line="260" w:lineRule="auto"/>
        <w:rPr>
          <w:sz w:val="20"/>
          <w:szCs w:val="20"/>
          <w:color w:val="auto"/>
        </w:rPr>
      </w:pPr>
      <w:r>
        <w:rPr>
          <w:rFonts w:ascii="Arial" w:cs="Arial" w:eastAsia="Arial" w:hAnsi="Arial"/>
          <w:sz w:val="17"/>
          <w:szCs w:val="17"/>
          <w:color w:val="auto"/>
        </w:rPr>
        <w:t>The net loss of Monocl is included in the Company’s consolidated results since the date of acquisition. The revenue and net loss of Monocl reflected in the consolidated statements of income (loss) for the year ended December 31, 2020 (Successor) were $1.2 million and $1.6 million,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Unaudited Pro Forma Supplementary Data</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720" w:type="dxa"/>
            <w:vAlign w:val="bottom"/>
            <w:vMerge w:val="restart"/>
          </w:tcPr>
          <w:p>
            <w:pPr>
              <w:spacing w:after="0"/>
              <w:rPr>
                <w:sz w:val="20"/>
                <w:szCs w:val="20"/>
                <w:color w:val="auto"/>
              </w:rPr>
            </w:pPr>
            <w:r>
              <w:rPr>
                <w:rFonts w:ascii="Arial" w:cs="Arial" w:eastAsia="Arial" w:hAnsi="Arial"/>
                <w:sz w:val="13"/>
                <w:szCs w:val="13"/>
                <w:color w:val="auto"/>
              </w:rPr>
              <w:t>(in thousands)</w:t>
            </w: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2"/>
          </w:tcPr>
          <w:p>
            <w:pPr>
              <w:jc w:val="right"/>
              <w:ind w:right="1180"/>
              <w:spacing w:after="0"/>
              <w:rPr>
                <w:sz w:val="20"/>
                <w:szCs w:val="20"/>
                <w:color w:val="auto"/>
              </w:rPr>
            </w:pPr>
            <w:r>
              <w:rPr>
                <w:rFonts w:ascii="Arial" w:cs="Arial" w:eastAsia="Arial" w:hAnsi="Arial"/>
                <w:sz w:val="13"/>
                <w:szCs w:val="13"/>
                <w:color w:val="auto"/>
                <w:w w:val="98"/>
              </w:rPr>
              <w:t>Year Ended</w:t>
            </w:r>
          </w:p>
        </w:tc>
        <w:tc>
          <w:tcPr>
            <w:tcW w:w="16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color w:val="auto"/>
              </w:rPr>
              <w:t>Year Ended</w:t>
            </w:r>
          </w:p>
        </w:tc>
        <w:tc>
          <w:tcPr>
            <w:tcW w:w="0" w:type="dxa"/>
            <w:vAlign w:val="bottom"/>
          </w:tcPr>
          <w:p>
            <w:pPr>
              <w:spacing w:after="0"/>
              <w:rPr>
                <w:sz w:val="1"/>
                <w:szCs w:val="1"/>
                <w:color w:val="auto"/>
              </w:rPr>
            </w:pPr>
          </w:p>
        </w:tc>
      </w:tr>
      <w:tr>
        <w:trPr>
          <w:trHeight w:val="158"/>
        </w:trPr>
        <w:tc>
          <w:tcPr>
            <w:tcW w:w="272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2020" w:type="dxa"/>
            <w:vAlign w:val="bottom"/>
            <w:gridSpan w:val="3"/>
          </w:tcPr>
          <w:p>
            <w:pPr>
              <w:spacing w:after="0"/>
              <w:rPr>
                <w:sz w:val="20"/>
                <w:szCs w:val="20"/>
                <w:color w:val="auto"/>
              </w:rPr>
            </w:pPr>
            <w:r>
              <w:rPr>
                <w:rFonts w:ascii="Arial" w:cs="Arial" w:eastAsia="Arial" w:hAnsi="Arial"/>
                <w:sz w:val="13"/>
                <w:szCs w:val="13"/>
                <w:color w:val="auto"/>
              </w:rPr>
              <w:t>December 31, 2020</w:t>
            </w:r>
          </w:p>
        </w:tc>
        <w:tc>
          <w:tcPr>
            <w:tcW w:w="1160" w:type="dxa"/>
            <w:vAlign w:val="bottom"/>
            <w:gridSpan w:val="3"/>
          </w:tcPr>
          <w:p>
            <w:pPr>
              <w:spacing w:after="0"/>
              <w:rPr>
                <w:sz w:val="20"/>
                <w:szCs w:val="20"/>
                <w:color w:val="auto"/>
              </w:rPr>
            </w:pPr>
            <w:r>
              <w:rPr>
                <w:rFonts w:ascii="Arial" w:cs="Arial" w:eastAsia="Arial" w:hAnsi="Arial"/>
                <w:sz w:val="13"/>
                <w:szCs w:val="13"/>
                <w:color w:val="auto"/>
                <w:w w:val="99"/>
              </w:rPr>
              <w:t>December 31, 2019</w:t>
            </w:r>
          </w:p>
        </w:tc>
        <w:tc>
          <w:tcPr>
            <w:tcW w:w="0" w:type="dxa"/>
            <w:vAlign w:val="bottom"/>
          </w:tcPr>
          <w:p>
            <w:pPr>
              <w:spacing w:after="0"/>
              <w:rPr>
                <w:sz w:val="1"/>
                <w:szCs w:val="1"/>
                <w:color w:val="auto"/>
              </w:rPr>
            </w:pPr>
          </w:p>
        </w:tc>
      </w:tr>
      <w:tr>
        <w:trPr>
          <w:trHeight w:val="195"/>
        </w:trPr>
        <w:tc>
          <w:tcPr>
            <w:tcW w:w="27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9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122,333</w:t>
            </w:r>
          </w:p>
        </w:tc>
        <w:tc>
          <w:tcPr>
            <w:tcW w:w="9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87,157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20"/>
                <w:szCs w:val="20"/>
                <w:color w:val="auto"/>
              </w:rPr>
            </w:pPr>
            <w:r>
              <w:rPr>
                <w:rFonts w:ascii="Arial" w:cs="Arial" w:eastAsia="Arial" w:hAnsi="Arial"/>
                <w:sz w:val="17"/>
                <w:szCs w:val="17"/>
                <w:color w:val="auto"/>
              </w:rPr>
              <w:t>Net loss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900"/>
              <w:spacing w:after="0"/>
              <w:rPr>
                <w:sz w:val="20"/>
                <w:szCs w:val="20"/>
                <w:color w:val="auto"/>
              </w:rPr>
            </w:pPr>
            <w:r>
              <w:rPr>
                <w:rFonts w:ascii="Arial" w:cs="Arial" w:eastAsia="Arial" w:hAnsi="Arial"/>
                <w:sz w:val="17"/>
                <w:szCs w:val="17"/>
                <w:color w:val="auto"/>
              </w:rPr>
              <w:t>(58,350)</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(97,134)</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unaudited pro forma supplementary data presented in the table above shows the effect of the Monocl and Definitive Holdco Acquisitions, as if</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transactions had occurred at the beginning of fiscal year 2019. The pro forma net loss includes adjustments to amortization expense for the valuation</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other intangible assets of $0.8 million and $1.2 million and interest expense related to incremental borrowings used to finance the transaction of</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 million and $1.2 million for the years ended December 31, 2020 and 2019, respectively. Acquisition expenses of $0.4 million were excluded from</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 forma net loss for the year ended December 31, 2020 and included in the pro forma net loss for the year-ended December 31, 2019. The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unaudited pro forma supplementary data is provided for informational purposes only and should not be construed to be indicative of the Company’s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results of operations had the acquisition been consummated on the date assumed or of the Company’s results of operations for any future date.</w:t>
      </w:r>
    </w:p>
    <w:p>
      <w:pPr>
        <w:spacing w:after="0" w:line="31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2019 acquisitions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Definitive Holdco (“Definitive Holdco Acquisition”)</w:t>
      </w:r>
    </w:p>
    <w:p>
      <w:pPr>
        <w:spacing w:after="0" w:line="108" w:lineRule="exact"/>
        <w:rPr>
          <w:sz w:val="20"/>
          <w:szCs w:val="20"/>
          <w:color w:val="auto"/>
        </w:rPr>
      </w:pPr>
    </w:p>
    <w:p>
      <w:pPr>
        <w:jc w:val="both"/>
        <w:ind w:left="460" w:right="380" w:firstLine="413"/>
        <w:spacing w:after="0" w:line="260" w:lineRule="auto"/>
        <w:rPr>
          <w:sz w:val="20"/>
          <w:szCs w:val="20"/>
          <w:color w:val="auto"/>
        </w:rPr>
      </w:pPr>
      <w:r>
        <w:rPr>
          <w:rFonts w:ascii="Arial" w:cs="Arial" w:eastAsia="Arial" w:hAnsi="Arial"/>
          <w:sz w:val="17"/>
          <w:szCs w:val="17"/>
          <w:color w:val="auto"/>
        </w:rPr>
        <w:t>On July 16, 2019, Advent, our Sponsor, entered into an agreement with Definitive Holdco (the “Agreement”) to, among other things, acquire 100% of its issued and outstanding units, for a total consideration of $1,699.6 million, consisting of $1,129.3 million of cash and $570.3 million of equity units issued to the sellers and former owners.</w:t>
      </w:r>
    </w:p>
    <w:p>
      <w:pPr>
        <w:spacing w:after="0" w:line="175" w:lineRule="exact"/>
        <w:rPr>
          <w:sz w:val="20"/>
          <w:szCs w:val="20"/>
          <w:color w:val="auto"/>
        </w:rPr>
      </w:pPr>
    </w:p>
    <w:p>
      <w:pPr>
        <w:ind w:left="460" w:right="840" w:firstLine="413"/>
        <w:spacing w:after="0" w:line="272" w:lineRule="auto"/>
        <w:rPr>
          <w:sz w:val="20"/>
          <w:szCs w:val="20"/>
          <w:color w:val="auto"/>
        </w:rPr>
      </w:pPr>
      <w:r>
        <w:rPr>
          <w:rFonts w:ascii="Arial" w:cs="Arial" w:eastAsia="Arial" w:hAnsi="Arial"/>
          <w:sz w:val="17"/>
          <w:szCs w:val="17"/>
          <w:color w:val="auto"/>
        </w:rPr>
        <w:t>For purposes of the Agreement, affiliated legal entities of Advent include Advent IX Funds, AIDH Holdings, Inc. (“AIDH Holdings”), AIDH TopCo, AIDH Buyer, and AIDH Finance Sub, LLC (“AIDH Finance Sub”).</w:t>
      </w:r>
    </w:p>
    <w:p>
      <w:pPr>
        <w:spacing w:after="0" w:line="165" w:lineRule="exact"/>
        <w:rPr>
          <w:sz w:val="20"/>
          <w:szCs w:val="20"/>
          <w:color w:val="auto"/>
        </w:rPr>
      </w:pPr>
    </w:p>
    <w:p>
      <w:pPr>
        <w:jc w:val="both"/>
        <w:ind w:left="460" w:right="160" w:firstLine="413"/>
        <w:spacing w:after="0" w:line="260" w:lineRule="auto"/>
        <w:rPr>
          <w:sz w:val="20"/>
          <w:szCs w:val="20"/>
          <w:color w:val="auto"/>
        </w:rPr>
      </w:pPr>
      <w:r>
        <w:rPr>
          <w:rFonts w:ascii="Arial" w:cs="Arial" w:eastAsia="Arial" w:hAnsi="Arial"/>
          <w:sz w:val="17"/>
          <w:szCs w:val="17"/>
          <w:color w:val="auto"/>
        </w:rPr>
        <w:t>Advent IX Funds owns 100% of the outstanding units of AIDH Holdings. AIDH Holdings owns 55% of the outstanding units of the Company, with the remaining interests (45%) issued to the prior owners of Definitive Holdco as rollover units. The Company owns 100% of outstanding units of AIDH Buyer. Upon acquisition, AIDH Buyer owns 100% of Definitive Holdco.</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transactions outlined in the Agreement were executed as follows:</w:t>
      </w:r>
    </w:p>
    <w:p>
      <w:pPr>
        <w:spacing w:after="0" w:line="108" w:lineRule="exact"/>
        <w:rPr>
          <w:sz w:val="20"/>
          <w:szCs w:val="20"/>
          <w:color w:val="auto"/>
        </w:rPr>
      </w:pPr>
    </w:p>
    <w:p>
      <w:pPr>
        <w:ind w:left="460" w:right="320" w:firstLine="410"/>
        <w:spacing w:after="0" w:line="277" w:lineRule="auto"/>
        <w:tabs>
          <w:tab w:leader="none" w:pos="116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Debt Financing. Immediately prior to closing of the Agreement, AIDH Finance Sub, an affiliated legal entity of Advent, entered into debt financing agreements for a $450.0 million term loan payable (the “2019 Term Loan”), a $100.0 million delayed draw term loan payable (the “2019 Delayed Draw Term Loan”), and a $25.0 million revolving debt facility (the “2019 Revolving Debt Facility). See Note 8, for more detail. These financing agreements were collateralized by 100% of AIDH Finance Sub capital prior to the Finance Merger, defined below.</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780"/>
          </w:cols>
          <w:pgMar w:left="320" w:top="465" w:right="79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0" w:firstLine="410"/>
        <w:spacing w:after="0" w:line="272" w:lineRule="auto"/>
        <w:tabs>
          <w:tab w:leader="none" w:pos="116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164" w:lineRule="exact"/>
        <w:rPr>
          <w:rFonts w:ascii="Arial" w:cs="Arial" w:eastAsia="Arial" w:hAnsi="Arial"/>
          <w:sz w:val="17"/>
          <w:szCs w:val="17"/>
          <w:color w:val="auto"/>
        </w:rPr>
      </w:pPr>
    </w:p>
    <w:p>
      <w:pPr>
        <w:ind w:left="460" w:firstLine="410"/>
        <w:spacing w:after="0" w:line="260" w:lineRule="auto"/>
        <w:tabs>
          <w:tab w:leader="none" w:pos="116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Distribution and Purchase of Units. Immediately after the Finance Merger, net proceeds from the debt financing (approximately $432.4 million) were paid to the prior owners of Definitive Holdco. Additionally, AIDH Buyer distributed $1,267.3 million (cash of $697.0 million and rollover equity of $570.3 million in the Company) as purchase consideration for all outstanding units of Definitive Holdco.</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214"/>
        </w:trPr>
        <w:tc>
          <w:tcPr>
            <w:tcW w:w="7320" w:type="dxa"/>
            <w:vAlign w:val="bottom"/>
            <w:gridSpan w:val="2"/>
          </w:tcPr>
          <w:p>
            <w:pPr>
              <w:spacing w:after="0"/>
              <w:rPr>
                <w:sz w:val="20"/>
                <w:szCs w:val="20"/>
                <w:color w:val="auto"/>
              </w:rPr>
            </w:pPr>
            <w:r>
              <w:rPr>
                <w:rFonts w:ascii="Arial" w:cs="Arial" w:eastAsia="Arial" w:hAnsi="Arial"/>
                <w:sz w:val="17"/>
                <w:szCs w:val="17"/>
                <w:color w:val="auto"/>
              </w:rPr>
              <w:t>The consideration transferred for the transaction is summarized as follows (in thousands):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2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124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1,129,346</w:t>
            </w:r>
          </w:p>
        </w:tc>
      </w:tr>
      <w:tr>
        <w:trPr>
          <w:trHeight w:val="203"/>
        </w:trPr>
        <w:tc>
          <w:tcPr>
            <w:tcW w:w="124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Common units issued</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570,266</w:t>
            </w:r>
          </w:p>
        </w:tc>
      </w:tr>
      <w:tr>
        <w:trPr>
          <w:trHeight w:val="25"/>
        </w:trPr>
        <w:tc>
          <w:tcPr>
            <w:tcW w:w="1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124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1,699,612</w:t>
            </w:r>
          </w:p>
        </w:tc>
      </w:tr>
      <w:tr>
        <w:trPr>
          <w:trHeight w:val="20"/>
        </w:trPr>
        <w:tc>
          <w:tcPr>
            <w:tcW w:w="12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Of the total cash consideration, $1,122.4 million was paid upon closing and $6.9 million in July 2020. Cash consideration for the acquisition was partly provided by net proceeds from the 2019 Term Loan, as outlined above.</w:t>
      </w:r>
    </w:p>
    <w:p>
      <w:pPr>
        <w:spacing w:after="0" w:line="165" w:lineRule="exact"/>
        <w:rPr>
          <w:sz w:val="20"/>
          <w:szCs w:val="20"/>
          <w:color w:val="auto"/>
        </w:rPr>
      </w:pPr>
    </w:p>
    <w:p>
      <w:pPr>
        <w:ind w:left="460" w:right="80" w:firstLine="413"/>
        <w:spacing w:after="0" w:line="303" w:lineRule="auto"/>
        <w:rPr>
          <w:sz w:val="20"/>
          <w:szCs w:val="20"/>
          <w:color w:val="auto"/>
        </w:rPr>
      </w:pPr>
      <w:r>
        <w:rPr>
          <w:rFonts w:ascii="Arial" w:cs="Arial" w:eastAsia="Arial" w:hAnsi="Arial"/>
          <w:sz w:val="16"/>
          <w:szCs w:val="16"/>
          <w:color w:val="auto"/>
        </w:rPr>
        <w:t>The purchase accounting for the Definitive Holdco Acquisition, was finalized as of July 16, 2020. The final allocation of the acquisition-date fair values of assets and liabilities pertaining to this business combination as of July 16, 2020, was as follows (in thousands).</w:t>
      </w:r>
    </w:p>
    <w:p>
      <w:pPr>
        <w:spacing w:after="0" w:line="151" w:lineRule="exact"/>
        <w:rPr>
          <w:sz w:val="20"/>
          <w:szCs w:val="20"/>
          <w:color w:val="auto"/>
        </w:rPr>
      </w:pPr>
    </w:p>
    <w:tbl>
      <w:tblPr>
        <w:tblLayout w:type="fixed"/>
        <w:tblInd w:w="880" w:type="dxa"/>
        <w:tblCellMar>
          <w:top w:w="0" w:type="dxa"/>
          <w:left w:w="0" w:type="dxa"/>
          <w:bottom w:w="0" w:type="dxa"/>
          <w:right w:w="0" w:type="dxa"/>
        </w:tblCellMar>
      </w:tblPr>
      <w:tr>
        <w:trPr>
          <w:trHeight w:val="31"/>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60" w:type="dxa"/>
            <w:vAlign w:val="bottom"/>
            <w:gridSpan w:val="3"/>
            <w:vMerge w:val="restart"/>
          </w:tcPr>
          <w:p>
            <w:pPr>
              <w:jc w:val="center"/>
              <w:ind w:right="340"/>
              <w:spacing w:after="0"/>
              <w:rPr>
                <w:sz w:val="20"/>
                <w:szCs w:val="20"/>
                <w:color w:val="auto"/>
              </w:rPr>
            </w:pPr>
            <w:r>
              <w:rPr>
                <w:rFonts w:ascii="Arial" w:cs="Arial" w:eastAsia="Arial" w:hAnsi="Arial"/>
                <w:sz w:val="13"/>
                <w:szCs w:val="13"/>
                <w:b w:val="1"/>
                <w:bCs w:val="1"/>
                <w:color w:val="auto"/>
                <w:w w:val="87"/>
              </w:rPr>
              <w:t>Predecessor</w:t>
            </w: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gridSpan w:val="6"/>
            <w:vMerge w:val="restart"/>
          </w:tcPr>
          <w:p>
            <w:pPr>
              <w:ind w:left="200"/>
              <w:spacing w:after="0"/>
              <w:rPr>
                <w:sz w:val="20"/>
                <w:szCs w:val="20"/>
                <w:color w:val="auto"/>
              </w:rPr>
            </w:pPr>
            <w:r>
              <w:rPr>
                <w:rFonts w:ascii="Arial" w:cs="Arial" w:eastAsia="Arial" w:hAnsi="Arial"/>
                <w:sz w:val="13"/>
                <w:szCs w:val="13"/>
                <w:b w:val="1"/>
                <w:bCs w:val="1"/>
                <w:color w:val="auto"/>
              </w:rPr>
              <w:t>Successor Company</w:t>
            </w:r>
          </w:p>
        </w:tc>
        <w:tc>
          <w:tcPr>
            <w:tcW w:w="0" w:type="dxa"/>
            <w:vAlign w:val="bottom"/>
          </w:tcPr>
          <w:p>
            <w:pPr>
              <w:spacing w:after="0" w:line="20" w:lineRule="exact"/>
              <w:rPr>
                <w:sz w:val="1"/>
                <w:szCs w:val="1"/>
                <w:color w:val="auto"/>
              </w:rPr>
            </w:pPr>
          </w:p>
        </w:tc>
      </w:tr>
      <w:tr>
        <w:trPr>
          <w:trHeight w:val="119"/>
        </w:trPr>
        <w:tc>
          <w:tcPr>
            <w:tcW w:w="3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Company</w:t>
            </w:r>
          </w:p>
        </w:tc>
        <w:tc>
          <w:tcPr>
            <w:tcW w:w="34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7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7"/>
              </w:rPr>
              <w:t>Carrying</w:t>
            </w:r>
          </w:p>
        </w:tc>
        <w:tc>
          <w:tcPr>
            <w:tcW w:w="340" w:type="dxa"/>
            <w:vAlign w:val="bottom"/>
          </w:tcPr>
          <w:p>
            <w:pPr>
              <w:spacing w:after="0"/>
              <w:rPr>
                <w:sz w:val="9"/>
                <w:szCs w:val="9"/>
                <w:color w:val="auto"/>
              </w:rPr>
            </w:pPr>
          </w:p>
        </w:tc>
        <w:tc>
          <w:tcPr>
            <w:tcW w:w="340" w:type="dxa"/>
            <w:vAlign w:val="bottom"/>
            <w:tcBorders>
              <w:left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37"/>
              <w:spacing w:after="0" w:line="114" w:lineRule="exact"/>
              <w:rPr>
                <w:sz w:val="20"/>
                <w:szCs w:val="20"/>
                <w:color w:val="auto"/>
              </w:rPr>
            </w:pPr>
            <w:r>
              <w:rPr>
                <w:rFonts w:ascii="Arial" w:cs="Arial" w:eastAsia="Arial" w:hAnsi="Arial"/>
                <w:sz w:val="13"/>
                <w:szCs w:val="13"/>
                <w:color w:val="auto"/>
                <w:w w:val="99"/>
              </w:rPr>
              <w:t>Final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60" w:type="dxa"/>
            <w:vAlign w:val="bottom"/>
            <w:gridSpan w:val="3"/>
          </w:tcPr>
          <w:p>
            <w:pPr>
              <w:jc w:val="center"/>
              <w:ind w:right="340"/>
              <w:spacing w:after="0" w:line="139" w:lineRule="exact"/>
              <w:rPr>
                <w:sz w:val="20"/>
                <w:szCs w:val="20"/>
                <w:color w:val="auto"/>
              </w:rPr>
            </w:pPr>
            <w:r>
              <w:rPr>
                <w:rFonts w:ascii="Arial" w:cs="Arial" w:eastAsia="Arial" w:hAnsi="Arial"/>
                <w:sz w:val="13"/>
                <w:szCs w:val="13"/>
                <w:color w:val="auto"/>
                <w:w w:val="89"/>
              </w:rPr>
              <w:t>Values as of</w:t>
            </w:r>
          </w:p>
        </w:tc>
        <w:tc>
          <w:tcPr>
            <w:tcW w:w="34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w w:val="94"/>
              </w:rPr>
              <w:t>Fair Value</w:t>
            </w:r>
          </w:p>
        </w:tc>
        <w:tc>
          <w:tcPr>
            <w:tcW w:w="60" w:type="dxa"/>
            <w:vAlign w:val="bottom"/>
          </w:tcPr>
          <w:p>
            <w:pPr>
              <w:spacing w:after="0"/>
              <w:rPr>
                <w:sz w:val="12"/>
                <w:szCs w:val="12"/>
                <w:color w:val="auto"/>
              </w:rPr>
            </w:pPr>
          </w:p>
        </w:tc>
        <w:tc>
          <w:tcPr>
            <w:tcW w:w="880" w:type="dxa"/>
            <w:vAlign w:val="bottom"/>
            <w:gridSpan w:val="3"/>
          </w:tcPr>
          <w:p>
            <w:pPr>
              <w:jc w:val="center"/>
              <w:ind w:right="100"/>
              <w:spacing w:after="0" w:line="139" w:lineRule="exact"/>
              <w:rPr>
                <w:sz w:val="20"/>
                <w:szCs w:val="20"/>
                <w:color w:val="auto"/>
              </w:rPr>
            </w:pPr>
            <w:r>
              <w:rPr>
                <w:rFonts w:ascii="Arial" w:cs="Arial" w:eastAsia="Arial" w:hAnsi="Arial"/>
                <w:sz w:val="13"/>
                <w:szCs w:val="13"/>
                <w:color w:val="auto"/>
                <w:w w:val="98"/>
              </w:rPr>
              <w:t>Allocations</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3"/>
                <w:szCs w:val="13"/>
                <w:color w:val="auto"/>
                <w:w w:val="93"/>
              </w:rPr>
              <w:t>July 15, 2019</w:t>
            </w:r>
          </w:p>
        </w:tc>
        <w:tc>
          <w:tcPr>
            <w:tcW w:w="340" w:type="dxa"/>
            <w:vAlign w:val="bottom"/>
            <w:tcBorders>
              <w:left w:val="single" w:sz="8" w:color="auto"/>
            </w:tcBorders>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w w:val="97"/>
              </w:rPr>
              <w:t>Adjustments</w:t>
            </w:r>
          </w:p>
        </w:tc>
        <w:tc>
          <w:tcPr>
            <w:tcW w:w="6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color w:val="auto"/>
                <w:w w:val="95"/>
              </w:rPr>
              <w:t>July 16, 2019</w:t>
            </w:r>
          </w:p>
        </w:tc>
        <w:tc>
          <w:tcPr>
            <w:tcW w:w="0" w:type="dxa"/>
            <w:vAlign w:val="bottom"/>
          </w:tcPr>
          <w:p>
            <w:pPr>
              <w:spacing w:after="0"/>
              <w:rPr>
                <w:sz w:val="1"/>
                <w:szCs w:val="1"/>
                <w:color w:val="auto"/>
              </w:rPr>
            </w:pPr>
          </w:p>
        </w:tc>
      </w:tr>
      <w:tr>
        <w:trPr>
          <w:trHeight w:val="195"/>
        </w:trPr>
        <w:tc>
          <w:tcPr>
            <w:tcW w:w="3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w:t>
            </w:r>
          </w:p>
        </w:tc>
        <w:tc>
          <w:tcPr>
            <w:tcW w:w="2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left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7"/>
                <w:szCs w:val="17"/>
                <w:color w:val="auto"/>
              </w:rPr>
              <w:t>Accounts receivable</w:t>
            </w: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12,747</w:t>
            </w:r>
          </w:p>
        </w:tc>
        <w:tc>
          <w:tcPr>
            <w:tcW w:w="34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12,747</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costs</w:t>
            </w:r>
          </w:p>
        </w:tc>
        <w:tc>
          <w:tcPr>
            <w:tcW w:w="2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5,735</w:t>
            </w:r>
          </w:p>
        </w:tc>
        <w:tc>
          <w:tcPr>
            <w:tcW w:w="3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(5,735)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1,539</w:t>
            </w:r>
          </w:p>
        </w:tc>
        <w:tc>
          <w:tcPr>
            <w:tcW w:w="34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1,689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340" w:type="dxa"/>
            <w:vAlign w:val="bottom"/>
            <w:shd w:val="clear" w:color="auto" w:fill="CCEEFF"/>
          </w:tcPr>
          <w:p>
            <w:pPr>
              <w:spacing w:after="0"/>
              <w:rPr>
                <w:sz w:val="17"/>
                <w:szCs w:val="17"/>
                <w:color w:val="auto"/>
              </w:rPr>
            </w:pPr>
          </w:p>
        </w:tc>
        <w:tc>
          <w:tcPr>
            <w:tcW w:w="3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2,201</w:t>
            </w:r>
          </w:p>
        </w:tc>
        <w:tc>
          <w:tcPr>
            <w:tcW w:w="34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19,108</w:t>
            </w:r>
          </w:p>
        </w:tc>
        <w:tc>
          <w:tcPr>
            <w:tcW w:w="3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456,292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475,400</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(5,477)</w:t>
            </w:r>
          </w:p>
        </w:tc>
        <w:tc>
          <w:tcPr>
            <w:tcW w:w="34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684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(4,793)</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(38,278)</w:t>
            </w:r>
          </w:p>
        </w:tc>
        <w:tc>
          <w:tcPr>
            <w:tcW w:w="3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6,278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7"/>
                <w:szCs w:val="17"/>
                <w:color w:val="auto"/>
              </w:rPr>
              <w:t>Total assets acquired and liabilities assumed</w:t>
            </w:r>
          </w:p>
        </w:tc>
        <w:tc>
          <w:tcPr>
            <w:tcW w:w="2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14,682</w:t>
            </w:r>
          </w:p>
        </w:tc>
        <w:tc>
          <w:tcPr>
            <w:tcW w:w="3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457,669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472,351</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82,767</w:t>
            </w:r>
          </w:p>
        </w:tc>
        <w:tc>
          <w:tcPr>
            <w:tcW w:w="42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1,144,494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1,227,261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7"/>
                <w:szCs w:val="17"/>
                <w:color w:val="auto"/>
              </w:rPr>
              <w:t>Total purchase price</w:t>
            </w:r>
          </w:p>
        </w:tc>
        <w:tc>
          <w:tcPr>
            <w:tcW w:w="2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8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1,699,612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560" w:type="dxa"/>
            <w:vAlign w:val="bottom"/>
            <w:gridSpan w:val="2"/>
            <w:vMerge w:val="restart"/>
          </w:tcPr>
          <w:p>
            <w:pPr>
              <w:jc w:val="right"/>
              <w:ind w:right="1371"/>
              <w:spacing w:after="0"/>
              <w:rPr>
                <w:sz w:val="20"/>
                <w:szCs w:val="20"/>
                <w:color w:val="auto"/>
              </w:rPr>
            </w:pPr>
            <w:r>
              <w:rPr>
                <w:rFonts w:ascii="Arial" w:cs="Arial" w:eastAsia="Arial" w:hAnsi="Arial"/>
                <w:sz w:val="17"/>
                <w:szCs w:val="17"/>
                <w:color w:val="auto"/>
              </w:rPr>
              <w:t>F-27</w:t>
            </w: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780" w:type="dxa"/>
            <w:vAlign w:val="bottom"/>
          </w:tcPr>
          <w:p>
            <w:pPr>
              <w:spacing w:after="0"/>
              <w:rPr>
                <w:sz w:val="24"/>
                <w:szCs w:val="24"/>
                <w:color w:val="auto"/>
              </w:rPr>
            </w:pPr>
          </w:p>
        </w:tc>
        <w:tc>
          <w:tcPr>
            <w:tcW w:w="25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65" w:right="81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firstLine="413"/>
        <w:spacing w:after="0" w:line="311" w:lineRule="auto"/>
        <w:rPr>
          <w:sz w:val="20"/>
          <w:szCs w:val="20"/>
          <w:color w:val="auto"/>
        </w:rPr>
      </w:pPr>
      <w:r>
        <w:rPr>
          <w:rFonts w:ascii="Arial" w:cs="Arial" w:eastAsia="Arial" w:hAnsi="Arial"/>
          <w:sz w:val="15"/>
          <w:szCs w:val="15"/>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Definitive Holdco Acquisition (reflected in the column “Fair Value Adjustments”) (in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Predecessor</w:t>
            </w: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Debt</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3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8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4"/>
              </w:rPr>
              <w:t>Financing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6"/>
              </w:rPr>
              <w:t>Fair Value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85"/>
              </w:rPr>
              <w:t>Successor</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20"/>
              <w:spacing w:after="0" w:line="139" w:lineRule="exact"/>
              <w:rPr>
                <w:sz w:val="20"/>
                <w:szCs w:val="20"/>
                <w:color w:val="auto"/>
              </w:rPr>
            </w:pPr>
            <w:r>
              <w:rPr>
                <w:rFonts w:ascii="Arial" w:cs="Arial" w:eastAsia="Arial" w:hAnsi="Arial"/>
                <w:sz w:val="13"/>
                <w:szCs w:val="13"/>
                <w:b w:val="1"/>
                <w:bCs w:val="1"/>
                <w:color w:val="auto"/>
                <w:w w:val="96"/>
              </w:rPr>
              <w:t>July 15,</w:t>
            </w:r>
          </w:p>
        </w:tc>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39" w:lineRule="exact"/>
              <w:rPr>
                <w:sz w:val="20"/>
                <w:szCs w:val="20"/>
                <w:color w:val="auto"/>
              </w:rPr>
            </w:pPr>
            <w:r>
              <w:rPr>
                <w:rFonts w:ascii="Arial" w:cs="Arial" w:eastAsia="Arial" w:hAnsi="Arial"/>
                <w:sz w:val="13"/>
                <w:szCs w:val="13"/>
                <w:b w:val="1"/>
                <w:bCs w:val="1"/>
                <w:color w:val="auto"/>
                <w:w w:val="92"/>
              </w:rPr>
              <w:t>/ Finance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38"/>
              <w:spacing w:after="0"/>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3"/>
                <w:szCs w:val="13"/>
                <w:color w:val="auto"/>
              </w:rPr>
            </w:pPr>
          </w:p>
        </w:tc>
        <w:tc>
          <w:tcPr>
            <w:tcW w:w="36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Merger</w:t>
            </w:r>
          </w:p>
        </w:tc>
        <w:tc>
          <w:tcPr>
            <w:tcW w:w="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6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July 16,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left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12,747</w:t>
            </w:r>
          </w:p>
        </w:tc>
        <w:tc>
          <w:tcPr>
            <w:tcW w:w="3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12,747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1,539</w:t>
            </w:r>
          </w:p>
        </w:tc>
        <w:tc>
          <w:tcPr>
            <w:tcW w:w="3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5,735</w:t>
            </w:r>
          </w:p>
        </w:tc>
        <w:tc>
          <w:tcPr>
            <w:tcW w:w="3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(5,735)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2,201</w:t>
            </w:r>
          </w:p>
        </w:tc>
        <w:tc>
          <w:tcPr>
            <w:tcW w:w="3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Intangible assets</w:t>
            </w:r>
          </w:p>
        </w:tc>
        <w:tc>
          <w:tcPr>
            <w:tcW w:w="1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19,108</w:t>
            </w:r>
          </w:p>
        </w:tc>
        <w:tc>
          <w:tcPr>
            <w:tcW w:w="3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456,292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475,400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82,767</w:t>
            </w:r>
          </w:p>
        </w:tc>
        <w:tc>
          <w:tcPr>
            <w:tcW w:w="3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1,144,494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1,227,261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49</w:t>
            </w:r>
          </w:p>
        </w:tc>
        <w:tc>
          <w:tcPr>
            <w:tcW w:w="30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14,589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14,638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4"/>
              </w:rPr>
              <w:t>141,204</w:t>
            </w:r>
          </w:p>
        </w:tc>
        <w:tc>
          <w:tcPr>
            <w:tcW w:w="3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14,605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1,595,201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1,751,010</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7"/>
                <w:szCs w:val="17"/>
                <w:color w:val="auto"/>
              </w:rPr>
              <w:t>Accounts payable and accrued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5,477</w:t>
            </w:r>
          </w:p>
        </w:tc>
        <w:tc>
          <w:tcPr>
            <w:tcW w:w="360" w:type="dxa"/>
            <w:vAlign w:val="bottom"/>
            <w:tcBorders>
              <w:left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10,407</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(684)</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15,200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38,278</w:t>
            </w:r>
          </w:p>
        </w:tc>
        <w:tc>
          <w:tcPr>
            <w:tcW w:w="3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(6,278)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Term Loan</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436,553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436,553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43,755</w:t>
            </w:r>
          </w:p>
        </w:tc>
        <w:tc>
          <w:tcPr>
            <w:tcW w:w="3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446,960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(6,962)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483,753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Members’ Capital</w:t>
            </w:r>
          </w:p>
        </w:tc>
        <w:tc>
          <w:tcPr>
            <w:tcW w:w="1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97,449</w:t>
            </w:r>
          </w:p>
        </w:tc>
        <w:tc>
          <w:tcPr>
            <w:tcW w:w="3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(432,355)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1,602,163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1,267,257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4"/>
              </w:rPr>
              <w:t>141,204</w:t>
            </w:r>
          </w:p>
        </w:tc>
        <w:tc>
          <w:tcPr>
            <w:tcW w:w="3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14,605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1,595,201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1,751,010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right="100" w:firstLine="413"/>
        <w:spacing w:after="0" w:line="260" w:lineRule="auto"/>
        <w:rPr>
          <w:sz w:val="20"/>
          <w:szCs w:val="20"/>
          <w:color w:val="auto"/>
        </w:rPr>
      </w:pPr>
      <w:r>
        <w:rPr>
          <w:rFonts w:ascii="Arial" w:cs="Arial" w:eastAsia="Arial" w:hAnsi="Arial"/>
          <w:sz w:val="17"/>
          <w:szCs w:val="17"/>
          <w:color w:val="auto"/>
        </w:rPr>
        <w:t>The Company recorded adjustments to goodwill of $1,144.5 million, and intangible assets of $456.3 million, as of the acquisition date of July 16, 2019, including adjustments to customer relationships, technology, tradenames and data of $340.8 million, $48.5 million, $32.7 million and $34.3 million, respectively.</w:t>
      </w:r>
    </w:p>
    <w:p>
      <w:pPr>
        <w:spacing w:after="0" w:line="175"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75" w:lineRule="exact"/>
        <w:rPr>
          <w:sz w:val="20"/>
          <w:szCs w:val="20"/>
          <w:color w:val="auto"/>
        </w:rPr>
      </w:pPr>
    </w:p>
    <w:p>
      <w:pPr>
        <w:jc w:val="both"/>
        <w:ind w:left="460" w:right="300" w:firstLine="413"/>
        <w:spacing w:after="0" w:line="260" w:lineRule="auto"/>
        <w:rPr>
          <w:sz w:val="20"/>
          <w:szCs w:val="20"/>
          <w:color w:val="auto"/>
        </w:rPr>
      </w:pPr>
      <w:r>
        <w:rPr>
          <w:rFonts w:ascii="Arial" w:cs="Arial" w:eastAsia="Arial" w:hAnsi="Arial"/>
          <w:sz w:val="17"/>
          <w:szCs w:val="17"/>
          <w:color w:val="auto"/>
        </w:rPr>
        <w:t>The Company performed an ASC 805 fair valuation of the acquired identifiable intangible assets as of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175"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81" w:lineRule="exact"/>
        <w:rPr>
          <w:sz w:val="20"/>
          <w:szCs w:val="20"/>
          <w:color w:val="auto"/>
        </w:rPr>
      </w:pPr>
    </w:p>
    <w:p>
      <w:pPr>
        <w:ind w:left="460" w:right="20" w:firstLine="413"/>
        <w:spacing w:after="0" w:line="254" w:lineRule="auto"/>
        <w:rPr>
          <w:sz w:val="20"/>
          <w:szCs w:val="20"/>
          <w:color w:val="auto"/>
        </w:rPr>
      </w:pPr>
      <w:r>
        <w:rPr>
          <w:rFonts w:ascii="Arial" w:cs="Arial" w:eastAsia="Arial" w:hAnsi="Arial"/>
          <w:sz w:val="17"/>
          <w:szCs w:val="17"/>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1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800"/>
          </w:cols>
          <w:pgMar w:left="320" w:top="465" w:right="77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79" w:lineRule="exact"/>
        <w:rPr>
          <w:sz w:val="20"/>
          <w:szCs w:val="20"/>
          <w:color w:val="auto"/>
        </w:rPr>
      </w:pPr>
    </w:p>
    <w:p>
      <w:pPr>
        <w:ind w:left="460" w:right="320" w:firstLine="413"/>
        <w:spacing w:after="0" w:line="272" w:lineRule="auto"/>
        <w:rPr>
          <w:sz w:val="20"/>
          <w:szCs w:val="20"/>
          <w:color w:val="auto"/>
        </w:rPr>
      </w:pPr>
      <w:r>
        <w:rPr>
          <w:rFonts w:ascii="Arial" w:cs="Arial" w:eastAsia="Arial" w:hAnsi="Arial"/>
          <w:sz w:val="17"/>
          <w:szCs w:val="17"/>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reconciles the purchase price to the capital contribution made by Sponsor as July 16, 2019 (in thousands):</w:t>
      </w:r>
    </w:p>
    <w:p>
      <w:pPr>
        <w:spacing w:after="0" w:line="248"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1,699,612</w:t>
            </w:r>
          </w:p>
        </w:tc>
        <w:tc>
          <w:tcPr>
            <w:tcW w:w="80" w:type="dxa"/>
            <w:vAlign w:val="bottom"/>
            <w:shd w:val="clear" w:color="auto" w:fill="CCEEFF"/>
          </w:tcPr>
          <w:p>
            <w:pPr>
              <w:spacing w:after="0"/>
              <w:rPr>
                <w:sz w:val="17"/>
                <w:szCs w:val="17"/>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Transaction costs paid from proceeds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4,004</w:t>
            </w:r>
          </w:p>
        </w:tc>
        <w:tc>
          <w:tcPr>
            <w:tcW w:w="80" w:type="dxa"/>
            <w:vAlign w:val="bottom"/>
          </w:tcPr>
          <w:p>
            <w:pPr>
              <w:spacing w:after="0"/>
              <w:rPr>
                <w:sz w:val="17"/>
                <w:szCs w:val="17"/>
                <w:color w:val="auto"/>
              </w:rPr>
            </w:pPr>
          </w:p>
        </w:tc>
      </w:tr>
      <w:tr>
        <w:trPr>
          <w:trHeight w:val="203"/>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Debt Financing</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436,359</w:t>
            </w:r>
          </w:p>
        </w:tc>
        <w:tc>
          <w:tcPr>
            <w:tcW w:w="80" w:type="dxa"/>
            <w:vAlign w:val="bottom"/>
            <w:shd w:val="clear" w:color="auto" w:fill="CCEEFF"/>
          </w:tcPr>
          <w:p>
            <w:pPr>
              <w:spacing w:after="0"/>
              <w:rPr>
                <w:sz w:val="17"/>
                <w:szCs w:val="17"/>
                <w:color w:val="auto"/>
              </w:rPr>
            </w:pPr>
          </w:p>
        </w:tc>
      </w:tr>
      <w:tr>
        <w:trPr>
          <w:trHeight w:val="208"/>
        </w:trPr>
        <w:tc>
          <w:tcPr>
            <w:tcW w:w="6080" w:type="dxa"/>
            <w:vAlign w:val="bottom"/>
          </w:tcPr>
          <w:p>
            <w:pPr>
              <w:ind w:left="680"/>
              <w:spacing w:after="0"/>
              <w:rPr>
                <w:sz w:val="20"/>
                <w:szCs w:val="20"/>
                <w:color w:val="auto"/>
              </w:rPr>
            </w:pPr>
            <w:r>
              <w:rPr>
                <w:rFonts w:ascii="Arial" w:cs="Arial" w:eastAsia="Arial" w:hAnsi="Arial"/>
                <w:sz w:val="17"/>
                <w:szCs w:val="17"/>
                <w:color w:val="auto"/>
              </w:rPr>
              <w:t>Capital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1,267,257</w:t>
            </w:r>
          </w:p>
        </w:tc>
        <w:tc>
          <w:tcPr>
            <w:tcW w:w="8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60" w:right="420" w:firstLine="413"/>
        <w:spacing w:after="0" w:line="287" w:lineRule="auto"/>
        <w:rPr>
          <w:sz w:val="20"/>
          <w:szCs w:val="20"/>
          <w:color w:val="auto"/>
        </w:rPr>
      </w:pPr>
      <w:r>
        <w:rPr>
          <w:rFonts w:ascii="Arial" w:cs="Arial" w:eastAsia="Arial" w:hAnsi="Arial"/>
          <w:sz w:val="15"/>
          <w:szCs w:val="15"/>
          <w:color w:val="auto"/>
        </w:rPr>
        <w:t>The results of Definitive Holdco are included in the Company’s consolidated results since the date of acquisition. The revenue of Definitive Holdco reflected in the consolidated statements of income (loss) for the year ended December 31, 2020 (Successor), period from July 16, 2019 to December 31, 2019 (Successor) and the period from January 1, 2019 to July 15, 2019 (Predecessor) was $116.9 million, $40.0 million and</w:t>
      </w:r>
    </w:p>
    <w:p>
      <w:pPr>
        <w:spacing w:after="0" w:line="1" w:lineRule="exact"/>
        <w:rPr>
          <w:sz w:val="20"/>
          <w:szCs w:val="20"/>
          <w:color w:val="auto"/>
        </w:rPr>
      </w:pPr>
    </w:p>
    <w:p>
      <w:pPr>
        <w:jc w:val="both"/>
        <w:ind w:left="460" w:right="260"/>
        <w:spacing w:after="0" w:line="253" w:lineRule="auto"/>
        <w:rPr>
          <w:sz w:val="20"/>
          <w:szCs w:val="20"/>
          <w:color w:val="auto"/>
        </w:rPr>
      </w:pPr>
      <w:r>
        <w:rPr>
          <w:rFonts w:ascii="Arial" w:cs="Arial" w:eastAsia="Arial" w:hAnsi="Arial"/>
          <w:sz w:val="17"/>
          <w:szCs w:val="17"/>
          <w:color w:val="auto"/>
        </w:rPr>
        <w:t>$45.5 million, respectively. The net (loss) income of Definitive Holdco, reflected in the consolidated statements of income (loss) for the year ended December 31, 2020 (Successor), period from July 16, 2019 to December 31, 2019 (Successor) and the period from January 1, 2019 to July 15, 2019 (Predecessor) was ($49.9 million), ($49.2 million) and $12.9 million, respectively.</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Unaudited Pro Forma Supplementary Data</w:t>
      </w:r>
    </w:p>
    <w:p>
      <w:pPr>
        <w:spacing w:after="0" w:line="219"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5840" w:type="dxa"/>
            <w:vAlign w:val="bottom"/>
            <w:vMerge w:val="restart"/>
          </w:tcPr>
          <w:p>
            <w:pPr>
              <w:spacing w:after="0"/>
              <w:rPr>
                <w:sz w:val="20"/>
                <w:szCs w:val="20"/>
                <w:color w:val="auto"/>
              </w:rPr>
            </w:pPr>
            <w:r>
              <w:rPr>
                <w:rFonts w:ascii="Arial" w:cs="Arial" w:eastAsia="Arial" w:hAnsi="Arial"/>
                <w:sz w:val="13"/>
                <w:szCs w:val="13"/>
                <w:color w:val="auto"/>
              </w:rPr>
              <w:t>(in thousands)</w:t>
            </w:r>
          </w:p>
        </w:tc>
        <w:tc>
          <w:tcPr>
            <w:tcW w:w="160" w:type="dxa"/>
            <w:vAlign w:val="bottom"/>
          </w:tcPr>
          <w:p>
            <w:pPr>
              <w:spacing w:after="0"/>
              <w:rPr>
                <w:sz w:val="12"/>
                <w:szCs w:val="1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w w:val="98"/>
              </w:rPr>
              <w:t>Year Ended</w:t>
            </w:r>
          </w:p>
        </w:tc>
        <w:tc>
          <w:tcPr>
            <w:tcW w:w="0" w:type="dxa"/>
            <w:vAlign w:val="bottom"/>
          </w:tcPr>
          <w:p>
            <w:pPr>
              <w:spacing w:after="0"/>
              <w:rPr>
                <w:sz w:val="1"/>
                <w:szCs w:val="1"/>
                <w:color w:val="auto"/>
              </w:rPr>
            </w:pPr>
          </w:p>
        </w:tc>
      </w:tr>
      <w:tr>
        <w:trPr>
          <w:trHeight w:val="158"/>
        </w:trPr>
        <w:tc>
          <w:tcPr>
            <w:tcW w:w="5840" w:type="dxa"/>
            <w:vAlign w:val="bottom"/>
            <w:vMerge w:val="continue"/>
          </w:tcPr>
          <w:p>
            <w:pPr>
              <w:spacing w:after="0"/>
              <w:rPr>
                <w:sz w:val="13"/>
                <w:szCs w:val="13"/>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December 31, 2019</w:t>
            </w:r>
          </w:p>
        </w:tc>
        <w:tc>
          <w:tcPr>
            <w:tcW w:w="0" w:type="dxa"/>
            <w:vAlign w:val="bottom"/>
          </w:tcPr>
          <w:p>
            <w:pPr>
              <w:spacing w:after="0"/>
              <w:rPr>
                <w:sz w:val="1"/>
                <w:szCs w:val="1"/>
                <w:color w:val="auto"/>
              </w:rPr>
            </w:pPr>
          </w:p>
        </w:tc>
      </w:tr>
      <w:tr>
        <w:trPr>
          <w:trHeight w:val="195"/>
        </w:trPr>
        <w:tc>
          <w:tcPr>
            <w:tcW w:w="58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84,122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Arial" w:cs="Arial" w:eastAsia="Arial" w:hAnsi="Arial"/>
                <w:sz w:val="17"/>
                <w:szCs w:val="17"/>
                <w:color w:val="auto"/>
              </w:rPr>
              <w:t>Net loss</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(92,228)</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60" w:right="120" w:firstLine="413"/>
        <w:spacing w:after="0" w:line="272" w:lineRule="auto"/>
        <w:rPr>
          <w:sz w:val="20"/>
          <w:szCs w:val="20"/>
          <w:color w:val="auto"/>
        </w:rPr>
      </w:pPr>
      <w:r>
        <w:rPr>
          <w:rFonts w:ascii="Arial" w:cs="Arial" w:eastAsia="Arial" w:hAnsi="Arial"/>
          <w:sz w:val="16"/>
          <w:szCs w:val="16"/>
          <w:color w:val="auto"/>
        </w:rPr>
        <w:t>The unaudited pro forma supplementary data presented in the table above shows the effect of the Definitive Holdco acquisition, as if the transaction had occurred at the beginning of fiscal year 2019. The pro forma net loss for the year-ended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6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HIMSS</w:t>
      </w:r>
    </w:p>
    <w:p>
      <w:pPr>
        <w:spacing w:after="0" w:line="108"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7"/>
          <w:szCs w:val="17"/>
          <w:color w:val="auto"/>
        </w:rPr>
        <w:t>On January 15, 2019, the Predecessor Company acquired substantially all of the assets and assumed substantially all of the liabilities of HIMSS for a total purchase price of $29.8 million. The Company recognized</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720"/>
          </w:cols>
          <w:pgMar w:left="320" w:top="466" w:right="85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spacing w:after="0" w:line="270" w:lineRule="auto"/>
        <w:rPr>
          <w:sz w:val="20"/>
          <w:szCs w:val="20"/>
          <w:color w:val="auto"/>
        </w:rPr>
      </w:pPr>
      <w:r>
        <w:rPr>
          <w:rFonts w:ascii="Arial" w:cs="Arial" w:eastAsia="Arial" w:hAnsi="Arial"/>
          <w:sz w:val="16"/>
          <w:szCs w:val="16"/>
          <w:color w:val="auto"/>
        </w:rPr>
        <w:t>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HSE</w:t>
      </w:r>
    </w:p>
    <w:p>
      <w:pPr>
        <w:spacing w:after="0" w:line="108" w:lineRule="exact"/>
        <w:rPr>
          <w:sz w:val="20"/>
          <w:szCs w:val="20"/>
          <w:color w:val="auto"/>
        </w:rPr>
      </w:pPr>
    </w:p>
    <w:p>
      <w:pPr>
        <w:ind w:left="460" w:firstLine="413"/>
        <w:spacing w:after="0" w:line="287" w:lineRule="auto"/>
        <w:rPr>
          <w:sz w:val="20"/>
          <w:szCs w:val="20"/>
          <w:color w:val="auto"/>
        </w:rPr>
      </w:pPr>
      <w:r>
        <w:rPr>
          <w:rFonts w:ascii="Arial" w:cs="Arial" w:eastAsia="Arial" w:hAnsi="Arial"/>
          <w:sz w:val="15"/>
          <w:szCs w:val="15"/>
          <w:color w:val="auto"/>
        </w:rPr>
        <w:t>On December 2, 2019, the Company acquired 100% of the issued and outstanding common and preferred stock of HSE for a total purchase price of $6.8 million, consisting of $2.8 million of cash and $4.0 million of equity issued. The Company recognized goodwill of $5.9 million, intangible assets of $1.2 million, deferred tax assets of $0.2 million, accounts receivable of $0.1 million, accounts payable of $0.3 million and deferred revenue of</w:t>
      </w:r>
    </w:p>
    <w:p>
      <w:pPr>
        <w:spacing w:after="0" w:line="1" w:lineRule="exact"/>
        <w:rPr>
          <w:sz w:val="20"/>
          <w:szCs w:val="20"/>
          <w:color w:val="auto"/>
        </w:rPr>
      </w:pPr>
    </w:p>
    <w:p>
      <w:pPr>
        <w:ind w:left="460" w:right="40"/>
        <w:spacing w:after="0" w:line="268" w:lineRule="auto"/>
        <w:rPr>
          <w:sz w:val="20"/>
          <w:szCs w:val="20"/>
          <w:color w:val="auto"/>
        </w:rPr>
      </w:pPr>
      <w:r>
        <w:rPr>
          <w:rFonts w:ascii="Arial" w:cs="Arial" w:eastAsia="Arial" w:hAnsi="Arial"/>
          <w:sz w:val="16"/>
          <w:szCs w:val="16"/>
          <w:color w:val="auto"/>
        </w:rPr>
        <w:t>$0.3 million, in connection with the acquisition. The acquisition was made to increase the Company’s market footprint. The goodwill arising from the acquisition consists largely of the estimated value of the assembled workforce and anticipated growth opportunities. The fair value of acquired intangible assets was determined using certain variations of the income approach and market approach. The fair values of current assets and liabilities were based upon their historical costs at the date of acquisition due to their short-term nature. The estimated fair value of deferred revenue was based upon the applicable guidance and was calculated as the estimated cost for the Company to fulfill the contractual obligations plus a normal profit margin. The Company has included the financial results of HSE in the consolidated financial statements from the date of acquisition, which were not material. The transaction costs associated with the acquisition were not material.</w:t>
      </w:r>
    </w:p>
    <w:p>
      <w:pPr>
        <w:spacing w:after="0" w:line="310" w:lineRule="exact"/>
        <w:rPr>
          <w:sz w:val="20"/>
          <w:szCs w:val="20"/>
          <w:color w:val="auto"/>
        </w:rPr>
      </w:pPr>
    </w:p>
    <w:p>
      <w:pPr>
        <w:ind w:left="860" w:hanging="403"/>
        <w:spacing w:after="0"/>
        <w:tabs>
          <w:tab w:leader="none" w:pos="860"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65" w:lineRule="exact"/>
        <w:rPr>
          <w:sz w:val="20"/>
          <w:szCs w:val="20"/>
          <w:color w:val="auto"/>
        </w:rPr>
      </w:pPr>
    </w:p>
    <w:p>
      <w:pPr>
        <w:ind w:left="460" w:right="80" w:firstLine="413"/>
        <w:spacing w:after="0" w:line="340" w:lineRule="auto"/>
        <w:rPr>
          <w:sz w:val="20"/>
          <w:szCs w:val="20"/>
          <w:color w:val="auto"/>
        </w:rPr>
      </w:pPr>
      <w:r>
        <w:rPr>
          <w:rFonts w:ascii="Arial" w:cs="Arial" w:eastAsia="Arial" w:hAnsi="Arial"/>
          <w:sz w:val="15"/>
          <w:szCs w:val="15"/>
          <w:color w:val="auto"/>
        </w:rPr>
        <w:t>The following table represents a disaggregation of revenue from arrangements with customers for the year ended December 31, 2020 (Successor) and the periods from July 16, 2019 to December 31, 2019 (Successor) and January 1, 2019 to July 15, 2019 (Predecessor) (in thousands).</w:t>
      </w:r>
    </w:p>
    <w:p>
      <w:pPr>
        <w:spacing w:after="0" w:line="126"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gridSpan w:val="4"/>
            <w:vMerge w:val="restart"/>
          </w:tcPr>
          <w:p>
            <w:pPr>
              <w:jc w:val="right"/>
              <w:ind w:right="222"/>
              <w:spacing w:after="0"/>
              <w:rPr>
                <w:sz w:val="20"/>
                <w:szCs w:val="20"/>
                <w:color w:val="auto"/>
              </w:rPr>
            </w:pPr>
            <w:r>
              <w:rPr>
                <w:rFonts w:ascii="Arial" w:cs="Arial" w:eastAsia="Arial" w:hAnsi="Arial"/>
                <w:sz w:val="13"/>
                <w:szCs w:val="13"/>
                <w:b w:val="1"/>
                <w:bCs w:val="1"/>
                <w:color w:val="auto"/>
              </w:rPr>
              <w:t>Successor Company</w:t>
            </w: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3"/>
                <w:szCs w:val="13"/>
                <w:color w:val="auto"/>
                <w:w w:val="95"/>
              </w:rPr>
              <w:t>Period from</w:t>
            </w:r>
          </w:p>
        </w:tc>
        <w:tc>
          <w:tcPr>
            <w:tcW w:w="32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6"/>
              <w:spacing w:after="0" w:line="114" w:lineRule="exact"/>
              <w:rPr>
                <w:sz w:val="20"/>
                <w:szCs w:val="20"/>
                <w:color w:val="auto"/>
              </w:rPr>
            </w:pPr>
            <w:r>
              <w:rPr>
                <w:rFonts w:ascii="Arial" w:cs="Arial" w:eastAsia="Arial" w:hAnsi="Arial"/>
                <w:sz w:val="13"/>
                <w:szCs w:val="13"/>
                <w:color w:val="auto"/>
                <w:w w:val="95"/>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0"/>
              </w:rPr>
              <w:t>Year Ended</w:t>
            </w:r>
          </w:p>
        </w:tc>
        <w:tc>
          <w:tcPr>
            <w:tcW w:w="1000" w:type="dxa"/>
            <w:vAlign w:val="bottom"/>
            <w:gridSpan w:val="3"/>
          </w:tcPr>
          <w:p>
            <w:pPr>
              <w:jc w:val="center"/>
              <w:ind w:left="44"/>
              <w:spacing w:after="0" w:line="139" w:lineRule="exact"/>
              <w:rPr>
                <w:sz w:val="20"/>
                <w:szCs w:val="20"/>
                <w:color w:val="auto"/>
              </w:rPr>
            </w:pPr>
            <w:r>
              <w:rPr>
                <w:rFonts w:ascii="Arial" w:cs="Arial" w:eastAsia="Arial" w:hAnsi="Arial"/>
                <w:sz w:val="13"/>
                <w:szCs w:val="13"/>
                <w:color w:val="auto"/>
                <w:w w:val="95"/>
              </w:rPr>
              <w:t>July 16, 2019 to</w:t>
            </w:r>
          </w:p>
        </w:tc>
        <w:tc>
          <w:tcPr>
            <w:tcW w:w="320" w:type="dxa"/>
            <w:vAlign w:val="bottom"/>
            <w:tcBorders>
              <w:right w:val="single" w:sz="8" w:color="auto"/>
            </w:tcBorders>
          </w:tcPr>
          <w:p>
            <w:pPr>
              <w:spacing w:after="0"/>
              <w:rPr>
                <w:sz w:val="12"/>
                <w:szCs w:val="12"/>
                <w:color w:val="auto"/>
              </w:rPr>
            </w:pPr>
          </w:p>
        </w:tc>
        <w:tc>
          <w:tcPr>
            <w:tcW w:w="1200" w:type="dxa"/>
            <w:vAlign w:val="bottom"/>
            <w:gridSpan w:val="4"/>
          </w:tcPr>
          <w:p>
            <w:pPr>
              <w:jc w:val="center"/>
              <w:ind w:left="164"/>
              <w:spacing w:after="0" w:line="139" w:lineRule="exact"/>
              <w:rPr>
                <w:sz w:val="20"/>
                <w:szCs w:val="20"/>
                <w:color w:val="auto"/>
              </w:rPr>
            </w:pPr>
            <w:r>
              <w:rPr>
                <w:rFonts w:ascii="Arial" w:cs="Arial" w:eastAsia="Arial" w:hAnsi="Arial"/>
                <w:sz w:val="13"/>
                <w:szCs w:val="13"/>
                <w:color w:val="auto"/>
                <w:w w:val="90"/>
              </w:rPr>
              <w:t>January 1, 2019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300" w:type="dxa"/>
            <w:vAlign w:val="bottom"/>
            <w:gridSpan w:val="3"/>
          </w:tcPr>
          <w:p>
            <w:pPr>
              <w:jc w:val="center"/>
              <w:ind w:left="2441"/>
              <w:spacing w:after="0" w:line="139" w:lineRule="exact"/>
              <w:rPr>
                <w:sz w:val="20"/>
                <w:szCs w:val="20"/>
                <w:color w:val="auto"/>
              </w:rPr>
            </w:pPr>
            <w:r>
              <w:rPr>
                <w:rFonts w:ascii="Arial" w:cs="Arial" w:eastAsia="Arial" w:hAnsi="Arial"/>
                <w:sz w:val="13"/>
                <w:szCs w:val="13"/>
                <w:color w:val="auto"/>
                <w:w w:val="90"/>
              </w:rPr>
              <w:t>December 31,</w:t>
            </w:r>
          </w:p>
        </w:tc>
        <w:tc>
          <w:tcPr>
            <w:tcW w:w="14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3"/>
              </w:rPr>
              <w:t>December 31,</w:t>
            </w:r>
          </w:p>
        </w:tc>
        <w:tc>
          <w:tcPr>
            <w:tcW w:w="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39" w:lineRule="exact"/>
              <w:rPr>
                <w:sz w:val="20"/>
                <w:szCs w:val="20"/>
                <w:color w:val="auto"/>
              </w:rPr>
            </w:pPr>
            <w:r>
              <w:rPr>
                <w:rFonts w:ascii="Arial" w:cs="Arial" w:eastAsia="Arial" w:hAnsi="Arial"/>
                <w:sz w:val="13"/>
                <w:szCs w:val="13"/>
                <w:color w:val="auto"/>
                <w:w w:val="94"/>
              </w:rPr>
              <w:t>to July 15,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color w:val="auto"/>
                <w:w w:val="89"/>
              </w:rPr>
              <w:t>2020</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color w:val="auto"/>
                <w:w w:val="96"/>
              </w:rPr>
              <w:t>2019</w:t>
            </w:r>
          </w:p>
        </w:tc>
        <w:tc>
          <w:tcPr>
            <w:tcW w:w="320" w:type="dxa"/>
            <w:vAlign w:val="bottom"/>
            <w:tcBorders>
              <w:bottom w:val="single" w:sz="8" w:color="CCEEFF"/>
              <w:right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color w:val="auto"/>
                <w:w w:val="96"/>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Platform subscriptions</w:t>
            </w:r>
          </w:p>
        </w:tc>
        <w:tc>
          <w:tcPr>
            <w:tcW w:w="25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117,080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39,872</w:t>
            </w:r>
          </w:p>
        </w:tc>
        <w:tc>
          <w:tcPr>
            <w:tcW w:w="32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45,244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Professional services</w:t>
            </w:r>
          </w:p>
        </w:tc>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3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118,317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320" w:type="dxa"/>
            <w:vAlign w:val="bottom"/>
            <w:tcBorders>
              <w:right w:val="single" w:sz="8" w:color="auto"/>
            </w:tcBorders>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80" w:type="dxa"/>
            <w:vAlign w:val="bottom"/>
            <w:gridSpan w:val="2"/>
          </w:tcPr>
          <w:p>
            <w:pPr>
              <w:jc w:val="right"/>
              <w:ind w:right="969"/>
              <w:spacing w:after="0"/>
              <w:rPr>
                <w:sz w:val="20"/>
                <w:szCs w:val="20"/>
                <w:color w:val="auto"/>
              </w:rPr>
            </w:pPr>
            <w:r>
              <w:rPr>
                <w:rFonts w:ascii="Arial" w:cs="Arial" w:eastAsia="Arial" w:hAnsi="Arial"/>
                <w:sz w:val="17"/>
                <w:szCs w:val="17"/>
                <w:color w:val="auto"/>
              </w:rPr>
              <w:t>F-30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66" w:right="79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The opening and closing balances of the Company’s receivables, deferred contract costs and contract liabilities from contracts with customers are as follows (in thousands):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5"/>
            <w:vMerge w:val="restart"/>
          </w:tcPr>
          <w:p>
            <w:pPr>
              <w:ind w:left="440"/>
              <w:spacing w:after="0"/>
              <w:rPr>
                <w:sz w:val="20"/>
                <w:szCs w:val="20"/>
                <w:color w:val="auto"/>
              </w:rPr>
            </w:pPr>
            <w:r>
              <w:rPr>
                <w:rFonts w:ascii="Arial" w:cs="Arial" w:eastAsia="Arial" w:hAnsi="Arial"/>
                <w:sz w:val="13"/>
                <w:szCs w:val="13"/>
                <w:b w:val="1"/>
                <w:bCs w:val="1"/>
                <w:color w:val="auto"/>
                <w:w w:val="93"/>
              </w:rPr>
              <w:t>Successor Company</w:t>
            </w: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gridSpan w:val="4"/>
            <w:vMerge w:val="restart"/>
          </w:tcPr>
          <w:p>
            <w:pPr>
              <w:jc w:val="right"/>
              <w:ind w:right="340"/>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19"/>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5"/>
            <w:vMerge w:val="continue"/>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5"/>
            <w:vMerge w:val="continue"/>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Company</w:t>
            </w:r>
          </w:p>
        </w:tc>
        <w:tc>
          <w:tcPr>
            <w:tcW w:w="0" w:type="dxa"/>
            <w:vAlign w:val="bottom"/>
          </w:tcPr>
          <w:p>
            <w:pPr>
              <w:spacing w:after="0"/>
              <w:rPr>
                <w:sz w:val="1"/>
                <w:szCs w:val="1"/>
                <w:color w:val="auto"/>
              </w:rPr>
            </w:pPr>
          </w:p>
        </w:tc>
      </w:tr>
      <w:tr>
        <w:trPr>
          <w:trHeight w:val="114"/>
        </w:trPr>
        <w:tc>
          <w:tcPr>
            <w:tcW w:w="5980" w:type="dxa"/>
            <w:vAlign w:val="bottom"/>
          </w:tcPr>
          <w:p>
            <w:pPr>
              <w:spacing w:after="0"/>
              <w:rPr>
                <w:sz w:val="9"/>
                <w:szCs w:val="9"/>
                <w:color w:val="auto"/>
              </w:rPr>
            </w:pPr>
          </w:p>
        </w:tc>
        <w:tc>
          <w:tcPr>
            <w:tcW w:w="92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color w:val="auto"/>
              </w:rPr>
              <w:t>December 31,</w:t>
            </w:r>
          </w:p>
        </w:tc>
        <w:tc>
          <w:tcPr>
            <w:tcW w:w="92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color w:val="auto"/>
              </w:rPr>
              <w:t>December 31,</w:t>
            </w:r>
          </w:p>
        </w:tc>
        <w:tc>
          <w:tcPr>
            <w:tcW w:w="5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rPr>
              <w:t>July 16,</w:t>
            </w:r>
          </w:p>
        </w:tc>
        <w:tc>
          <w:tcPr>
            <w:tcW w:w="32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top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rPr>
              <w:t>July 15,</w:t>
            </w:r>
          </w:p>
        </w:tc>
        <w:tc>
          <w:tcPr>
            <w:tcW w:w="5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w w:val="88"/>
              </w:rPr>
              <w:t>January 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9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color w:val="auto"/>
              </w:rPr>
              <w:t>2020</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color w:val="auto"/>
              </w:rPr>
              <w:t>2019</w:t>
            </w:r>
          </w:p>
        </w:tc>
        <w:tc>
          <w:tcPr>
            <w:tcW w:w="1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2019</w:t>
            </w:r>
          </w:p>
        </w:tc>
        <w:tc>
          <w:tcPr>
            <w:tcW w:w="320" w:type="dxa"/>
            <w:vAlign w:val="bottom"/>
            <w:tcBorders>
              <w:bottom w:val="single" w:sz="8" w:color="CCEEFF"/>
              <w:right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color w:val="auto"/>
              </w:rPr>
              <w:t>2019</w:t>
            </w:r>
          </w:p>
        </w:tc>
        <w:tc>
          <w:tcPr>
            <w:tcW w:w="1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Accounts receivables, net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25,021</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w w:val="84"/>
              </w:rPr>
              <w:t>$12,747</w:t>
            </w:r>
          </w:p>
        </w:tc>
        <w:tc>
          <w:tcPr>
            <w:tcW w:w="32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$12,747</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$15,299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2,947</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769</w:t>
            </w:r>
          </w:p>
        </w:tc>
        <w:tc>
          <w:tcPr>
            <w:tcW w:w="86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1,906</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contract costs</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2,116</w:t>
            </w:r>
          </w:p>
        </w:tc>
        <w:tc>
          <w:tcPr>
            <w:tcW w:w="86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7"/>
                <w:szCs w:val="17"/>
                <w:color w:val="auto"/>
              </w:rPr>
              <w:t>Deferred revenues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61,200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46,125</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$32,000</w:t>
            </w:r>
          </w:p>
        </w:tc>
        <w:tc>
          <w:tcPr>
            <w:tcW w:w="3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$38,278</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$31,458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summary of the activity impacting the deferred contract costs during the year ended December 31, 2020 and the periods from July 16, to</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2019 (Successor) and January 1, 2019 to July 15, 2019 (Predecessor) is presented below (in thousands):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gridSpan w:val="5"/>
            <w:vMerge w:val="restart"/>
          </w:tcPr>
          <w:p>
            <w:pPr>
              <w:jc w:val="right"/>
              <w:ind w:right="1020"/>
              <w:spacing w:after="0"/>
              <w:rPr>
                <w:sz w:val="20"/>
                <w:szCs w:val="20"/>
                <w:color w:val="auto"/>
              </w:rPr>
            </w:pPr>
            <w:r>
              <w:rPr>
                <w:rFonts w:ascii="Arial" w:cs="Arial" w:eastAsia="Arial" w:hAnsi="Arial"/>
                <w:sz w:val="13"/>
                <w:szCs w:val="13"/>
                <w:b w:val="1"/>
                <w:bCs w:val="1"/>
                <w:color w:val="auto"/>
              </w:rPr>
              <w:t>Successor Company</w:t>
            </w: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line="20" w:lineRule="exact"/>
              <w:rPr>
                <w:sz w:val="1"/>
                <w:szCs w:val="1"/>
                <w:color w:val="auto"/>
              </w:rPr>
            </w:pPr>
          </w:p>
        </w:tc>
      </w:tr>
      <w:tr>
        <w:trPr>
          <w:trHeight w:val="119"/>
        </w:trPr>
        <w:tc>
          <w:tcPr>
            <w:tcW w:w="5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80" w:type="dxa"/>
            <w:vAlign w:val="bottom"/>
            <w:gridSpan w:val="5"/>
            <w:vMerge w:val="continue"/>
          </w:tcPr>
          <w:p>
            <w:pPr>
              <w:spacing w:after="0"/>
              <w:rPr>
                <w:sz w:val="10"/>
                <w:szCs w:val="10"/>
                <w:color w:val="auto"/>
              </w:rPr>
            </w:pPr>
          </w:p>
        </w:tc>
        <w:tc>
          <w:tcPr>
            <w:tcW w:w="82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5"/>
            <w:vMerge w:val="continue"/>
          </w:tcPr>
          <w:p>
            <w:pPr>
              <w:spacing w:after="0"/>
              <w:rPr>
                <w:sz w:val="13"/>
                <w:szCs w:val="13"/>
                <w:color w:val="auto"/>
              </w:rPr>
            </w:pPr>
          </w:p>
        </w:tc>
        <w:tc>
          <w:tcPr>
            <w:tcW w:w="8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Company</w:t>
            </w:r>
          </w:p>
        </w:tc>
        <w:tc>
          <w:tcPr>
            <w:tcW w:w="0" w:type="dxa"/>
            <w:vAlign w:val="bottom"/>
          </w:tcPr>
          <w:p>
            <w:pPr>
              <w:spacing w:after="0"/>
              <w:rPr>
                <w:sz w:val="1"/>
                <w:szCs w:val="1"/>
                <w:color w:val="auto"/>
              </w:rPr>
            </w:pPr>
          </w:p>
        </w:tc>
      </w:tr>
      <w:tr>
        <w:trPr>
          <w:trHeight w:val="114"/>
        </w:trPr>
        <w:tc>
          <w:tcPr>
            <w:tcW w:w="57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8"/>
              </w:rPr>
              <w:t>Period from</w:t>
            </w:r>
          </w:p>
        </w:tc>
        <w:tc>
          <w:tcPr>
            <w:tcW w:w="580" w:type="dxa"/>
            <w:vAlign w:val="bottom"/>
          </w:tcPr>
          <w:p>
            <w:pPr>
              <w:spacing w:after="0"/>
              <w:rPr>
                <w:sz w:val="9"/>
                <w:szCs w:val="9"/>
                <w:color w:val="auto"/>
              </w:rPr>
            </w:pPr>
          </w:p>
        </w:tc>
        <w:tc>
          <w:tcPr>
            <w:tcW w:w="820" w:type="dxa"/>
            <w:vAlign w:val="bottom"/>
            <w:tcBorders>
              <w:left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760" w:type="dxa"/>
            <w:vAlign w:val="bottom"/>
          </w:tcPr>
          <w:p>
            <w:pPr>
              <w:spacing w:after="0"/>
              <w:rPr>
                <w:sz w:val="12"/>
                <w:szCs w:val="12"/>
                <w:color w:val="auto"/>
              </w:rPr>
            </w:pPr>
          </w:p>
        </w:tc>
        <w:tc>
          <w:tcPr>
            <w:tcW w:w="1180" w:type="dxa"/>
            <w:vAlign w:val="bottom"/>
            <w:gridSpan w:val="3"/>
          </w:tcPr>
          <w:p>
            <w:pPr>
              <w:ind w:left="60"/>
              <w:spacing w:after="0" w:line="139" w:lineRule="exact"/>
              <w:rPr>
                <w:sz w:val="20"/>
                <w:szCs w:val="20"/>
                <w:color w:val="auto"/>
              </w:rPr>
            </w:pPr>
            <w:r>
              <w:rPr>
                <w:rFonts w:ascii="Arial" w:cs="Arial" w:eastAsia="Arial" w:hAnsi="Arial"/>
                <w:sz w:val="13"/>
                <w:szCs w:val="13"/>
                <w:color w:val="auto"/>
              </w:rPr>
              <w:t>Year Ended</w:t>
            </w:r>
          </w:p>
        </w:tc>
        <w:tc>
          <w:tcPr>
            <w:tcW w:w="146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July 16, 2019 to</w:t>
            </w:r>
          </w:p>
        </w:tc>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39" w:lineRule="exact"/>
              <w:rPr>
                <w:sz w:val="20"/>
                <w:szCs w:val="20"/>
                <w:color w:val="auto"/>
              </w:rPr>
            </w:pPr>
            <w:r>
              <w:rPr>
                <w:rFonts w:ascii="Arial" w:cs="Arial" w:eastAsia="Arial" w:hAnsi="Arial"/>
                <w:sz w:val="13"/>
                <w:szCs w:val="13"/>
                <w:color w:val="auto"/>
                <w:w w:val="98"/>
              </w:rPr>
              <w:t>Period from</w:t>
            </w:r>
          </w:p>
        </w:tc>
        <w:tc>
          <w:tcPr>
            <w:tcW w:w="0" w:type="dxa"/>
            <w:vAlign w:val="bottom"/>
          </w:tcPr>
          <w:p>
            <w:pPr>
              <w:spacing w:after="0"/>
              <w:rPr>
                <w:sz w:val="1"/>
                <w:szCs w:val="1"/>
                <w:color w:val="auto"/>
              </w:rPr>
            </w:pPr>
          </w:p>
        </w:tc>
      </w:tr>
      <w:tr>
        <w:trPr>
          <w:trHeight w:val="139"/>
        </w:trPr>
        <w:tc>
          <w:tcPr>
            <w:tcW w:w="5760" w:type="dxa"/>
            <w:vAlign w:val="bottom"/>
          </w:tcPr>
          <w:p>
            <w:pPr>
              <w:spacing w:after="0"/>
              <w:rPr>
                <w:sz w:val="12"/>
                <w:szCs w:val="12"/>
                <w:color w:val="auto"/>
              </w:rPr>
            </w:pPr>
          </w:p>
        </w:tc>
        <w:tc>
          <w:tcPr>
            <w:tcW w:w="1180" w:type="dxa"/>
            <w:vAlign w:val="bottom"/>
            <w:gridSpan w:val="3"/>
          </w:tcPr>
          <w:p>
            <w:pPr>
              <w:spacing w:after="0" w:line="139" w:lineRule="exact"/>
              <w:rPr>
                <w:sz w:val="20"/>
                <w:szCs w:val="20"/>
                <w:color w:val="auto"/>
              </w:rPr>
            </w:pPr>
            <w:r>
              <w:rPr>
                <w:rFonts w:ascii="Arial" w:cs="Arial" w:eastAsia="Arial" w:hAnsi="Arial"/>
                <w:sz w:val="13"/>
                <w:szCs w:val="13"/>
                <w:color w:val="auto"/>
              </w:rPr>
              <w:t>December 31,</w:t>
            </w:r>
          </w:p>
        </w:tc>
        <w:tc>
          <w:tcPr>
            <w:tcW w:w="1460" w:type="dxa"/>
            <w:vAlign w:val="bottom"/>
            <w:gridSpan w:val="3"/>
          </w:tcPr>
          <w:p>
            <w:pPr>
              <w:jc w:val="center"/>
              <w:ind w:right="580"/>
              <w:spacing w:after="0" w:line="139" w:lineRule="exact"/>
              <w:rPr>
                <w:sz w:val="20"/>
                <w:szCs w:val="20"/>
                <w:color w:val="auto"/>
              </w:rPr>
            </w:pPr>
            <w:r>
              <w:rPr>
                <w:rFonts w:ascii="Arial" w:cs="Arial" w:eastAsia="Arial" w:hAnsi="Arial"/>
                <w:sz w:val="13"/>
                <w:szCs w:val="13"/>
                <w:color w:val="auto"/>
                <w:w w:val="93"/>
              </w:rPr>
              <w:t>December 31,</w:t>
            </w:r>
          </w:p>
        </w:tc>
        <w:tc>
          <w:tcPr>
            <w:tcW w:w="820" w:type="dxa"/>
            <w:vAlign w:val="bottom"/>
            <w:tcBorders>
              <w:left w:val="single" w:sz="8" w:color="auto"/>
            </w:tcBorders>
          </w:tcPr>
          <w:p>
            <w:pPr>
              <w:spacing w:after="0"/>
              <w:rPr>
                <w:sz w:val="12"/>
                <w:szCs w:val="12"/>
                <w:color w:val="auto"/>
              </w:rPr>
            </w:pPr>
          </w:p>
        </w:tc>
        <w:tc>
          <w:tcPr>
            <w:tcW w:w="112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January 1, 2019 to</w:t>
            </w:r>
          </w:p>
        </w:tc>
        <w:tc>
          <w:tcPr>
            <w:tcW w:w="0" w:type="dxa"/>
            <w:vAlign w:val="bottom"/>
          </w:tcPr>
          <w:p>
            <w:pPr>
              <w:spacing w:after="0"/>
              <w:rPr>
                <w:sz w:val="1"/>
                <w:szCs w:val="1"/>
                <w:color w:val="auto"/>
              </w:rPr>
            </w:pPr>
          </w:p>
        </w:tc>
      </w:tr>
      <w:tr>
        <w:trPr>
          <w:trHeight w:val="158"/>
        </w:trPr>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9"/>
              <w:spacing w:after="0"/>
              <w:rPr>
                <w:sz w:val="20"/>
                <w:szCs w:val="20"/>
                <w:color w:val="auto"/>
              </w:rPr>
            </w:pPr>
            <w:r>
              <w:rPr>
                <w:rFonts w:ascii="Arial" w:cs="Arial" w:eastAsia="Arial" w:hAnsi="Arial"/>
                <w:sz w:val="13"/>
                <w:szCs w:val="13"/>
                <w:color w:val="auto"/>
              </w:rPr>
              <w:t>2020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2019</w:t>
            </w:r>
          </w:p>
        </w:tc>
        <w:tc>
          <w:tcPr>
            <w:tcW w:w="580" w:type="dxa"/>
            <w:vAlign w:val="bottom"/>
          </w:tcPr>
          <w:p>
            <w:pPr>
              <w:spacing w:after="0"/>
              <w:rPr>
                <w:sz w:val="13"/>
                <w:szCs w:val="13"/>
                <w:color w:val="auto"/>
              </w:rPr>
            </w:pPr>
          </w:p>
        </w:tc>
        <w:tc>
          <w:tcPr>
            <w:tcW w:w="8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July 15, 2019</w:t>
            </w:r>
          </w:p>
        </w:tc>
        <w:tc>
          <w:tcPr>
            <w:tcW w:w="0" w:type="dxa"/>
            <w:vAlign w:val="bottom"/>
          </w:tcPr>
          <w:p>
            <w:pPr>
              <w:spacing w:after="0"/>
              <w:rPr>
                <w:sz w:val="1"/>
                <w:szCs w:val="1"/>
                <w:color w:val="auto"/>
              </w:rPr>
            </w:pPr>
          </w:p>
        </w:tc>
      </w:tr>
      <w:tr>
        <w:trPr>
          <w:trHeight w:val="195"/>
        </w:trPr>
        <w:tc>
          <w:tcPr>
            <w:tcW w:w="57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5,735</w:t>
            </w:r>
          </w:p>
        </w:tc>
        <w:tc>
          <w:tcPr>
            <w:tcW w:w="5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left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340"/>
              <w:spacing w:after="0"/>
              <w:rPr>
                <w:sz w:val="20"/>
                <w:szCs w:val="20"/>
                <w:color w:val="auto"/>
              </w:rPr>
            </w:pPr>
            <w:r>
              <w:rPr>
                <w:rFonts w:ascii="Arial" w:cs="Arial" w:eastAsia="Arial" w:hAnsi="Arial"/>
                <w:sz w:val="17"/>
                <w:szCs w:val="17"/>
                <w:color w:val="auto"/>
              </w:rPr>
              <w:t>Adoption of ASC 606</w:t>
            </w:r>
          </w:p>
        </w:tc>
        <w:tc>
          <w:tcPr>
            <w:tcW w:w="16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82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4,320</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amortized</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(1,670)</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(189)</w:t>
            </w:r>
          </w:p>
        </w:tc>
        <w:tc>
          <w:tcPr>
            <w:tcW w:w="8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3"/>
        </w:trPr>
        <w:tc>
          <w:tcPr>
            <w:tcW w:w="5760" w:type="dxa"/>
            <w:vAlign w:val="bottom"/>
          </w:tcPr>
          <w:p>
            <w:pPr>
              <w:ind w:left="340"/>
              <w:spacing w:after="0"/>
              <w:rPr>
                <w:sz w:val="20"/>
                <w:szCs w:val="20"/>
                <w:color w:val="auto"/>
              </w:rPr>
            </w:pPr>
            <w:r>
              <w:rPr>
                <w:rFonts w:ascii="Arial" w:cs="Arial" w:eastAsia="Arial" w:hAnsi="Arial"/>
                <w:sz w:val="17"/>
                <w:szCs w:val="17"/>
                <w:color w:val="auto"/>
              </w:rPr>
              <w:t>Additional amounts deferred</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7,684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3,074</w:t>
            </w:r>
          </w:p>
        </w:tc>
        <w:tc>
          <w:tcPr>
            <w:tcW w:w="82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adjustment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(5,735)</w:t>
            </w:r>
          </w:p>
        </w:tc>
        <w:tc>
          <w:tcPr>
            <w:tcW w:w="8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8,899</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2,885</w:t>
            </w:r>
          </w:p>
        </w:tc>
        <w:tc>
          <w:tcPr>
            <w:tcW w:w="940" w:type="dxa"/>
            <w:vAlign w:val="bottom"/>
            <w:tcBorders>
              <w:left w:val="single" w:sz="8" w:color="auto"/>
            </w:tcBorders>
            <w:gridSpan w:val="2"/>
          </w:tcPr>
          <w:p>
            <w:pPr>
              <w:ind w:left="8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5,735</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Classified as: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340"/>
              <w:spacing w:after="0"/>
              <w:rPr>
                <w:sz w:val="20"/>
                <w:szCs w:val="20"/>
                <w:color w:val="auto"/>
              </w:rPr>
            </w:pPr>
            <w:r>
              <w:rPr>
                <w:rFonts w:ascii="Arial" w:cs="Arial" w:eastAsia="Arial" w:hAnsi="Arial"/>
                <w:sz w:val="17"/>
                <w:szCs w:val="17"/>
                <w:color w:val="auto"/>
              </w:rPr>
              <w:t>Current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2,947</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769</w:t>
            </w:r>
          </w:p>
        </w:tc>
        <w:tc>
          <w:tcPr>
            <w:tcW w:w="82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2,116</w:t>
            </w:r>
          </w:p>
        </w:tc>
        <w:tc>
          <w:tcPr>
            <w:tcW w:w="8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7"/>
                <w:szCs w:val="17"/>
                <w:color w:val="auto"/>
              </w:rPr>
              <w:t>Total deferred contract costs (deferred commissions)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8,899</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2,885</w:t>
            </w:r>
          </w:p>
        </w:tc>
        <w:tc>
          <w:tcPr>
            <w:tcW w:w="940" w:type="dxa"/>
            <w:vAlign w:val="bottom"/>
            <w:tcBorders>
              <w:left w:val="single" w:sz="8" w:color="auto"/>
            </w:tcBorders>
            <w:gridSpan w:val="2"/>
          </w:tcPr>
          <w:p>
            <w:pPr>
              <w:ind w:left="8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 summary of the activity impacting deferred revenue balances during the year ended December 31, 2020 and the periods from July 16, 2019 to</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2019 and January 1, 2019 to July 15, 2019, is presented below (in thousands):</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6"/>
            <w:vMerge w:val="restart"/>
          </w:tcPr>
          <w:p>
            <w:pPr>
              <w:jc w:val="right"/>
              <w:ind w:right="660"/>
              <w:spacing w:after="0"/>
              <w:rPr>
                <w:sz w:val="20"/>
                <w:szCs w:val="20"/>
                <w:color w:val="auto"/>
              </w:rPr>
            </w:pPr>
            <w:r>
              <w:rPr>
                <w:rFonts w:ascii="Arial" w:cs="Arial" w:eastAsia="Arial" w:hAnsi="Arial"/>
                <w:sz w:val="13"/>
                <w:szCs w:val="13"/>
                <w:b w:val="1"/>
                <w:bCs w:val="1"/>
                <w:color w:val="auto"/>
              </w:rPr>
              <w:t>Successor Company</w:t>
            </w: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6"/>
            <w:vMerge w:val="continue"/>
          </w:tcPr>
          <w:p>
            <w:pPr>
              <w:spacing w:after="0"/>
              <w:rPr>
                <w:sz w:val="10"/>
                <w:szCs w:val="10"/>
                <w:color w:val="auto"/>
              </w:rPr>
            </w:pPr>
          </w:p>
        </w:tc>
        <w:tc>
          <w:tcPr>
            <w:tcW w:w="3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6"/>
            <w:vMerge w:val="continue"/>
          </w:tcPr>
          <w:p>
            <w:pPr>
              <w:spacing w:after="0"/>
              <w:rPr>
                <w:sz w:val="13"/>
                <w:szCs w:val="13"/>
                <w:color w:val="auto"/>
              </w:rPr>
            </w:pPr>
          </w:p>
        </w:tc>
        <w:tc>
          <w:tcPr>
            <w:tcW w:w="3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0"/>
              <w:spacing w:after="0" w:line="114" w:lineRule="exact"/>
              <w:rPr>
                <w:sz w:val="20"/>
                <w:szCs w:val="20"/>
                <w:color w:val="auto"/>
              </w:rPr>
            </w:pPr>
            <w:r>
              <w:rPr>
                <w:rFonts w:ascii="Arial" w:cs="Arial" w:eastAsia="Arial" w:hAnsi="Arial"/>
                <w:sz w:val="13"/>
                <w:szCs w:val="13"/>
                <w:color w:val="auto"/>
                <w:w w:val="95"/>
              </w:rPr>
              <w:t>Period from</w:t>
            </w:r>
          </w:p>
        </w:tc>
        <w:tc>
          <w:tcPr>
            <w:tcW w:w="320" w:type="dxa"/>
            <w:vAlign w:val="bottom"/>
          </w:tcPr>
          <w:p>
            <w:pPr>
              <w:spacing w:after="0"/>
              <w:rPr>
                <w:sz w:val="9"/>
                <w:szCs w:val="9"/>
                <w:color w:val="auto"/>
              </w:rPr>
            </w:pPr>
          </w:p>
        </w:tc>
        <w:tc>
          <w:tcPr>
            <w:tcW w:w="320" w:type="dxa"/>
            <w:vAlign w:val="bottom"/>
            <w:tcBorders>
              <w:left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39" w:lineRule="exact"/>
              <w:rPr>
                <w:sz w:val="20"/>
                <w:szCs w:val="20"/>
                <w:color w:val="auto"/>
              </w:rPr>
            </w:pPr>
            <w:r>
              <w:rPr>
                <w:rFonts w:ascii="Arial" w:cs="Arial" w:eastAsia="Arial" w:hAnsi="Arial"/>
                <w:sz w:val="13"/>
                <w:szCs w:val="13"/>
                <w:color w:val="auto"/>
                <w:w w:val="96"/>
              </w:rPr>
              <w:t>Year Ended</w:t>
            </w:r>
          </w:p>
        </w:tc>
        <w:tc>
          <w:tcPr>
            <w:tcW w:w="1260" w:type="dxa"/>
            <w:vAlign w:val="bottom"/>
            <w:gridSpan w:val="4"/>
          </w:tcPr>
          <w:p>
            <w:pPr>
              <w:jc w:val="center"/>
              <w:ind w:right="260"/>
              <w:spacing w:after="0" w:line="139" w:lineRule="exact"/>
              <w:rPr>
                <w:sz w:val="20"/>
                <w:szCs w:val="20"/>
                <w:color w:val="auto"/>
              </w:rPr>
            </w:pPr>
            <w:r>
              <w:rPr>
                <w:rFonts w:ascii="Arial" w:cs="Arial" w:eastAsia="Arial" w:hAnsi="Arial"/>
                <w:sz w:val="13"/>
                <w:szCs w:val="13"/>
                <w:color w:val="auto"/>
                <w:w w:val="95"/>
              </w:rPr>
              <w:t>July 16, 2019 to</w:t>
            </w:r>
          </w:p>
        </w:tc>
        <w:tc>
          <w:tcPr>
            <w:tcW w:w="3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95"/>
              </w:rPr>
              <w:t>Period from</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gridSpan w:val="4"/>
          </w:tcPr>
          <w:p>
            <w:pPr>
              <w:spacing w:after="0" w:line="139" w:lineRule="exact"/>
              <w:rPr>
                <w:sz w:val="20"/>
                <w:szCs w:val="20"/>
                <w:color w:val="auto"/>
              </w:rPr>
            </w:pPr>
            <w:r>
              <w:rPr>
                <w:rFonts w:ascii="Arial" w:cs="Arial" w:eastAsia="Arial" w:hAnsi="Arial"/>
                <w:sz w:val="13"/>
                <w:szCs w:val="13"/>
                <w:color w:val="auto"/>
              </w:rPr>
              <w:t>December 31,</w:t>
            </w:r>
          </w:p>
        </w:tc>
        <w:tc>
          <w:tcPr>
            <w:tcW w:w="60" w:type="dxa"/>
            <w:vAlign w:val="bottom"/>
          </w:tcPr>
          <w:p>
            <w:pPr>
              <w:spacing w:after="0"/>
              <w:rPr>
                <w:sz w:val="12"/>
                <w:szCs w:val="12"/>
                <w:color w:val="auto"/>
              </w:rPr>
            </w:pPr>
          </w:p>
        </w:tc>
        <w:tc>
          <w:tcPr>
            <w:tcW w:w="1200" w:type="dxa"/>
            <w:vAlign w:val="bottom"/>
            <w:gridSpan w:val="3"/>
          </w:tcPr>
          <w:p>
            <w:pPr>
              <w:jc w:val="center"/>
              <w:ind w:right="320"/>
              <w:spacing w:after="0" w:line="139" w:lineRule="exact"/>
              <w:rPr>
                <w:sz w:val="20"/>
                <w:szCs w:val="20"/>
                <w:color w:val="auto"/>
              </w:rPr>
            </w:pPr>
            <w:r>
              <w:rPr>
                <w:rFonts w:ascii="Arial" w:cs="Arial" w:eastAsia="Arial" w:hAnsi="Arial"/>
                <w:sz w:val="13"/>
                <w:szCs w:val="13"/>
                <w:color w:val="auto"/>
                <w:w w:val="93"/>
              </w:rPr>
              <w:t>December 31,</w:t>
            </w:r>
          </w:p>
        </w:tc>
        <w:tc>
          <w:tcPr>
            <w:tcW w:w="1420" w:type="dxa"/>
            <w:vAlign w:val="bottom"/>
            <w:tcBorders>
              <w:left w:val="single" w:sz="8" w:color="auto"/>
            </w:tcBorders>
            <w:gridSpan w:val="4"/>
          </w:tcPr>
          <w:p>
            <w:pPr>
              <w:jc w:val="center"/>
              <w:ind w:left="144"/>
              <w:spacing w:after="0" w:line="139" w:lineRule="exact"/>
              <w:rPr>
                <w:sz w:val="20"/>
                <w:szCs w:val="20"/>
                <w:color w:val="auto"/>
              </w:rPr>
            </w:pPr>
            <w:r>
              <w:rPr>
                <w:rFonts w:ascii="Arial" w:cs="Arial" w:eastAsia="Arial" w:hAnsi="Arial"/>
                <w:sz w:val="13"/>
                <w:szCs w:val="13"/>
                <w:color w:val="auto"/>
                <w:w w:val="92"/>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60"/>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0"/>
              <w:spacing w:after="0"/>
              <w:rPr>
                <w:sz w:val="20"/>
                <w:szCs w:val="20"/>
                <w:color w:val="auto"/>
              </w:rPr>
            </w:pPr>
            <w:r>
              <w:rPr>
                <w:rFonts w:ascii="Arial" w:cs="Arial" w:eastAsia="Arial" w:hAnsi="Arial"/>
                <w:sz w:val="13"/>
                <w:szCs w:val="13"/>
                <w:color w:val="auto"/>
                <w:w w:val="96"/>
              </w:rPr>
              <w:t>2019</w:t>
            </w:r>
          </w:p>
        </w:tc>
        <w:tc>
          <w:tcPr>
            <w:tcW w:w="320" w:type="dxa"/>
            <w:vAlign w:val="bottom"/>
          </w:tcPr>
          <w:p>
            <w:pPr>
              <w:spacing w:after="0"/>
              <w:rPr>
                <w:sz w:val="13"/>
                <w:szCs w:val="13"/>
                <w:color w:val="auto"/>
              </w:rPr>
            </w:pPr>
          </w:p>
        </w:tc>
        <w:tc>
          <w:tcPr>
            <w:tcW w:w="3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46,125</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38,278</w:t>
            </w: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left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32,187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Adoption of ASC 606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Acquisition adjustment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(6,278)</w:t>
            </w:r>
          </w:p>
        </w:tc>
        <w:tc>
          <w:tcPr>
            <w:tcW w:w="3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7"/>
                <w:szCs w:val="17"/>
                <w:color w:val="auto"/>
              </w:rPr>
              <w:t>Revenue recognized</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(118,317)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(40,045)</w:t>
            </w:r>
          </w:p>
        </w:tc>
        <w:tc>
          <w:tcPr>
            <w:tcW w:w="3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Additional amounts deferred</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133,392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54,170</w:t>
            </w:r>
          </w:p>
        </w:tc>
        <w:tc>
          <w:tcPr>
            <w:tcW w:w="32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7"/>
                <w:szCs w:val="17"/>
                <w:color w:val="auto"/>
              </w:rPr>
              <w:t>Balance at end of period</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61,200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46,125</w:t>
            </w:r>
          </w:p>
        </w:tc>
        <w:tc>
          <w:tcPr>
            <w:tcW w:w="320" w:type="dxa"/>
            <w:vAlign w:val="bottom"/>
          </w:tcPr>
          <w:p>
            <w:pPr>
              <w:spacing w:after="0"/>
              <w:rPr>
                <w:sz w:val="18"/>
                <w:szCs w:val="18"/>
                <w:color w:val="auto"/>
              </w:rPr>
            </w:pPr>
          </w:p>
        </w:tc>
        <w:tc>
          <w:tcPr>
            <w:tcW w:w="42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5460" w:right="4120" w:hanging="5003"/>
        <w:spacing w:after="0" w:line="380" w:lineRule="auto"/>
        <w:tabs>
          <w:tab w:leader="none" w:pos="858" w:val="left"/>
        </w:tabs>
        <w:numPr>
          <w:ilvl w:val="0"/>
          <w:numId w:val="179"/>
        </w:numPr>
        <w:rPr>
          <w:rFonts w:ascii="Arial" w:cs="Arial" w:eastAsia="Arial" w:hAnsi="Arial"/>
          <w:sz w:val="23"/>
          <w:szCs w:val="23"/>
          <w:color w:val="auto"/>
          <w:vertAlign w:val="superscript"/>
        </w:rPr>
      </w:pPr>
      <w:r>
        <w:rPr>
          <w:rFonts w:ascii="Arial" w:cs="Arial" w:eastAsia="Arial" w:hAnsi="Arial"/>
          <w:sz w:val="16"/>
          <w:szCs w:val="16"/>
          <w:color w:val="auto"/>
        </w:rPr>
        <w:t>Amounts include total revenue deferred and recognized during each respective period. F-31</w:t>
      </w:r>
    </w:p>
    <w:p>
      <w:pPr>
        <w:sectPr>
          <w:pgSz w:w="11900" w:h="16838" w:orient="portrait"/>
          <w:cols w:equalWidth="0" w:num="1">
            <w:col w:w="10800"/>
          </w:cols>
          <w:pgMar w:left="320" w:top="466" w:right="77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remaining performance obligations consisted of the following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6"/>
          </w:tcPr>
          <w:p>
            <w:pPr>
              <w:ind w:left="380"/>
              <w:spacing w:after="0"/>
              <w:rPr>
                <w:sz w:val="20"/>
                <w:szCs w:val="20"/>
                <w:color w:val="auto"/>
              </w:rPr>
            </w:pPr>
            <w:r>
              <w:rPr>
                <w:rFonts w:ascii="Arial" w:cs="Arial" w:eastAsia="Arial" w:hAnsi="Arial"/>
                <w:sz w:val="13"/>
                <w:szCs w:val="13"/>
                <w:b w:val="1"/>
                <w:bCs w:val="1"/>
                <w:color w:val="auto"/>
              </w:rPr>
              <w:t>Successor 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10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color w:val="auto"/>
              </w:rPr>
              <w:t>December 31,</w:t>
            </w:r>
          </w:p>
        </w:tc>
        <w:tc>
          <w:tcPr>
            <w:tcW w:w="3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w w:val="90"/>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color w:val="auto"/>
              </w:rPr>
              <w:t>2020</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color w:val="auto"/>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Current</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114,284</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82,291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7"/>
                <w:szCs w:val="17"/>
                <w:color w:val="auto"/>
              </w:rPr>
              <w:t>Noncurrent</w:t>
            </w:r>
            <w:r>
              <w:rPr>
                <w:rFonts w:ascii="Arial" w:cs="Arial" w:eastAsia="Arial" w:hAnsi="Arial"/>
                <w:sz w:val="23"/>
                <w:szCs w:val="23"/>
                <w:color w:val="auto"/>
                <w:vertAlign w:val="superscript"/>
              </w:rPr>
              <w:t>(1)</w:t>
            </w:r>
          </w:p>
        </w:tc>
        <w:tc>
          <w:tcPr>
            <w:tcW w:w="14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7"/>
                <w:szCs w:val="17"/>
                <w:color w:val="auto"/>
              </w:rPr>
              <w:t>58,250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40,475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172,534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122,766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8" w:lineRule="exact"/>
        <w:rPr>
          <w:sz w:val="20"/>
          <w:szCs w:val="20"/>
          <w:color w:val="auto"/>
        </w:rPr>
      </w:pPr>
    </w:p>
    <w:p>
      <w:pPr>
        <w:ind w:left="860" w:right="360" w:hanging="403"/>
        <w:spacing w:after="0" w:line="272" w:lineRule="auto"/>
        <w:tabs>
          <w:tab w:leader="none" w:pos="8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above table has been corrected for certain errors. Previously reported current, noncurrent and total amounts were $121,623, $51,368, and $172,991 respectively for 2020 and $90,237, $32,957, and $123,194 respectively for 2019.</w:t>
      </w:r>
    </w:p>
    <w:p>
      <w:pPr>
        <w:spacing w:after="0" w:line="304" w:lineRule="exact"/>
        <w:rPr>
          <w:sz w:val="20"/>
          <w:szCs w:val="20"/>
          <w:color w:val="auto"/>
        </w:rPr>
      </w:pPr>
    </w:p>
    <w:p>
      <w:pPr>
        <w:ind w:left="860" w:hanging="403"/>
        <w:spacing w:after="0"/>
        <w:tabs>
          <w:tab w:leader="none" w:pos="86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Accounts Receivable</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Accounts receivable consisted of the following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400"/>
              <w:spacing w:after="0"/>
              <w:rPr>
                <w:sz w:val="20"/>
                <w:szCs w:val="20"/>
                <w:color w:val="auto"/>
              </w:rPr>
            </w:pPr>
            <w:r>
              <w:rPr>
                <w:rFonts w:ascii="Arial" w:cs="Arial" w:eastAsia="Arial" w:hAnsi="Arial"/>
                <w:sz w:val="13"/>
                <w:szCs w:val="13"/>
                <w:b w:val="1"/>
                <w:bCs w:val="1"/>
                <w:color w:val="auto"/>
                <w:w w:val="90"/>
              </w:rPr>
              <w:t>Successor Company</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gridSpan w:val="3"/>
          </w:tcPr>
          <w:p>
            <w:pPr>
              <w:spacing w:after="0" w:line="114" w:lineRule="exact"/>
              <w:rPr>
                <w:sz w:val="20"/>
                <w:szCs w:val="20"/>
                <w:color w:val="auto"/>
              </w:rPr>
            </w:pPr>
            <w:r>
              <w:rPr>
                <w:rFonts w:ascii="Arial" w:cs="Arial" w:eastAsia="Arial" w:hAnsi="Arial"/>
                <w:sz w:val="13"/>
                <w:szCs w:val="13"/>
                <w:color w:val="auto"/>
              </w:rPr>
              <w:t>December 31,</w:t>
            </w:r>
          </w:p>
        </w:tc>
        <w:tc>
          <w:tcPr>
            <w:tcW w:w="340" w:type="dxa"/>
            <w:vAlign w:val="bottom"/>
          </w:tcPr>
          <w:p>
            <w:pPr>
              <w:spacing w:after="0"/>
              <w:rPr>
                <w:sz w:val="9"/>
                <w:szCs w:val="9"/>
                <w:color w:val="auto"/>
              </w:rPr>
            </w:pPr>
          </w:p>
        </w:tc>
        <w:tc>
          <w:tcPr>
            <w:tcW w:w="7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88"/>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8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color w:val="auto"/>
              </w:rPr>
              <w:t>2020</w:t>
            </w:r>
          </w:p>
        </w:tc>
        <w:tc>
          <w:tcPr>
            <w:tcW w:w="4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w w:val="89"/>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Accounts receivable</w:t>
            </w: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33,635</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25,220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Unbilled receivable</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329</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33,964</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25,471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Less: allowance for doubtful accounts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(856)</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33,108</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25,021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860" w:hanging="403"/>
        <w:spacing w:after="0"/>
        <w:tabs>
          <w:tab w:leader="none" w:pos="86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Property and Equipment</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consisted of the following (in thousands):</w:t>
      </w:r>
    </w:p>
    <w:p>
      <w:pPr>
        <w:spacing w:after="0" w:line="240"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w w:val="90"/>
              </w:rPr>
              <w:t>Successor Company</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180" w:type="dxa"/>
            <w:vAlign w:val="bottom"/>
            <w:gridSpan w:val="3"/>
          </w:tcPr>
          <w:p>
            <w:pPr>
              <w:jc w:val="right"/>
              <w:ind w:right="440"/>
              <w:spacing w:after="0" w:line="114" w:lineRule="exact"/>
              <w:rPr>
                <w:sz w:val="20"/>
                <w:szCs w:val="20"/>
                <w:color w:val="auto"/>
              </w:rPr>
            </w:pPr>
            <w:r>
              <w:rPr>
                <w:rFonts w:ascii="Arial" w:cs="Arial" w:eastAsia="Arial" w:hAnsi="Arial"/>
                <w:sz w:val="13"/>
                <w:szCs w:val="13"/>
                <w:color w:val="auto"/>
                <w:w w:val="88"/>
              </w:rPr>
              <w:t>December 31,</w:t>
            </w:r>
          </w:p>
        </w:tc>
        <w:tc>
          <w:tcPr>
            <w:tcW w:w="1140" w:type="dxa"/>
            <w:vAlign w:val="bottom"/>
            <w:gridSpan w:val="3"/>
          </w:tcPr>
          <w:p>
            <w:pPr>
              <w:ind w:left="380"/>
              <w:spacing w:after="0" w:line="114" w:lineRule="exact"/>
              <w:rPr>
                <w:sz w:val="20"/>
                <w:szCs w:val="20"/>
                <w:color w:val="auto"/>
              </w:rPr>
            </w:pPr>
            <w:r>
              <w:rPr>
                <w:rFonts w:ascii="Arial" w:cs="Arial" w:eastAsia="Arial" w:hAnsi="Arial"/>
                <w:sz w:val="13"/>
                <w:szCs w:val="13"/>
                <w:color w:val="auto"/>
                <w:w w:val="90"/>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0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color w:val="auto"/>
              </w:rPr>
              <w:t>2020</w:t>
            </w:r>
          </w:p>
        </w:tc>
        <w:tc>
          <w:tcPr>
            <w:tcW w:w="4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Computers and software</w:t>
            </w:r>
          </w:p>
        </w:tc>
        <w:tc>
          <w:tcPr>
            <w:tcW w:w="23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1,109</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2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6,159</w:t>
            </w: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20"/>
              <w:spacing w:after="0"/>
              <w:rPr>
                <w:sz w:val="20"/>
                <w:szCs w:val="20"/>
                <w:color w:val="auto"/>
              </w:rPr>
            </w:pPr>
            <w:r>
              <w:rPr>
                <w:rFonts w:ascii="Arial" w:cs="Arial" w:eastAsia="Arial" w:hAnsi="Arial"/>
                <w:sz w:val="17"/>
                <w:szCs w:val="17"/>
                <w:color w:val="auto"/>
                <w:w w:val="96"/>
              </w:rPr>
              <w:t>Less: accumulated depreciation and amortization</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(2,911)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(1,759)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50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3,248</w:t>
            </w: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00" w:type="dxa"/>
            <w:vAlign w:val="bottom"/>
            <w:gridSpan w:val="2"/>
          </w:tcPr>
          <w:p>
            <w:pPr>
              <w:jc w:val="right"/>
              <w:ind w:right="1849"/>
              <w:spacing w:after="0"/>
              <w:rPr>
                <w:sz w:val="20"/>
                <w:szCs w:val="20"/>
                <w:color w:val="auto"/>
              </w:rPr>
            </w:pPr>
            <w:r>
              <w:rPr>
                <w:rFonts w:ascii="Arial" w:cs="Arial" w:eastAsia="Arial" w:hAnsi="Arial"/>
                <w:sz w:val="17"/>
                <w:szCs w:val="17"/>
                <w:color w:val="auto"/>
              </w:rPr>
              <w:t>F-32</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66" w:right="81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firstLine="413"/>
        <w:spacing w:after="0" w:line="340" w:lineRule="auto"/>
        <w:rPr>
          <w:sz w:val="20"/>
          <w:szCs w:val="20"/>
          <w:color w:val="auto"/>
        </w:rPr>
      </w:pPr>
      <w:r>
        <w:rPr>
          <w:rFonts w:ascii="Arial" w:cs="Arial" w:eastAsia="Arial" w:hAnsi="Arial"/>
          <w:sz w:val="15"/>
          <w:szCs w:val="15"/>
          <w:color w:val="auto"/>
        </w:rPr>
        <w:t>Depreciation and amortization expense was $1.2 million for the year ended December 31, 2020 (Successor), and $0.5 million and $0.4 million for the periods from July 16, 2019 through December 31, 2019 (Successor), and January 1, 2019 through July 15, 2019 (Predecessor), respectively.</w:t>
      </w:r>
    </w:p>
    <w:p>
      <w:pPr>
        <w:spacing w:after="0" w:line="258" w:lineRule="exact"/>
        <w:rPr>
          <w:sz w:val="20"/>
          <w:szCs w:val="20"/>
          <w:color w:val="auto"/>
        </w:rPr>
      </w:pPr>
    </w:p>
    <w:p>
      <w:pPr>
        <w:ind w:left="860" w:hanging="403"/>
        <w:spacing w:after="0"/>
        <w:tabs>
          <w:tab w:leader="none" w:pos="86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Goodwill and Intangible Assets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The carrying amounts of goodwill and intangible assets, as of December 31, 2020 and 2019, consist of the following (in thousands):</w:t>
      </w:r>
    </w:p>
    <w:p>
      <w:pPr>
        <w:spacing w:after="0" w:line="240"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December 31, 2020 (Successor)</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3"/>
                <w:szCs w:val="13"/>
                <w:color w:val="auto"/>
                <w:w w:val="91"/>
              </w:rPr>
              <w:t>Gross Carrying</w:t>
            </w:r>
          </w:p>
        </w:tc>
        <w:tc>
          <w:tcPr>
            <w:tcW w:w="1740" w:type="dxa"/>
            <w:vAlign w:val="bottom"/>
            <w:gridSpan w:val="4"/>
          </w:tcPr>
          <w:p>
            <w:pPr>
              <w:ind w:left="480"/>
              <w:spacing w:after="0" w:line="114" w:lineRule="exact"/>
              <w:rPr>
                <w:sz w:val="20"/>
                <w:szCs w:val="20"/>
                <w:color w:val="auto"/>
              </w:rPr>
            </w:pPr>
            <w:r>
              <w:rPr>
                <w:rFonts w:ascii="Arial" w:cs="Arial" w:eastAsia="Arial" w:hAnsi="Arial"/>
                <w:sz w:val="13"/>
                <w:szCs w:val="13"/>
                <w:color w:val="auto"/>
              </w:rPr>
              <w:t>Accumulated</w:t>
            </w:r>
          </w:p>
        </w:tc>
        <w:tc>
          <w:tcPr>
            <w:tcW w:w="780" w:type="dxa"/>
            <w:vAlign w:val="bottom"/>
            <w:gridSpan w:val="2"/>
          </w:tcPr>
          <w:p>
            <w:pPr>
              <w:jc w:val="center"/>
              <w:spacing w:after="0" w:line="114" w:lineRule="exact"/>
              <w:rPr>
                <w:sz w:val="20"/>
                <w:szCs w:val="20"/>
                <w:color w:val="auto"/>
              </w:rPr>
            </w:pPr>
            <w:r>
              <w:rPr>
                <w:rFonts w:ascii="Arial" w:cs="Arial" w:eastAsia="Arial" w:hAnsi="Arial"/>
                <w:sz w:val="13"/>
                <w:szCs w:val="13"/>
                <w:color w:val="auto"/>
                <w:w w:val="95"/>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Amount</w:t>
            </w:r>
          </w:p>
        </w:tc>
        <w:tc>
          <w:tcPr>
            <w:tcW w:w="1740" w:type="dxa"/>
            <w:vAlign w:val="bottom"/>
            <w:gridSpan w:val="4"/>
          </w:tcPr>
          <w:p>
            <w:pPr>
              <w:ind w:left="480"/>
              <w:spacing w:after="0"/>
              <w:rPr>
                <w:sz w:val="20"/>
                <w:szCs w:val="20"/>
                <w:color w:val="auto"/>
              </w:rPr>
            </w:pPr>
            <w:r>
              <w:rPr>
                <w:rFonts w:ascii="Arial" w:cs="Arial" w:eastAsia="Arial" w:hAnsi="Arial"/>
                <w:sz w:val="13"/>
                <w:szCs w:val="13"/>
                <w:color w:val="auto"/>
              </w:rPr>
              <w:t>Amortization</w:t>
            </w:r>
          </w:p>
        </w:tc>
        <w:tc>
          <w:tcPr>
            <w:tcW w:w="8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Amount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370,030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(58,097)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311,933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7"/>
              </w:rPr>
              <w:t>(10,218)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35,500</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(2,952)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7"/>
              </w:rPr>
              <w:t>(17,782)</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499,286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(89,049)</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1,261,444</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8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w w:val="91"/>
              </w:rPr>
              <w:t>$ 1,760,730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(89,049)</w:t>
            </w: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1,671,681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December 31, 2019 (Successor)</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3"/>
                <w:szCs w:val="13"/>
                <w:color w:val="auto"/>
                <w:w w:val="91"/>
              </w:rPr>
              <w:t>Gross Carrying</w:t>
            </w:r>
          </w:p>
        </w:tc>
        <w:tc>
          <w:tcPr>
            <w:tcW w:w="1740" w:type="dxa"/>
            <w:vAlign w:val="bottom"/>
            <w:gridSpan w:val="4"/>
          </w:tcPr>
          <w:p>
            <w:pPr>
              <w:ind w:left="480"/>
              <w:spacing w:after="0" w:line="114" w:lineRule="exact"/>
              <w:rPr>
                <w:sz w:val="20"/>
                <w:szCs w:val="20"/>
                <w:color w:val="auto"/>
              </w:rPr>
            </w:pPr>
            <w:r>
              <w:rPr>
                <w:rFonts w:ascii="Arial" w:cs="Arial" w:eastAsia="Arial" w:hAnsi="Arial"/>
                <w:sz w:val="13"/>
                <w:szCs w:val="13"/>
                <w:color w:val="auto"/>
              </w:rPr>
              <w:t>Accumulated</w:t>
            </w:r>
          </w:p>
        </w:tc>
        <w:tc>
          <w:tcPr>
            <w:tcW w:w="780" w:type="dxa"/>
            <w:vAlign w:val="bottom"/>
            <w:gridSpan w:val="2"/>
          </w:tcPr>
          <w:p>
            <w:pPr>
              <w:jc w:val="center"/>
              <w:spacing w:after="0" w:line="114" w:lineRule="exact"/>
              <w:rPr>
                <w:sz w:val="20"/>
                <w:szCs w:val="20"/>
                <w:color w:val="auto"/>
              </w:rPr>
            </w:pPr>
            <w:r>
              <w:rPr>
                <w:rFonts w:ascii="Arial" w:cs="Arial" w:eastAsia="Arial" w:hAnsi="Arial"/>
                <w:sz w:val="13"/>
                <w:szCs w:val="13"/>
                <w:color w:val="auto"/>
                <w:w w:val="95"/>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Amount</w:t>
            </w:r>
          </w:p>
        </w:tc>
        <w:tc>
          <w:tcPr>
            <w:tcW w:w="1740" w:type="dxa"/>
            <w:vAlign w:val="bottom"/>
            <w:gridSpan w:val="4"/>
          </w:tcPr>
          <w:p>
            <w:pPr>
              <w:ind w:left="480"/>
              <w:spacing w:after="0"/>
              <w:rPr>
                <w:sz w:val="20"/>
                <w:szCs w:val="20"/>
                <w:color w:val="auto"/>
              </w:rPr>
            </w:pPr>
            <w:r>
              <w:rPr>
                <w:rFonts w:ascii="Arial" w:cs="Arial" w:eastAsia="Arial" w:hAnsi="Arial"/>
                <w:sz w:val="13"/>
                <w:szCs w:val="13"/>
                <w:color w:val="auto"/>
              </w:rPr>
              <w:t>Amortization</w:t>
            </w:r>
          </w:p>
        </w:tc>
        <w:tc>
          <w:tcPr>
            <w:tcW w:w="8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Amount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358,130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(21,075)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337,055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48,500</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(3,206)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34,100</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(928)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36,268</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(5,408)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476,998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(30,617)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446,381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1,233,173</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1,233,173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8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w w:val="91"/>
              </w:rPr>
              <w:t>$ 1,710,171</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(30,617)</w:t>
            </w: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1,679,554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Amortization expense associated with finite-lived intangible assets was $58.4 million for the year ended December 31, 2020 (Successor), of which $19.4 million was included in cost of revenue for the said period. Amortization expense associated with finite-lived intangible assets was $30.6 million and $2.0 million for the periods from July 16, 2019 through December 31, 2019 (Successor), and January 1, 2019 through July 15, 2019 (Predecessor), respectively.</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Estimated total intangible amortization expense during the next five years and thereafter is as follows (in thousands):</w:t>
      </w:r>
    </w:p>
    <w:p>
      <w:pPr>
        <w:spacing w:after="0" w:line="248"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58,143</w:t>
            </w:r>
          </w:p>
        </w:tc>
      </w:tr>
      <w:tr>
        <w:trPr>
          <w:trHeight w:val="203"/>
        </w:trPr>
        <w:tc>
          <w:tcPr>
            <w:tcW w:w="2020" w:type="dxa"/>
            <w:vAlign w:val="bottom"/>
          </w:tcPr>
          <w:p>
            <w:pPr>
              <w:spacing w:after="0"/>
              <w:rPr>
                <w:sz w:val="20"/>
                <w:szCs w:val="20"/>
                <w:color w:val="auto"/>
              </w:rPr>
            </w:pPr>
            <w:r>
              <w:rPr>
                <w:rFonts w:ascii="Arial" w:cs="Arial" w:eastAsia="Arial" w:hAnsi="Arial"/>
                <w:sz w:val="17"/>
                <w:szCs w:val="17"/>
                <w:color w:val="auto"/>
              </w:rPr>
              <w:t>2022</w:t>
            </w: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53,653</w:t>
            </w:r>
          </w:p>
        </w:tc>
      </w:tr>
      <w:tr>
        <w:trPr>
          <w:trHeight w:val="203"/>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45,709</w:t>
            </w:r>
          </w:p>
        </w:tc>
      </w:tr>
      <w:tr>
        <w:trPr>
          <w:trHeight w:val="203"/>
        </w:trPr>
        <w:tc>
          <w:tcPr>
            <w:tcW w:w="2020" w:type="dxa"/>
            <w:vAlign w:val="bottom"/>
          </w:tcPr>
          <w:p>
            <w:pPr>
              <w:spacing w:after="0"/>
              <w:rPr>
                <w:sz w:val="20"/>
                <w:szCs w:val="20"/>
                <w:color w:val="auto"/>
              </w:rPr>
            </w:pPr>
            <w:r>
              <w:rPr>
                <w:rFonts w:ascii="Arial" w:cs="Arial" w:eastAsia="Arial" w:hAnsi="Arial"/>
                <w:sz w:val="17"/>
                <w:szCs w:val="17"/>
                <w:color w:val="auto"/>
              </w:rPr>
              <w:t>2024</w:t>
            </w: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42,485</w:t>
            </w:r>
          </w:p>
        </w:tc>
      </w:tr>
      <w:tr>
        <w:trPr>
          <w:trHeight w:val="203"/>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38,296</w:t>
            </w:r>
          </w:p>
        </w:tc>
      </w:tr>
      <w:tr>
        <w:trPr>
          <w:trHeight w:val="203"/>
        </w:trPr>
        <w:tc>
          <w:tcPr>
            <w:tcW w:w="2020" w:type="dxa"/>
            <w:vAlign w:val="bottom"/>
          </w:tcPr>
          <w:p>
            <w:pPr>
              <w:spacing w:after="0"/>
              <w:rPr>
                <w:sz w:val="20"/>
                <w:szCs w:val="20"/>
                <w:color w:val="auto"/>
              </w:rPr>
            </w:pPr>
            <w:r>
              <w:rPr>
                <w:rFonts w:ascii="Arial" w:cs="Arial" w:eastAsia="Arial" w:hAnsi="Arial"/>
                <w:sz w:val="17"/>
                <w:szCs w:val="17"/>
                <w:color w:val="auto"/>
              </w:rPr>
              <w:t>Thereafter</w:t>
            </w: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171,951</w:t>
            </w:r>
          </w:p>
        </w:tc>
      </w:tr>
      <w:tr>
        <w:trPr>
          <w:trHeight w:val="25"/>
        </w:trPr>
        <w:tc>
          <w:tcPr>
            <w:tcW w:w="20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410,237</w:t>
            </w:r>
          </w:p>
        </w:tc>
      </w:tr>
      <w:tr>
        <w:trPr>
          <w:trHeight w:val="20"/>
        </w:trPr>
        <w:tc>
          <w:tcPr>
            <w:tcW w:w="20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2"/>
        </w:trPr>
        <w:tc>
          <w:tcPr>
            <w:tcW w:w="2020" w:type="dxa"/>
            <w:vAlign w:val="bottom"/>
          </w:tcPr>
          <w:p>
            <w:pPr>
              <w:spacing w:after="0"/>
              <w:rPr>
                <w:sz w:val="24"/>
                <w:szCs w:val="24"/>
                <w:color w:val="auto"/>
              </w:rPr>
            </w:pPr>
          </w:p>
        </w:tc>
        <w:tc>
          <w:tcPr>
            <w:tcW w:w="4360" w:type="dxa"/>
            <w:vAlign w:val="bottom"/>
            <w:gridSpan w:val="2"/>
          </w:tcPr>
          <w:p>
            <w:pPr>
              <w:jc w:val="right"/>
              <w:ind w:right="2720"/>
              <w:spacing w:after="0"/>
              <w:rPr>
                <w:sz w:val="20"/>
                <w:szCs w:val="20"/>
                <w:color w:val="auto"/>
              </w:rPr>
            </w:pPr>
            <w:r>
              <w:rPr>
                <w:rFonts w:ascii="Arial" w:cs="Arial" w:eastAsia="Arial" w:hAnsi="Arial"/>
                <w:sz w:val="17"/>
                <w:szCs w:val="17"/>
                <w:color w:val="auto"/>
              </w:rPr>
              <w:t>F-33</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780"/>
          </w:cols>
          <w:pgMar w:left="320" w:top="466" w:right="79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changes in the carrying amount of goodwill for the year ended December 31, 2020 (Successor) and the periods from July 16, 2019 to</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2019 (Successor) and January 1, 2019 through July 15, 2019 (Predecessor) were as follows (in thousands):</w:t>
      </w:r>
    </w:p>
    <w:p>
      <w:pPr>
        <w:spacing w:after="0" w:line="236"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2019 (Predecessor)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63,623</w:t>
            </w: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HIMSS acquisition (Note 3)</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19,145</w:t>
            </w:r>
          </w:p>
        </w:tc>
      </w:tr>
      <w:tr>
        <w:trPr>
          <w:trHeight w:val="25"/>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15, 2019 (Predecessor)</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82,768</w:t>
            </w:r>
          </w:p>
        </w:tc>
      </w:tr>
      <w:tr>
        <w:trPr>
          <w:trHeight w:val="215"/>
        </w:trPr>
        <w:tc>
          <w:tcPr>
            <w:tcW w:w="6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Definitive Holdco Acquisition (Note 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92"/>
              </w:rPr>
              <w:t>1,144,494</w:t>
            </w: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16, 2019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1,227,262</w:t>
            </w: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HSE acquisition (Note 3)</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5,911</w:t>
            </w:r>
          </w:p>
        </w:tc>
      </w:tr>
      <w:tr>
        <w:trPr>
          <w:trHeight w:val="25"/>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2019 (Successor)</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1,233,173</w:t>
            </w:r>
          </w:p>
        </w:tc>
      </w:tr>
      <w:tr>
        <w:trPr>
          <w:trHeight w:val="203"/>
        </w:trPr>
        <w:tc>
          <w:tcPr>
            <w:tcW w:w="6080" w:type="dxa"/>
            <w:vAlign w:val="bottom"/>
          </w:tcPr>
          <w:p>
            <w:pPr>
              <w:spacing w:after="0"/>
              <w:rPr>
                <w:sz w:val="20"/>
                <w:szCs w:val="20"/>
                <w:color w:val="auto"/>
              </w:rPr>
            </w:pPr>
            <w:r>
              <w:rPr>
                <w:rFonts w:ascii="Arial" w:cs="Arial" w:eastAsia="Arial" w:hAnsi="Arial"/>
                <w:sz w:val="17"/>
                <w:szCs w:val="17"/>
                <w:color w:val="auto"/>
              </w:rPr>
              <w:t>Monocl acquisition (Note 3)</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28,271</w:t>
            </w:r>
          </w:p>
        </w:tc>
      </w:tr>
      <w:tr>
        <w:trPr>
          <w:trHeight w:val="25"/>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2020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1,261,444</w:t>
            </w: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Company determined it had one reporting unit. The Company performed its annual impairment assessment in the fourth quarter of 2020 and 2019 and determined there was no impairment in 2020 or 2019.</w:t>
      </w:r>
    </w:p>
    <w:p>
      <w:pPr>
        <w:spacing w:after="0" w:line="304" w:lineRule="exact"/>
        <w:rPr>
          <w:sz w:val="20"/>
          <w:szCs w:val="20"/>
          <w:color w:val="auto"/>
        </w:rPr>
      </w:pPr>
    </w:p>
    <w:p>
      <w:pPr>
        <w:ind w:left="860" w:hanging="403"/>
        <w:spacing w:after="0"/>
        <w:tabs>
          <w:tab w:leader="none" w:pos="860"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Long-Term Debt</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Long-term debt consisted of the following as of December 31, 2020 and 2019, respectively (in thousands):</w:t>
      </w:r>
    </w:p>
    <w:p>
      <w:pPr>
        <w:spacing w:after="0" w:line="240"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w w:val="94"/>
              </w:rPr>
              <w:t>December 31, 2020 (Successor)</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40" w:type="dxa"/>
            <w:vAlign w:val="bottom"/>
            <w:gridSpan w:val="4"/>
          </w:tcPr>
          <w:p>
            <w:pPr>
              <w:jc w:val="center"/>
              <w:spacing w:after="0" w:line="114" w:lineRule="exact"/>
              <w:rPr>
                <w:sz w:val="20"/>
                <w:szCs w:val="20"/>
                <w:color w:val="auto"/>
              </w:rPr>
            </w:pPr>
            <w:r>
              <w:rPr>
                <w:rFonts w:ascii="Arial" w:cs="Arial" w:eastAsia="Arial" w:hAnsi="Arial"/>
                <w:sz w:val="13"/>
                <w:szCs w:val="13"/>
                <w:color w:val="auto"/>
                <w:w w:val="93"/>
              </w:rPr>
              <w:t>Unamortized debt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gridSpan w:val="3"/>
          </w:tcPr>
          <w:p>
            <w:pPr>
              <w:jc w:val="center"/>
              <w:ind w:right="580"/>
              <w:spacing w:after="0" w:line="139" w:lineRule="exact"/>
              <w:rPr>
                <w:sz w:val="20"/>
                <w:szCs w:val="20"/>
                <w:color w:val="auto"/>
              </w:rPr>
            </w:pPr>
            <w:r>
              <w:rPr>
                <w:rFonts w:ascii="Arial" w:cs="Arial" w:eastAsia="Arial" w:hAnsi="Arial"/>
                <w:sz w:val="13"/>
                <w:szCs w:val="13"/>
                <w:color w:val="auto"/>
                <w:w w:val="90"/>
              </w:rPr>
              <w:t>issuance costs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21"/>
              <w:spacing w:after="0"/>
              <w:rPr>
                <w:sz w:val="20"/>
                <w:szCs w:val="20"/>
                <w:color w:val="auto"/>
              </w:rPr>
            </w:pPr>
            <w:r>
              <w:rPr>
                <w:rFonts w:ascii="Arial" w:cs="Arial" w:eastAsia="Arial" w:hAnsi="Arial"/>
                <w:sz w:val="13"/>
                <w:szCs w:val="13"/>
                <w:color w:val="auto"/>
              </w:rPr>
              <w:t>Principal</w:t>
            </w:r>
          </w:p>
        </w:tc>
        <w:tc>
          <w:tcPr>
            <w:tcW w:w="600" w:type="dxa"/>
            <w:vAlign w:val="bottom"/>
          </w:tcPr>
          <w:p>
            <w:pPr>
              <w:spacing w:after="0"/>
              <w:rPr>
                <w:sz w:val="13"/>
                <w:szCs w:val="13"/>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3"/>
                <w:szCs w:val="13"/>
                <w:color w:val="auto"/>
                <w:w w:val="92"/>
              </w:rPr>
              <w:t>financing costs</w:t>
            </w:r>
          </w:p>
        </w:tc>
        <w:tc>
          <w:tcPr>
            <w:tcW w:w="920" w:type="dxa"/>
            <w:vAlign w:val="bottom"/>
            <w:gridSpan w:val="4"/>
          </w:tcPr>
          <w:p>
            <w:pPr>
              <w:ind w:left="100"/>
              <w:spacing w:after="0"/>
              <w:rPr>
                <w:sz w:val="20"/>
                <w:szCs w:val="20"/>
                <w:color w:val="auto"/>
              </w:rPr>
            </w:pPr>
            <w:r>
              <w:rPr>
                <w:rFonts w:ascii="Arial" w:cs="Arial" w:eastAsia="Arial" w:hAnsi="Arial"/>
                <w:sz w:val="13"/>
                <w:szCs w:val="13"/>
                <w:color w:val="auto"/>
                <w:w w:val="96"/>
              </w:rPr>
              <w:t>Total debt, 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$444,375</w:t>
            </w:r>
          </w:p>
        </w:tc>
        <w:tc>
          <w:tcPr>
            <w:tcW w:w="6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82"/>
              </w:rPr>
              <w:t>(10,865)</w:t>
            </w: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433,510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6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472,742</w:t>
            </w:r>
          </w:p>
        </w:tc>
        <w:tc>
          <w:tcPr>
            <w:tcW w:w="860" w:type="dxa"/>
            <w:vAlign w:val="bottom"/>
            <w:gridSpan w:val="2"/>
          </w:tcPr>
          <w:p>
            <w:pPr>
              <w:jc w:val="right"/>
              <w:ind w:right="11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180"/>
              <w:spacing w:after="0"/>
              <w:rPr>
                <w:sz w:val="20"/>
                <w:szCs w:val="20"/>
                <w:color w:val="auto"/>
              </w:rPr>
            </w:pPr>
            <w:r>
              <w:rPr>
                <w:rFonts w:ascii="Arial" w:cs="Arial" w:eastAsia="Arial" w:hAnsi="Arial"/>
                <w:sz w:val="17"/>
                <w:szCs w:val="17"/>
                <w:color w:val="auto"/>
              </w:rPr>
              <w:t>(10,865)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461,877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Less: current portion of long-term debt</w:t>
            </w:r>
          </w:p>
        </w:tc>
        <w:tc>
          <w:tcPr>
            <w:tcW w:w="1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4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457,197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4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w w:val="94"/>
              </w:rPr>
              <w:t>December 31, 2019 (Successor)</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40" w:type="dxa"/>
            <w:vAlign w:val="bottom"/>
            <w:gridSpan w:val="4"/>
          </w:tcPr>
          <w:p>
            <w:pPr>
              <w:jc w:val="center"/>
              <w:spacing w:after="0" w:line="114" w:lineRule="exact"/>
              <w:rPr>
                <w:sz w:val="20"/>
                <w:szCs w:val="20"/>
                <w:color w:val="auto"/>
              </w:rPr>
            </w:pPr>
            <w:r>
              <w:rPr>
                <w:rFonts w:ascii="Arial" w:cs="Arial" w:eastAsia="Arial" w:hAnsi="Arial"/>
                <w:sz w:val="13"/>
                <w:szCs w:val="13"/>
                <w:color w:val="auto"/>
                <w:w w:val="93"/>
              </w:rPr>
              <w:t>Unamortized debt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gridSpan w:val="3"/>
          </w:tcPr>
          <w:p>
            <w:pPr>
              <w:jc w:val="center"/>
              <w:ind w:right="580"/>
              <w:spacing w:after="0" w:line="139" w:lineRule="exact"/>
              <w:rPr>
                <w:sz w:val="20"/>
                <w:szCs w:val="20"/>
                <w:color w:val="auto"/>
              </w:rPr>
            </w:pPr>
            <w:r>
              <w:rPr>
                <w:rFonts w:ascii="Arial" w:cs="Arial" w:eastAsia="Arial" w:hAnsi="Arial"/>
                <w:sz w:val="13"/>
                <w:szCs w:val="13"/>
                <w:color w:val="auto"/>
                <w:w w:val="90"/>
              </w:rPr>
              <w:t>issuance costs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21"/>
              <w:spacing w:after="0"/>
              <w:rPr>
                <w:sz w:val="20"/>
                <w:szCs w:val="20"/>
                <w:color w:val="auto"/>
              </w:rPr>
            </w:pPr>
            <w:r>
              <w:rPr>
                <w:rFonts w:ascii="Arial" w:cs="Arial" w:eastAsia="Arial" w:hAnsi="Arial"/>
                <w:sz w:val="13"/>
                <w:szCs w:val="13"/>
                <w:color w:val="auto"/>
              </w:rPr>
              <w:t>Principal</w:t>
            </w:r>
          </w:p>
        </w:tc>
        <w:tc>
          <w:tcPr>
            <w:tcW w:w="600" w:type="dxa"/>
            <w:vAlign w:val="bottom"/>
          </w:tcPr>
          <w:p>
            <w:pPr>
              <w:spacing w:after="0"/>
              <w:rPr>
                <w:sz w:val="13"/>
                <w:szCs w:val="13"/>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3"/>
                <w:szCs w:val="13"/>
                <w:color w:val="auto"/>
                <w:w w:val="92"/>
              </w:rPr>
              <w:t>financing costs</w:t>
            </w:r>
          </w:p>
        </w:tc>
        <w:tc>
          <w:tcPr>
            <w:tcW w:w="920" w:type="dxa"/>
            <w:vAlign w:val="bottom"/>
            <w:gridSpan w:val="4"/>
          </w:tcPr>
          <w:p>
            <w:pPr>
              <w:ind w:left="100"/>
              <w:spacing w:after="0"/>
              <w:rPr>
                <w:sz w:val="20"/>
                <w:szCs w:val="20"/>
                <w:color w:val="auto"/>
              </w:rPr>
            </w:pPr>
            <w:r>
              <w:rPr>
                <w:rFonts w:ascii="Arial" w:cs="Arial" w:eastAsia="Arial" w:hAnsi="Arial"/>
                <w:sz w:val="13"/>
                <w:szCs w:val="13"/>
                <w:color w:val="auto"/>
                <w:w w:val="96"/>
              </w:rPr>
              <w:t>Total debt, 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$448,875</w:t>
            </w:r>
          </w:p>
        </w:tc>
        <w:tc>
          <w:tcPr>
            <w:tcW w:w="6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82"/>
              </w:rPr>
              <w:t>(12,567)</w:t>
            </w: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436,308</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w:t>
            </w: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451,916</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(12,567)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439,349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4,500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4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434,849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Term Loan Payable</w:t>
      </w:r>
    </w:p>
    <w:p>
      <w:pPr>
        <w:spacing w:after="0" w:line="108" w:lineRule="exact"/>
        <w:rPr>
          <w:sz w:val="20"/>
          <w:szCs w:val="20"/>
          <w:color w:val="auto"/>
        </w:rPr>
      </w:pPr>
    </w:p>
    <w:p>
      <w:pPr>
        <w:jc w:val="both"/>
        <w:ind w:left="460" w:right="100" w:firstLine="413"/>
        <w:spacing w:after="0" w:line="284" w:lineRule="auto"/>
        <w:rPr>
          <w:sz w:val="20"/>
          <w:szCs w:val="20"/>
          <w:color w:val="auto"/>
        </w:rPr>
      </w:pPr>
      <w:r>
        <w:rPr>
          <w:rFonts w:ascii="Arial" w:cs="Arial" w:eastAsia="Arial" w:hAnsi="Arial"/>
          <w:sz w:val="16"/>
          <w:szCs w:val="16"/>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640"/>
          </w:cols>
          <w:pgMar w:left="320" w:top="466" w:right="93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line="289" w:lineRule="auto"/>
        <w:rPr>
          <w:sz w:val="20"/>
          <w:szCs w:val="20"/>
          <w:color w:val="auto"/>
        </w:rPr>
      </w:pPr>
      <w:r>
        <w:rPr>
          <w:rFonts w:ascii="Arial" w:cs="Arial" w:eastAsia="Arial" w:hAnsi="Arial"/>
          <w:sz w:val="15"/>
          <w:szCs w:val="15"/>
          <w:color w:val="auto"/>
        </w:rPr>
        <w:t>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December 31, 2020, the interest rate was 6.5% on both the $350.0 million loan and the $100.0 million paid in kind loan. At December 31, 2019, the interest rate was 8.404% on the $100.0 million paid in kind loan and 7.404% on the $350.0 million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$454.8 million and $451.9 million outstanding on the 2019 Term Note at December 31, 2020 and 2019, respectively, including $10.4 million and $3.0 million of paid in kind interest, respectively.</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Delayed Draw Term Loan Payable</w:t>
      </w:r>
    </w:p>
    <w:p>
      <w:pPr>
        <w:spacing w:after="0" w:line="108" w:lineRule="exact"/>
        <w:rPr>
          <w:sz w:val="20"/>
          <w:szCs w:val="20"/>
          <w:color w:val="auto"/>
        </w:rPr>
      </w:pPr>
    </w:p>
    <w:p>
      <w:pPr>
        <w:ind w:left="460" w:right="40" w:firstLine="413"/>
        <w:spacing w:after="0" w:line="288" w:lineRule="auto"/>
        <w:rPr>
          <w:sz w:val="20"/>
          <w:szCs w:val="20"/>
          <w:color w:val="auto"/>
        </w:rPr>
      </w:pPr>
      <w:r>
        <w:rPr>
          <w:rFonts w:ascii="Arial" w:cs="Arial" w:eastAsia="Arial" w:hAnsi="Arial"/>
          <w:sz w:val="15"/>
          <w:szCs w:val="15"/>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may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$18.0 million at December 31, 2020. There was no outstanding balance at December 31, 2019.</w:t>
      </w:r>
    </w:p>
    <w:p>
      <w:pPr>
        <w:spacing w:after="0" w:line="260"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Revolving Line of Credit</w:t>
      </w:r>
    </w:p>
    <w:p>
      <w:pPr>
        <w:spacing w:after="0" w:line="108" w:lineRule="exact"/>
        <w:rPr>
          <w:sz w:val="20"/>
          <w:szCs w:val="20"/>
          <w:color w:val="auto"/>
        </w:rPr>
      </w:pPr>
    </w:p>
    <w:p>
      <w:pPr>
        <w:ind w:left="460" w:right="80" w:firstLine="413"/>
        <w:spacing w:after="0" w:line="272" w:lineRule="auto"/>
        <w:rPr>
          <w:sz w:val="20"/>
          <w:szCs w:val="20"/>
          <w:color w:val="auto"/>
        </w:rPr>
      </w:pPr>
      <w:r>
        <w:rPr>
          <w:rFonts w:ascii="Arial" w:cs="Arial" w:eastAsia="Arial" w:hAnsi="Arial"/>
          <w:sz w:val="16"/>
          <w:szCs w:val="16"/>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 Quarterly in arrears, the Company is required to pay the bank a fee equal to 0.5% of the amount of the 2019 Revolving Line of Credit’s unused capacity. The expense is included in interest expense in the statement of income (loss). The 2019 Revolving Line of Credit is subject to certain financial covenants. During 2020, $25.0 million was drawn on the on the Revolving Line of Credit and subsequently paid back. There was no outstanding balance on the 2019 Revolving Line of Credit at December 31, 2020 or 2019.</w:t>
      </w:r>
    </w:p>
    <w:p>
      <w:pPr>
        <w:spacing w:after="0" w:line="269"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Line of Credit</w:t>
      </w:r>
    </w:p>
    <w:p>
      <w:pPr>
        <w:spacing w:after="0" w:line="108" w:lineRule="exact"/>
        <w:rPr>
          <w:sz w:val="20"/>
          <w:szCs w:val="20"/>
          <w:color w:val="auto"/>
        </w:rPr>
      </w:pPr>
    </w:p>
    <w:p>
      <w:pPr>
        <w:ind w:left="460" w:firstLine="413"/>
        <w:spacing w:after="0" w:line="293" w:lineRule="auto"/>
        <w:rPr>
          <w:sz w:val="20"/>
          <w:szCs w:val="20"/>
          <w:color w:val="auto"/>
        </w:rPr>
      </w:pPr>
      <w:r>
        <w:rPr>
          <w:rFonts w:ascii="Arial" w:cs="Arial" w:eastAsia="Arial" w:hAnsi="Arial"/>
          <w:sz w:val="15"/>
          <w:szCs w:val="15"/>
          <w:color w:val="auto"/>
        </w:rPr>
        <w:t>On January 8, 2019, in conjunction with the acquisition of HIMSS, the Company entered into a revolving line of credit (“2019 Revolver”) of $15.0 million with a maturity date of January 8, 2021. Loans under the 2019 Revolver were subject to several interest rate options based on the Eurodollar Rate or the Base Rate plus an applicable margin and were collateralized by a first security interest in the Company’s assets. Quarterly in arrears, the Company was required to pay the bank a fee equal to 0.3% of the amount of the 2019 Revolver’s unused capacity. The expense was included in interest expense on the consolidated statement of operations. The 2019 Revolver was subject to certain financial covenants. The Company drew down $13.0 million to fund the acquisition of HIMSS. During 2019, the 2019 Revolver was paid in full with cash on hand and terminated.</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780"/>
          </w:cols>
          <w:pgMar w:left="320" w:top="466" w:right="79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Financing Costs</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Capitalized financing costs represent costs incurred by the Company to obtain financing and are amortized over the term of the applicable loan using the effective interest method.</w:t>
      </w:r>
    </w:p>
    <w:p>
      <w:pPr>
        <w:spacing w:after="0" w:line="165"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During the year ended December 31, 2019, the Company incurred $1.6 million and $12.5 million of financing costs and original issue discounts, respectively. The amount is amortized to interest expense through the maturity dates of the underlying debt. The original issue discount is treated as a debt discount. The Company expensed capitalized financing costs and the debt discount through interest expense of $0.9 million during the period from July 16, 2019 through December 31, 2019 (Successor). No capitalized financing costs were expensed during the period from January 1, 2019 through July 15, 2019. As of December 31, 2020 and 2019, the unamortized financing costs for the 2019 Revolving Line of Credit of $0.5 million and $0.6 million, respectively, was classified in other assets in the consolidated balance sheet.</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14"/>
        </w:trPr>
        <w:tc>
          <w:tcPr>
            <w:tcW w:w="6520" w:type="dxa"/>
            <w:vAlign w:val="bottom"/>
            <w:gridSpan w:val="2"/>
          </w:tcPr>
          <w:p>
            <w:pPr>
              <w:spacing w:after="0"/>
              <w:rPr>
                <w:sz w:val="20"/>
                <w:szCs w:val="20"/>
                <w:color w:val="auto"/>
              </w:rPr>
            </w:pPr>
            <w:r>
              <w:rPr>
                <w:rFonts w:ascii="Arial" w:cs="Arial" w:eastAsia="Arial" w:hAnsi="Arial"/>
                <w:sz w:val="17"/>
                <w:szCs w:val="17"/>
                <w:color w:val="auto"/>
              </w:rPr>
              <w:t>Future principal payments as of December 31, 2020 are as follows (in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vMerge w:val="restart"/>
          </w:tcPr>
          <w:p>
            <w:pPr>
              <w:spacing w:after="0"/>
              <w:rPr>
                <w:sz w:val="19"/>
                <w:szCs w:val="19"/>
                <w:color w:val="auto"/>
              </w:rPr>
            </w:pPr>
          </w:p>
        </w:tc>
        <w:tc>
          <w:tcPr>
            <w:tcW w:w="5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40" w:type="dxa"/>
            <w:vAlign w:val="bottom"/>
            <w:vMerge w:val="continue"/>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2022</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2024</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Thereafter</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449,342</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472,742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860" w:hanging="403"/>
        <w:spacing w:after="0"/>
        <w:tabs>
          <w:tab w:leader="none" w:pos="86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 Measurements</w:t>
      </w:r>
    </w:p>
    <w:p>
      <w:pPr>
        <w:spacing w:after="0" w:line="108" w:lineRule="exact"/>
        <w:rPr>
          <w:sz w:val="20"/>
          <w:szCs w:val="20"/>
          <w:color w:val="auto"/>
        </w:rPr>
      </w:pPr>
    </w:p>
    <w:p>
      <w:pPr>
        <w:ind w:left="460" w:right="40" w:firstLine="413"/>
        <w:spacing w:after="0" w:line="260" w:lineRule="auto"/>
        <w:rPr>
          <w:sz w:val="20"/>
          <w:szCs w:val="20"/>
          <w:color w:val="auto"/>
        </w:rPr>
      </w:pPr>
      <w:r>
        <w:rPr>
          <w:rFonts w:ascii="Arial" w:cs="Arial" w:eastAsia="Arial" w:hAnsi="Arial"/>
          <w:sz w:val="17"/>
          <w:szCs w:val="17"/>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75" w:lineRule="exact"/>
        <w:rPr>
          <w:sz w:val="20"/>
          <w:szCs w:val="20"/>
          <w:color w:val="auto"/>
        </w:rPr>
      </w:pPr>
    </w:p>
    <w:p>
      <w:pPr>
        <w:ind w:left="460" w:right="100" w:firstLine="413"/>
        <w:spacing w:after="0" w:line="311" w:lineRule="auto"/>
        <w:rPr>
          <w:sz w:val="20"/>
          <w:szCs w:val="20"/>
          <w:color w:val="auto"/>
        </w:rPr>
      </w:pPr>
      <w:r>
        <w:rPr>
          <w:rFonts w:ascii="Arial" w:cs="Arial" w:eastAsia="Arial" w:hAnsi="Arial"/>
          <w:sz w:val="15"/>
          <w:szCs w:val="15"/>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0" w:lineRule="exact"/>
        <w:rPr>
          <w:sz w:val="20"/>
          <w:szCs w:val="20"/>
          <w:color w:val="auto"/>
        </w:rPr>
      </w:pPr>
    </w:p>
    <w:p>
      <w:pPr>
        <w:ind w:left="460" w:firstLine="413"/>
        <w:spacing w:after="0" w:line="284" w:lineRule="auto"/>
        <w:rPr>
          <w:sz w:val="20"/>
          <w:szCs w:val="20"/>
          <w:color w:val="auto"/>
        </w:rPr>
      </w:pPr>
      <w:r>
        <w:rPr>
          <w:rFonts w:ascii="Arial" w:cs="Arial" w:eastAsia="Arial" w:hAnsi="Arial"/>
          <w:sz w:val="16"/>
          <w:szCs w:val="16"/>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57" w:lineRule="exact"/>
        <w:rPr>
          <w:sz w:val="20"/>
          <w:szCs w:val="20"/>
          <w:color w:val="auto"/>
        </w:rPr>
      </w:pPr>
    </w:p>
    <w:p>
      <w:pPr>
        <w:ind w:left="460" w:right="20" w:firstLine="413"/>
        <w:spacing w:after="0" w:line="269" w:lineRule="auto"/>
        <w:rPr>
          <w:sz w:val="20"/>
          <w:szCs w:val="20"/>
          <w:color w:val="auto"/>
        </w:rPr>
      </w:pPr>
      <w:r>
        <w:rPr>
          <w:rFonts w:ascii="Arial" w:cs="Arial" w:eastAsia="Arial" w:hAnsi="Arial"/>
          <w:sz w:val="16"/>
          <w:szCs w:val="16"/>
          <w:color w:val="auto"/>
        </w:rPr>
        <w:t>The contingent consideration, which resulted from the earn-outs associated with the Monocl acquisition, is measured at fair value on a recurring basis. The current portion of the earn-out liability is included in accrued expenses and other current liabilities on the consolidated balance sheet, and the non-current portion in other long-term liabilities. Earn-out liabilities are classified within Level 3 in the fair value hierarchy because the methodology used to develop the estimated fair value includes significant unobservable inputs reflecting management’s own assumptions. The fair value of the contingent consideration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w:t>
      </w:r>
    </w:p>
    <w:p>
      <w:pPr>
        <w:spacing w:after="0" w:line="11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720"/>
          </w:cols>
          <w:pgMar w:left="320" w:top="466" w:right="85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00"/>
        <w:spacing w:after="0" w:line="286" w:lineRule="auto"/>
        <w:rPr>
          <w:sz w:val="20"/>
          <w:szCs w:val="20"/>
          <w:color w:val="auto"/>
        </w:rPr>
      </w:pPr>
      <w:r>
        <w:rPr>
          <w:rFonts w:ascii="Arial" w:cs="Arial" w:eastAsia="Arial" w:hAnsi="Arial"/>
          <w:sz w:val="15"/>
          <w:szCs w:val="15"/>
          <w:color w:val="auto"/>
        </w:rPr>
        <w:t>achievement would result in a higher fair value measurement. The fair value of the contingent consideration was $5.2 million as of December 31, 2020, with $1.5 million current and $3.7 million non-current. Adjustments to the earn-out liabilities in periods subsequent to the completion of acquisitions were made using scenario-based modeling to estimate the probability of achievement and are reflected within Transaction expenses in the consolidated statements of income (loss). As of December 31, 2020, the Company had the potential to make a maximum of $15.0 million and a minimum of</w:t>
      </w:r>
    </w:p>
    <w:p>
      <w:pPr>
        <w:ind w:left="460" w:right="280"/>
        <w:spacing w:after="0" w:line="257" w:lineRule="auto"/>
        <w:rPr>
          <w:sz w:val="20"/>
          <w:szCs w:val="20"/>
          <w:color w:val="auto"/>
        </w:rPr>
      </w:pPr>
      <w:r>
        <w:rPr>
          <w:rFonts w:ascii="Arial" w:cs="Arial" w:eastAsia="Arial" w:hAnsi="Arial"/>
          <w:sz w:val="17"/>
          <w:szCs w:val="17"/>
          <w:color w:val="auto"/>
        </w:rPr>
        <w:t>$0.0 million (undiscounted) in earn-out payments. Assuming the achievement of the applicable performance criteria, these earn-out payments will be made over the next 2 years.</w:t>
      </w:r>
    </w:p>
    <w:p>
      <w:pPr>
        <w:spacing w:after="0" w:line="177"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The table below presents a reconciliation of earnout liabilities measured at fair value on a recurring basis using significant unobservable inputs (Level 3) (in thousands):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gridSpan w:val="4"/>
            <w:vMerge w:val="restart"/>
          </w:tcPr>
          <w:p>
            <w:pPr>
              <w:ind w:left="400"/>
              <w:spacing w:after="0"/>
              <w:rPr>
                <w:sz w:val="20"/>
                <w:szCs w:val="20"/>
                <w:color w:val="auto"/>
              </w:rPr>
            </w:pPr>
            <w:r>
              <w:rPr>
                <w:rFonts w:ascii="Arial" w:cs="Arial" w:eastAsia="Arial" w:hAnsi="Arial"/>
                <w:sz w:val="13"/>
                <w:szCs w:val="13"/>
                <w:b w:val="1"/>
                <w:bCs w:val="1"/>
                <w:color w:val="auto"/>
              </w:rPr>
              <w:t>Successor Company</w:t>
            </w: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20" w:type="dxa"/>
            <w:vAlign w:val="bottom"/>
            <w:gridSpan w:val="4"/>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4"/>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3"/>
                <w:szCs w:val="13"/>
                <w:color w:val="auto"/>
              </w:rPr>
              <w:t>Period from</w:t>
            </w:r>
          </w:p>
        </w:tc>
        <w:tc>
          <w:tcPr>
            <w:tcW w:w="32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3"/>
                <w:szCs w:val="13"/>
                <w:color w:val="auto"/>
                <w:w w:val="95"/>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80"/>
              <w:spacing w:after="0" w:line="139" w:lineRule="exact"/>
              <w:rPr>
                <w:sz w:val="20"/>
                <w:szCs w:val="20"/>
                <w:color w:val="auto"/>
              </w:rPr>
            </w:pPr>
            <w:r>
              <w:rPr>
                <w:rFonts w:ascii="Arial" w:cs="Arial" w:eastAsia="Arial" w:hAnsi="Arial"/>
                <w:sz w:val="13"/>
                <w:szCs w:val="13"/>
                <w:color w:val="auto"/>
                <w:w w:val="98"/>
              </w:rPr>
              <w:t>Year ended</w:t>
            </w:r>
          </w:p>
        </w:tc>
        <w:tc>
          <w:tcPr>
            <w:tcW w:w="80" w:type="dxa"/>
            <w:vAlign w:val="bottom"/>
          </w:tcPr>
          <w:p>
            <w:pPr>
              <w:spacing w:after="0"/>
              <w:rPr>
                <w:sz w:val="12"/>
                <w:szCs w:val="12"/>
                <w:color w:val="auto"/>
              </w:rPr>
            </w:pPr>
          </w:p>
        </w:tc>
        <w:tc>
          <w:tcPr>
            <w:tcW w:w="980" w:type="dxa"/>
            <w:vAlign w:val="bottom"/>
          </w:tcPr>
          <w:p>
            <w:pPr>
              <w:ind w:left="20"/>
              <w:spacing w:after="0" w:line="139" w:lineRule="exact"/>
              <w:rPr>
                <w:sz w:val="20"/>
                <w:szCs w:val="20"/>
                <w:color w:val="auto"/>
              </w:rPr>
            </w:pPr>
            <w:r>
              <w:rPr>
                <w:rFonts w:ascii="Arial" w:cs="Arial" w:eastAsia="Arial" w:hAnsi="Arial"/>
                <w:sz w:val="13"/>
                <w:szCs w:val="13"/>
                <w:color w:val="auto"/>
              </w:rPr>
              <w:t>July 16, 2019 to</w:t>
            </w:r>
          </w:p>
        </w:tc>
        <w:tc>
          <w:tcPr>
            <w:tcW w:w="3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3"/>
          </w:tcPr>
          <w:p>
            <w:pPr>
              <w:jc w:val="center"/>
              <w:ind w:right="40"/>
              <w:spacing w:after="0" w:line="139" w:lineRule="exact"/>
              <w:rPr>
                <w:sz w:val="20"/>
                <w:szCs w:val="20"/>
                <w:color w:val="auto"/>
              </w:rPr>
            </w:pPr>
            <w:r>
              <w:rPr>
                <w:rFonts w:ascii="Arial" w:cs="Arial" w:eastAsia="Arial" w:hAnsi="Arial"/>
                <w:sz w:val="13"/>
                <w:szCs w:val="13"/>
                <w:color w:val="auto"/>
                <w:w w:val="92"/>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3"/>
                <w:szCs w:val="13"/>
                <w:color w:val="auto"/>
                <w:w w:val="91"/>
              </w:rPr>
              <w:t>December 31, 2020</w:t>
            </w:r>
          </w:p>
        </w:tc>
        <w:tc>
          <w:tcPr>
            <w:tcW w:w="1060" w:type="dxa"/>
            <w:vAlign w:val="bottom"/>
            <w:gridSpan w:val="2"/>
          </w:tcPr>
          <w:p>
            <w:pPr>
              <w:spacing w:after="0"/>
              <w:rPr>
                <w:sz w:val="20"/>
                <w:szCs w:val="20"/>
                <w:color w:val="auto"/>
              </w:rPr>
            </w:pPr>
            <w:r>
              <w:rPr>
                <w:rFonts w:ascii="Arial" w:cs="Arial" w:eastAsia="Arial" w:hAnsi="Arial"/>
                <w:sz w:val="13"/>
                <w:szCs w:val="13"/>
                <w:color w:val="auto"/>
                <w:w w:val="91"/>
              </w:rPr>
              <w:t>December 31, 2019</w:t>
            </w:r>
          </w:p>
        </w:tc>
        <w:tc>
          <w:tcPr>
            <w:tcW w:w="3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3"/>
                <w:szCs w:val="13"/>
                <w:color w:val="auto"/>
                <w:w w:val="95"/>
              </w:rPr>
              <w:t>to 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15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right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fair value and other adjustments</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2,636</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7"/>
                <w:szCs w:val="17"/>
                <w:color w:val="auto"/>
              </w:rPr>
              <w:t>Payments</w:t>
            </w:r>
          </w:p>
        </w:tc>
        <w:tc>
          <w:tcPr>
            <w:tcW w:w="1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66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5,236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were as follows as of</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2020:</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23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1"/>
              </w:rPr>
              <w:t>Fair Value</w:t>
            </w:r>
          </w:p>
        </w:tc>
        <w:tc>
          <w:tcPr>
            <w:tcW w:w="500" w:type="dxa"/>
            <w:vAlign w:val="bottom"/>
            <w:tcBorders>
              <w:bottom w:val="single" w:sz="8" w:color="CCEEFF"/>
            </w:tcBorders>
          </w:tcPr>
          <w:p>
            <w:pPr>
              <w:spacing w:after="0"/>
              <w:rPr>
                <w:sz w:val="14"/>
                <w:szCs w:val="14"/>
                <w:color w:val="auto"/>
              </w:rPr>
            </w:pPr>
          </w:p>
        </w:tc>
        <w:tc>
          <w:tcPr>
            <w:tcW w:w="3500" w:type="dxa"/>
            <w:vAlign w:val="bottom"/>
            <w:tcBorders>
              <w:bottom w:val="single" w:sz="8" w:color="auto"/>
            </w:tcBorders>
          </w:tcPr>
          <w:p>
            <w:pPr>
              <w:ind w:left="1200"/>
              <w:spacing w:after="0"/>
              <w:rPr>
                <w:sz w:val="20"/>
                <w:szCs w:val="20"/>
                <w:color w:val="auto"/>
              </w:rPr>
            </w:pPr>
            <w:r>
              <w:rPr>
                <w:rFonts w:ascii="Arial" w:cs="Arial" w:eastAsia="Arial" w:hAnsi="Arial"/>
                <w:sz w:val="13"/>
                <w:szCs w:val="13"/>
                <w:color w:val="auto"/>
              </w:rPr>
              <w:t>Valuation Technique</w:t>
            </w:r>
          </w:p>
        </w:tc>
        <w:tc>
          <w:tcPr>
            <w:tcW w:w="3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Unobservable Inputs</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w w:val="93"/>
              </w:rPr>
              <w:t>Discount Rate</w:t>
            </w:r>
          </w:p>
        </w:tc>
        <w:tc>
          <w:tcPr>
            <w:tcW w:w="320" w:type="dxa"/>
            <w:vAlign w:val="bottom"/>
            <w:tcBorders>
              <w:bottom w:val="single" w:sz="8" w:color="CCEEFF"/>
            </w:tcBorders>
          </w:tcPr>
          <w:p>
            <w:pPr>
              <w:spacing w:after="0"/>
              <w:rPr>
                <w:sz w:val="14"/>
                <w:szCs w:val="14"/>
                <w:color w:val="auto"/>
              </w:rPr>
            </w:pPr>
          </w:p>
        </w:tc>
      </w:tr>
      <w:tr>
        <w:trPr>
          <w:trHeight w:val="195"/>
        </w:trPr>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w w:val="98"/>
              </w:rPr>
              <w:t>$ 5,236</w:t>
            </w:r>
          </w:p>
        </w:tc>
        <w:tc>
          <w:tcPr>
            <w:tcW w:w="50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 (Real Option Method)</w:t>
            </w: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ind w:left="740"/>
              <w:spacing w:after="0"/>
              <w:rPr>
                <w:sz w:val="20"/>
                <w:szCs w:val="20"/>
                <w:color w:val="auto"/>
              </w:rPr>
            </w:pPr>
            <w:r>
              <w:rPr>
                <w:rFonts w:ascii="Arial" w:cs="Arial" w:eastAsia="Arial" w:hAnsi="Arial"/>
                <w:sz w:val="17"/>
                <w:szCs w:val="17"/>
                <w:color w:val="auto"/>
                <w:w w:val="87"/>
              </w:rPr>
              <w:t>Discount rate</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w:t>
            </w:r>
          </w:p>
        </w:tc>
      </w:tr>
    </w:tbl>
    <w:p>
      <w:pPr>
        <w:spacing w:after="0" w:line="190"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For discussion about the impairment testing of assets not measured at fair value on a recurring basis see Note 7.</w:t>
      </w:r>
      <w:r>
        <w:rPr>
          <w:rFonts w:ascii="Arial" w:cs="Arial" w:eastAsia="Arial" w:hAnsi="Arial"/>
          <w:sz w:val="17"/>
          <w:szCs w:val="17"/>
          <w:i w:val="1"/>
          <w:iCs w:val="1"/>
          <w:color w:val="auto"/>
        </w:rPr>
        <w:t xml:space="preserve"> Goodwill and Intangible Assets </w:t>
      </w:r>
      <w:r>
        <w:rPr>
          <w:rFonts w:ascii="Arial" w:cs="Arial" w:eastAsia="Arial" w:hAnsi="Arial"/>
          <w:sz w:val="17"/>
          <w:szCs w:val="17"/>
          <w:color w:val="auto"/>
        </w:rPr>
        <w:t>for additional details.</w:t>
      </w:r>
    </w:p>
    <w:p>
      <w:pPr>
        <w:spacing w:after="0" w:line="321" w:lineRule="exact"/>
        <w:rPr>
          <w:sz w:val="20"/>
          <w:szCs w:val="20"/>
          <w:color w:val="auto"/>
        </w:rPr>
      </w:pPr>
    </w:p>
    <w:p>
      <w:pPr>
        <w:ind w:left="860" w:hanging="403"/>
        <w:spacing w:after="0"/>
        <w:tabs>
          <w:tab w:leader="none" w:pos="86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Accrued Expenses and Other Current Liabilities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 (in thousands):</w:t>
      </w:r>
    </w:p>
    <w:p>
      <w:pPr>
        <w:spacing w:after="0" w:line="240"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3"/>
                <w:szCs w:val="13"/>
                <w:b w:val="1"/>
                <w:bCs w:val="1"/>
                <w:color w:val="auto"/>
              </w:rPr>
              <w:t>Successor Company</w:t>
            </w: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60" w:type="dxa"/>
            <w:vAlign w:val="bottom"/>
            <w:gridSpan w:val="2"/>
          </w:tcPr>
          <w:p>
            <w:pPr>
              <w:jc w:val="right"/>
              <w:spacing w:after="0" w:line="145" w:lineRule="exact"/>
              <w:rPr>
                <w:sz w:val="20"/>
                <w:szCs w:val="20"/>
                <w:color w:val="auto"/>
              </w:rPr>
            </w:pPr>
            <w:r>
              <w:rPr>
                <w:rFonts w:ascii="Arial" w:cs="Arial" w:eastAsia="Arial" w:hAnsi="Arial"/>
                <w:sz w:val="13"/>
                <w:szCs w:val="13"/>
                <w:color w:val="auto"/>
                <w:w w:val="91"/>
              </w:rPr>
              <w:t>December 31, 2020</w:t>
            </w:r>
          </w:p>
        </w:tc>
        <w:tc>
          <w:tcPr>
            <w:tcW w:w="2080" w:type="dxa"/>
            <w:vAlign w:val="bottom"/>
            <w:gridSpan w:val="3"/>
          </w:tcPr>
          <w:p>
            <w:pPr>
              <w:jc w:val="right"/>
              <w:spacing w:after="0" w:line="145" w:lineRule="exact"/>
              <w:rPr>
                <w:sz w:val="20"/>
                <w:szCs w:val="20"/>
                <w:color w:val="auto"/>
              </w:rPr>
            </w:pPr>
            <w:r>
              <w:rPr>
                <w:rFonts w:ascii="Arial" w:cs="Arial" w:eastAsia="Arial" w:hAnsi="Arial"/>
                <w:sz w:val="13"/>
                <w:szCs w:val="13"/>
                <w:color w:val="auto"/>
              </w:rPr>
              <w:t>December 31, 2019</w:t>
            </w:r>
          </w:p>
        </w:tc>
        <w:tc>
          <w:tcPr>
            <w:tcW w:w="4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3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Payroll and payroll-related</w:t>
            </w:r>
          </w:p>
        </w:tc>
        <w:tc>
          <w:tcPr>
            <w:tcW w:w="18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10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3,879</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Accrued interest</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5,365</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4,215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 current</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Sales taxes</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649</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1,916</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Other</w:t>
            </w:r>
          </w:p>
        </w:tc>
        <w:tc>
          <w:tcPr>
            <w:tcW w:w="1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w:t>
            </w:r>
          </w:p>
        </w:tc>
        <w:tc>
          <w:tcPr>
            <w:tcW w:w="1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2200" w:type="dxa"/>
            <w:vAlign w:val="bottom"/>
            <w:gridSpan w:val="2"/>
            <w:shd w:val="clear" w:color="auto" w:fill="CCEEFF"/>
          </w:tcPr>
          <w:p>
            <w:pPr>
              <w:jc w:val="right"/>
              <w:ind w:right="189"/>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17,321</w:t>
            </w:r>
          </w:p>
        </w:tc>
        <w:tc>
          <w:tcPr>
            <w:tcW w:w="1340" w:type="dxa"/>
            <w:vAlign w:val="bottom"/>
            <w:gridSpan w:val="2"/>
            <w:shd w:val="clear" w:color="auto" w:fill="CCEEFF"/>
          </w:tcPr>
          <w:p>
            <w:pPr>
              <w:jc w:val="right"/>
              <w:ind w:right="16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10,348</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0" w:type="dxa"/>
            <w:vAlign w:val="bottom"/>
            <w:gridSpan w:val="2"/>
          </w:tcPr>
          <w:p>
            <w:pPr>
              <w:jc w:val="right"/>
              <w:ind w:right="1269"/>
              <w:spacing w:after="0"/>
              <w:rPr>
                <w:sz w:val="20"/>
                <w:szCs w:val="20"/>
                <w:color w:val="auto"/>
              </w:rPr>
            </w:pPr>
            <w:r>
              <w:rPr>
                <w:rFonts w:ascii="Arial" w:cs="Arial" w:eastAsia="Arial" w:hAnsi="Arial"/>
                <w:sz w:val="17"/>
                <w:szCs w:val="17"/>
                <w:color w:val="auto"/>
              </w:rPr>
              <w:t>F-37</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00"/>
          </w:cols>
          <w:pgMar w:left="320" w:top="466" w:right="77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5"/>
          <w:szCs w:val="15"/>
          <w:color w:val="auto"/>
        </w:rPr>
        <w:t>The Company leases office facilities in Massachusetts, Vermont and Sweden, the terms of which expire at various times through the year 2030.</w:t>
      </w:r>
    </w:p>
    <w:p>
      <w:pPr>
        <w:spacing w:after="0" w:line="233" w:lineRule="exact"/>
        <w:rPr>
          <w:sz w:val="20"/>
          <w:szCs w:val="20"/>
          <w:color w:val="auto"/>
        </w:rPr>
      </w:pPr>
    </w:p>
    <w:p>
      <w:pPr>
        <w:ind w:left="460" w:right="340" w:firstLine="413"/>
        <w:spacing w:after="0" w:line="284" w:lineRule="auto"/>
        <w:rPr>
          <w:sz w:val="20"/>
          <w:szCs w:val="20"/>
          <w:color w:val="auto"/>
        </w:rPr>
      </w:pPr>
      <w:r>
        <w:rPr>
          <w:rFonts w:ascii="Arial" w:cs="Arial" w:eastAsia="Arial" w:hAnsi="Arial"/>
          <w:sz w:val="16"/>
          <w:szCs w:val="16"/>
          <w:color w:val="auto"/>
        </w:rPr>
        <w:t>Beginning in 2017, the Predecessor subleased one of its Massachusetts offices. The sublease term expired in August 2019 and the Company recorded sublease rental income of $0.1 million for the year ended December 31, 2019. The income was recorded as an offset to rent expense in the consolidated statements of income (loss). There was no income from any sublease agreements recorded in 2020.</w:t>
      </w:r>
    </w:p>
    <w:p>
      <w:pPr>
        <w:spacing w:after="0" w:line="157" w:lineRule="exact"/>
        <w:rPr>
          <w:sz w:val="20"/>
          <w:szCs w:val="20"/>
          <w:color w:val="auto"/>
        </w:rPr>
      </w:pPr>
    </w:p>
    <w:p>
      <w:pPr>
        <w:ind w:left="460" w:firstLine="413"/>
        <w:spacing w:after="0" w:line="277" w:lineRule="auto"/>
        <w:rPr>
          <w:sz w:val="20"/>
          <w:szCs w:val="20"/>
          <w:color w:val="auto"/>
        </w:rPr>
      </w:pPr>
      <w:r>
        <w:rPr>
          <w:rFonts w:ascii="Arial" w:cs="Arial" w:eastAsia="Arial" w:hAnsi="Arial"/>
          <w:sz w:val="16"/>
          <w:szCs w:val="16"/>
          <w:color w:val="auto"/>
        </w:rPr>
        <w:t>Total rent expense was $1.8 million for the year ended December 31, 2020 (Successor) and $0.6 million and $0.5 million for the periods from July 16, 2019 through December 31, 2019 (Successor) and from January 1, 2019 through July 15, 2019 (Predecessor), respectively, and was classified in selling, general, and administrative expense in the consolidated statements of income (loss). The Company signed a new office lease agreement in 2019 which commenced in 2020 and will continue through 2027. The table below is inclusive of the new lease.</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Minimum future rental payments are expected to be as follows for each of the years ending December 31 (in thousands):</w:t>
      </w:r>
    </w:p>
    <w:p>
      <w:pPr>
        <w:spacing w:after="0" w:line="248"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3,035</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2,673</w:t>
            </w: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2,043</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2,338</w:t>
            </w: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2,193</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4,790</w:t>
            </w:r>
          </w:p>
        </w:tc>
      </w:tr>
      <w:tr>
        <w:trPr>
          <w:trHeight w:val="25"/>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17,072</w:t>
            </w: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520" w:firstLine="413"/>
        <w:spacing w:after="0" w:line="303" w:lineRule="auto"/>
        <w:rPr>
          <w:sz w:val="20"/>
          <w:szCs w:val="20"/>
          <w:color w:val="auto"/>
        </w:rPr>
      </w:pPr>
      <w:r>
        <w:rPr>
          <w:rFonts w:ascii="Arial" w:cs="Arial" w:eastAsia="Arial" w:hAnsi="Arial"/>
          <w:sz w:val="16"/>
          <w:szCs w:val="16"/>
          <w:color w:val="auto"/>
        </w:rPr>
        <w:t>The Company also enters into other purchase obligations in the normal course of doing business. The estimated annual minimum purchase commitments under those agreements were as follows for each of the years ending December 31 (in thousands):</w:t>
      </w:r>
    </w:p>
    <w:p>
      <w:pPr>
        <w:spacing w:after="0" w:line="181"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5,396</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5,257</w:t>
            </w: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5,098</w:t>
            </w:r>
          </w:p>
        </w:tc>
      </w:tr>
      <w:tr>
        <w:trPr>
          <w:trHeight w:val="203"/>
        </w:trPr>
        <w:tc>
          <w:tcPr>
            <w:tcW w:w="636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3,925</w:t>
            </w:r>
          </w:p>
        </w:tc>
      </w:tr>
      <w:tr>
        <w:trPr>
          <w:trHeight w:val="203"/>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2,370</w:t>
            </w:r>
          </w:p>
        </w:tc>
      </w:tr>
      <w:tr>
        <w:trPr>
          <w:trHeight w:val="208"/>
        </w:trPr>
        <w:tc>
          <w:tcPr>
            <w:tcW w:w="636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03"/>
        </w:trPr>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22,046</w:t>
            </w: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880" w:right="8680" w:hanging="423"/>
        <w:spacing w:after="0" w:line="453" w:lineRule="auto"/>
        <w:tabs>
          <w:tab w:leader="none" w:pos="872" w:val="left"/>
        </w:tabs>
        <w:numPr>
          <w:ilvl w:val="0"/>
          <w:numId w:val="18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Members’ capital </w:t>
      </w:r>
      <w:r>
        <w:rPr>
          <w:rFonts w:ascii="Arial" w:cs="Arial" w:eastAsia="Arial" w:hAnsi="Arial"/>
          <w:sz w:val="14"/>
          <w:szCs w:val="14"/>
          <w:b w:val="1"/>
          <w:bCs w:val="1"/>
          <w:color w:val="auto"/>
        </w:rPr>
        <w:t>Successor</w:t>
      </w:r>
    </w:p>
    <w:p>
      <w:pPr>
        <w:ind w:left="460" w:right="660" w:firstLine="413"/>
        <w:spacing w:after="0" w:line="272"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and Note 3. Business </w:t>
      </w:r>
      <w:r>
        <w:rPr>
          <w:rFonts w:ascii="Arial" w:cs="Arial" w:eastAsia="Arial" w:hAnsi="Arial"/>
          <w:sz w:val="17"/>
          <w:szCs w:val="17"/>
          <w:i w:val="1"/>
          <w:iCs w:val="1"/>
          <w:color w:val="auto"/>
        </w:rPr>
        <w:t>Combinations</w:t>
      </w:r>
      <w:r>
        <w:rPr>
          <w:rFonts w:ascii="Arial" w:cs="Arial" w:eastAsia="Arial" w:hAnsi="Arial"/>
          <w:sz w:val="17"/>
          <w:szCs w:val="17"/>
          <w:color w:val="auto"/>
        </w:rPr>
        <w:t>, the Company was formed by Advent for the purpose of acquiring Definitive Holdco.</w:t>
      </w:r>
    </w:p>
    <w:p>
      <w:pPr>
        <w:spacing w:after="0" w:line="165"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Upon formation of the Company, two classes of units were established: Class A Units (“Class A Units”) and Class B Units (“Class B Units”), collectively the Units.</w:t>
      </w:r>
    </w:p>
    <w:p>
      <w:pPr>
        <w:spacing w:after="0" w:line="165" w:lineRule="exact"/>
        <w:rPr>
          <w:sz w:val="20"/>
          <w:szCs w:val="20"/>
          <w:color w:val="auto"/>
        </w:rPr>
      </w:pPr>
    </w:p>
    <w:p>
      <w:pPr>
        <w:ind w:left="460" w:right="160" w:firstLine="413"/>
        <w:spacing w:after="0" w:line="272" w:lineRule="auto"/>
        <w:rPr>
          <w:sz w:val="20"/>
          <w:szCs w:val="20"/>
          <w:color w:val="auto"/>
        </w:rPr>
      </w:pPr>
      <w:r>
        <w:rPr>
          <w:rFonts w:ascii="Arial" w:cs="Arial" w:eastAsia="Arial" w:hAnsi="Arial"/>
          <w:sz w:val="17"/>
          <w:szCs w:val="17"/>
          <w:color w:val="auto"/>
        </w:rPr>
        <w:t>On July 16, 2019, 100% of the issued and outstanding Legacy Common Units of Definitive Holdco were acquired by AIDH Buyer, an affiliated legal entity of Advent and a wholly owned subsidiary of the Company.</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0760"/>
          </w:cols>
          <w:pgMar w:left="320" w:top="466" w:right="81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80" w:firstLine="413"/>
        <w:spacing w:after="0" w:line="272" w:lineRule="auto"/>
        <w:rPr>
          <w:sz w:val="20"/>
          <w:szCs w:val="20"/>
          <w:color w:val="auto"/>
        </w:rPr>
      </w:pPr>
      <w:r>
        <w:rPr>
          <w:rFonts w:ascii="Arial" w:cs="Arial" w:eastAsia="Arial" w:hAnsi="Arial"/>
          <w:sz w:val="17"/>
          <w:szCs w:val="17"/>
          <w:color w:val="auto"/>
        </w:rPr>
        <w:t>As part of the Definitive Holdco Acquisition, the Company issued 127,725,743 Class A Units at $10 per unit for total contributed capital of $1,267.3 million.</w:t>
      </w:r>
    </w:p>
    <w:p>
      <w:pPr>
        <w:spacing w:after="0" w:line="165" w:lineRule="exact"/>
        <w:rPr>
          <w:sz w:val="20"/>
          <w:szCs w:val="20"/>
          <w:color w:val="auto"/>
        </w:rPr>
      </w:pPr>
    </w:p>
    <w:p>
      <w:pPr>
        <w:ind w:left="460" w:right="340" w:firstLine="413"/>
        <w:spacing w:after="0" w:line="272" w:lineRule="auto"/>
        <w:rPr>
          <w:sz w:val="20"/>
          <w:szCs w:val="20"/>
          <w:color w:val="auto"/>
        </w:rPr>
      </w:pPr>
      <w:r>
        <w:rPr>
          <w:rFonts w:ascii="Arial" w:cs="Arial" w:eastAsia="Arial" w:hAnsi="Arial"/>
          <w:sz w:val="17"/>
          <w:szCs w:val="17"/>
          <w:color w:val="auto"/>
        </w:rPr>
        <w:t>Additionally, the outstanding units of the Legacy Class B Series B, Series C, Series D, and Series E were sold to AIDH Buyer and the holders received a combination of cash and equity in the Company.</w:t>
      </w:r>
    </w:p>
    <w:p>
      <w:pPr>
        <w:spacing w:after="0" w:line="165" w:lineRule="exact"/>
        <w:rPr>
          <w:sz w:val="20"/>
          <w:szCs w:val="20"/>
          <w:color w:val="auto"/>
        </w:rPr>
      </w:pPr>
    </w:p>
    <w:p>
      <w:pPr>
        <w:ind w:left="460" w:right="80" w:firstLine="413"/>
        <w:spacing w:after="0" w:line="260" w:lineRule="auto"/>
        <w:rPr>
          <w:sz w:val="20"/>
          <w:szCs w:val="20"/>
          <w:color w:val="auto"/>
        </w:rPr>
      </w:pPr>
      <w:r>
        <w:rPr>
          <w:rFonts w:ascii="Arial" w:cs="Arial" w:eastAsia="Arial" w:hAnsi="Arial"/>
          <w:sz w:val="17"/>
          <w:szCs w:val="17"/>
          <w:color w:val="auto"/>
        </w:rPr>
        <w:t xml:space="preserve">In conjunction with the acquisition of Definitive Holdco by the Company in July 2019, the Company paid $6.9 million to the selling shareholders in July 2020 which had been recorded as a members’ distribution payable on the balance sheet at December 31, 2019 (see Note 3.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w:t>
      </w:r>
    </w:p>
    <w:p>
      <w:pPr>
        <w:spacing w:after="0" w:line="17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 xml:space="preserve">In 2019, the Company contributed $4.0 million worth of its Class A Units to partially fund the acquisition of HSE that occurred in December 2019 (see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65"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 xml:space="preserve">In 2020, the Company contributed $25.4 million worth of its Class A units to partially fund the acquisition of Monocl that occurred in October 2020 (see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also received an additional $6.4 million for buy in of Class A Units from of a number of its members.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There was 130,245,990 and 127,125,435 issued and outstanding Class A units as of December 31, 2020 and December 31, 2019, respectively.</w:t>
      </w:r>
    </w:p>
    <w:p>
      <w:pPr>
        <w:spacing w:after="0" w:line="33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Predecessor</w:t>
      </w:r>
    </w:p>
    <w:p>
      <w:pPr>
        <w:spacing w:after="0" w:line="108" w:lineRule="exact"/>
        <w:rPr>
          <w:sz w:val="20"/>
          <w:szCs w:val="20"/>
          <w:color w:val="auto"/>
        </w:rPr>
      </w:pPr>
    </w:p>
    <w:p>
      <w:pPr>
        <w:ind w:left="460" w:right="200" w:firstLine="413"/>
        <w:spacing w:after="0" w:line="272" w:lineRule="auto"/>
        <w:rPr>
          <w:sz w:val="20"/>
          <w:szCs w:val="20"/>
          <w:color w:val="auto"/>
        </w:rPr>
      </w:pPr>
      <w:r>
        <w:rPr>
          <w:rFonts w:ascii="Arial" w:cs="Arial" w:eastAsia="Arial" w:hAnsi="Arial"/>
          <w:sz w:val="17"/>
          <w:szCs w:val="17"/>
          <w:color w:val="auto"/>
        </w:rPr>
        <w:t>Upon formation of the Predecessor Company, two classes of common units were established; Class A Common Units (“Legacy Class A Units”) and Class B Common Units (“Legacy Class B Units”), collectively the Legacy Common Units.</w:t>
      </w:r>
    </w:p>
    <w:p>
      <w:pPr>
        <w:spacing w:after="0" w:line="165" w:lineRule="exact"/>
        <w:rPr>
          <w:sz w:val="20"/>
          <w:szCs w:val="20"/>
          <w:color w:val="auto"/>
        </w:rPr>
      </w:pPr>
    </w:p>
    <w:p>
      <w:pPr>
        <w:ind w:left="460" w:right="40" w:firstLine="413"/>
        <w:spacing w:after="0" w:line="253" w:lineRule="auto"/>
        <w:rPr>
          <w:sz w:val="20"/>
          <w:szCs w:val="20"/>
          <w:color w:val="auto"/>
        </w:rPr>
      </w:pPr>
      <w:r>
        <w:rPr>
          <w:rFonts w:ascii="Arial" w:cs="Arial" w:eastAsia="Arial" w:hAnsi="Arial"/>
          <w:sz w:val="17"/>
          <w:szCs w:val="17"/>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 in Class B Units of the Company. Upon formation of DHCB all previously issued Class B Units were exchanged for DHCB Series B Units, and the previously authorized Class B Units were transferred to DHCB. The DHCB Holdings Agreement allowed for the creation a series of units (the “Incentive Equity Pool”), upon approval by the Management Board, up to the cumulative authorized amount of 407,750.</w:t>
      </w:r>
    </w:p>
    <w:p>
      <w:pPr>
        <w:spacing w:after="0" w:line="182"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The rights and obligations of the holders of the Common Units were governed by the Amended and Restated Limited Liability Company Agreement of Definitive Healthcare Holdings, LLC, (the “Agreement”). The Agreement provided for the limitation of the holders liability to be that of their respective capital contributions as defined in the Agreement.</w:t>
      </w:r>
    </w:p>
    <w:p>
      <w:pPr>
        <w:spacing w:after="0" w:line="175" w:lineRule="exact"/>
        <w:rPr>
          <w:sz w:val="20"/>
          <w:szCs w:val="20"/>
          <w:color w:val="auto"/>
        </w:rPr>
      </w:pPr>
    </w:p>
    <w:p>
      <w:pPr>
        <w:ind w:left="460" w:right="120" w:firstLine="413"/>
        <w:spacing w:after="0" w:line="284" w:lineRule="auto"/>
        <w:rPr>
          <w:sz w:val="20"/>
          <w:szCs w:val="20"/>
          <w:color w:val="auto"/>
        </w:rPr>
      </w:pPr>
      <w:r>
        <w:rPr>
          <w:rFonts w:ascii="Arial" w:cs="Arial" w:eastAsia="Arial" w:hAnsi="Arial"/>
          <w:sz w:val="16"/>
          <w:szCs w:val="16"/>
          <w:color w:val="auto"/>
        </w:rPr>
        <w:t>Per the Agreement, all unit holders were entitled to receive the following distributions from the Company: tax distributions, distributions on liquidation or sale of the Company, or distributions prior to liquidation or sale of the Company. Per the terms of the Agreement tax distributions should be made for the amount of income allocated to the Member multiplied by the applicable federal income tax rate.</w:t>
      </w:r>
    </w:p>
    <w:p>
      <w:pPr>
        <w:spacing w:after="0" w:line="157" w:lineRule="exact"/>
        <w:rPr>
          <w:sz w:val="20"/>
          <w:szCs w:val="20"/>
          <w:color w:val="auto"/>
        </w:rPr>
      </w:pPr>
    </w:p>
    <w:p>
      <w:pPr>
        <w:ind w:left="460" w:right="60" w:firstLine="413"/>
        <w:spacing w:after="0" w:line="303" w:lineRule="auto"/>
        <w:rPr>
          <w:sz w:val="20"/>
          <w:szCs w:val="20"/>
          <w:color w:val="auto"/>
        </w:rPr>
      </w:pPr>
      <w:r>
        <w:rPr>
          <w:rFonts w:ascii="Arial" w:cs="Arial" w:eastAsia="Arial" w:hAnsi="Arial"/>
          <w:sz w:val="16"/>
          <w:szCs w:val="16"/>
          <w:color w:val="auto"/>
        </w:rPr>
        <w:t>As of December 31, 2018, 7,750,000 Legacy Class A Units were authorized, issued, and outstanding and 407,750 Legacy Class B Units (Series A though E) were authorized to be issued to employees and consultants as incentive units, of which 88,716 units were outstanding</w:t>
      </w:r>
    </w:p>
    <w:p>
      <w:pPr>
        <w:spacing w:after="0" w:line="143" w:lineRule="exact"/>
        <w:rPr>
          <w:sz w:val="20"/>
          <w:szCs w:val="20"/>
          <w:color w:val="auto"/>
        </w:rPr>
      </w:pPr>
    </w:p>
    <w:p>
      <w:pPr>
        <w:ind w:left="460" w:right="360" w:firstLine="413"/>
        <w:spacing w:after="0" w:line="311" w:lineRule="auto"/>
        <w:rPr>
          <w:sz w:val="20"/>
          <w:szCs w:val="20"/>
          <w:color w:val="auto"/>
        </w:rPr>
      </w:pPr>
      <w:r>
        <w:rPr>
          <w:rFonts w:ascii="Arial" w:cs="Arial" w:eastAsia="Arial" w:hAnsi="Arial"/>
          <w:sz w:val="15"/>
          <w:szCs w:val="15"/>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7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780"/>
          </w:cols>
          <w:pgMar w:left="320" w:top="466" w:right="79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right="7960" w:hanging="423"/>
        <w:spacing w:after="0" w:line="453" w:lineRule="auto"/>
        <w:tabs>
          <w:tab w:leader="none" w:pos="872" w:val="left"/>
        </w:tabs>
        <w:numPr>
          <w:ilvl w:val="0"/>
          <w:numId w:val="18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Equity-based Compensation </w:t>
      </w:r>
      <w:r>
        <w:rPr>
          <w:rFonts w:ascii="Arial" w:cs="Arial" w:eastAsia="Arial" w:hAnsi="Arial"/>
          <w:sz w:val="14"/>
          <w:szCs w:val="14"/>
          <w:u w:val="single" w:color="auto"/>
          <w:color w:val="auto"/>
        </w:rPr>
        <w:t>2019 Incentive Equity Plan</w:t>
      </w:r>
    </w:p>
    <w:p>
      <w:pPr>
        <w:ind w:left="460" w:right="100" w:firstLine="413"/>
        <w:spacing w:after="0" w:line="272" w:lineRule="auto"/>
        <w:rPr>
          <w:sz w:val="20"/>
          <w:szCs w:val="20"/>
          <w:color w:val="auto"/>
        </w:rPr>
      </w:pPr>
      <w:r>
        <w:rPr>
          <w:rFonts w:ascii="Arial" w:cs="Arial" w:eastAsia="Arial" w:hAnsi="Arial"/>
          <w:sz w:val="16"/>
          <w:szCs w:val="16"/>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67" w:lineRule="exact"/>
        <w:rPr>
          <w:sz w:val="20"/>
          <w:szCs w:val="20"/>
          <w:color w:val="auto"/>
        </w:rPr>
      </w:pPr>
    </w:p>
    <w:p>
      <w:pPr>
        <w:ind w:left="460" w:right="100" w:firstLine="413"/>
        <w:spacing w:after="0" w:line="256" w:lineRule="auto"/>
        <w:rPr>
          <w:sz w:val="20"/>
          <w:szCs w:val="20"/>
          <w:color w:val="auto"/>
        </w:rPr>
      </w:pPr>
      <w:r>
        <w:rPr>
          <w:rFonts w:ascii="Arial" w:cs="Arial" w:eastAsia="Arial" w:hAnsi="Arial"/>
          <w:sz w:val="17"/>
          <w:szCs w:val="17"/>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79"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4560" w:type="dxa"/>
            <w:vAlign w:val="bottom"/>
          </w:tcPr>
          <w:p>
            <w:pPr>
              <w:spacing w:after="0"/>
              <w:rPr>
                <w:sz w:val="13"/>
                <w:szCs w:val="13"/>
                <w:color w:val="auto"/>
              </w:rPr>
            </w:pPr>
          </w:p>
        </w:tc>
        <w:tc>
          <w:tcPr>
            <w:tcW w:w="3280" w:type="dxa"/>
            <w:vAlign w:val="bottom"/>
            <w:gridSpan w:val="4"/>
          </w:tcPr>
          <w:p>
            <w:pPr>
              <w:jc w:val="right"/>
              <w:ind w:right="1140"/>
              <w:spacing w:after="0"/>
              <w:rPr>
                <w:sz w:val="20"/>
                <w:szCs w:val="20"/>
                <w:color w:val="auto"/>
              </w:rPr>
            </w:pPr>
            <w:r>
              <w:rPr>
                <w:rFonts w:ascii="Arial" w:cs="Arial" w:eastAsia="Arial" w:hAnsi="Arial"/>
                <w:sz w:val="13"/>
                <w:szCs w:val="13"/>
                <w:b w:val="1"/>
                <w:bCs w:val="1"/>
                <w:color w:val="auto"/>
              </w:rPr>
              <w:t>Successor Company</w:t>
            </w:r>
          </w:p>
        </w:tc>
      </w:tr>
      <w:tr>
        <w:trPr>
          <w:trHeight w:val="114"/>
        </w:trPr>
        <w:tc>
          <w:tcPr>
            <w:tcW w:w="456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8"/>
              </w:rPr>
              <w:t>Period from</w:t>
            </w:r>
          </w:p>
        </w:tc>
        <w:tc>
          <w:tcPr>
            <w:tcW w:w="180" w:type="dxa"/>
            <w:vAlign w:val="bottom"/>
          </w:tcPr>
          <w:p>
            <w:pPr>
              <w:spacing w:after="0"/>
              <w:rPr>
                <w:sz w:val="9"/>
                <w:szCs w:val="9"/>
                <w:color w:val="auto"/>
              </w:rPr>
            </w:pPr>
          </w:p>
        </w:tc>
      </w:tr>
      <w:tr>
        <w:trPr>
          <w:trHeight w:val="139"/>
        </w:trPr>
        <w:tc>
          <w:tcPr>
            <w:tcW w:w="4560" w:type="dxa"/>
            <w:vAlign w:val="bottom"/>
          </w:tcPr>
          <w:p>
            <w:pPr>
              <w:spacing w:after="0"/>
              <w:rPr>
                <w:sz w:val="12"/>
                <w:szCs w:val="12"/>
                <w:color w:val="auto"/>
              </w:rPr>
            </w:pPr>
          </w:p>
        </w:tc>
        <w:tc>
          <w:tcPr>
            <w:tcW w:w="2040" w:type="dxa"/>
            <w:vAlign w:val="bottom"/>
            <w:gridSpan w:val="2"/>
          </w:tcPr>
          <w:p>
            <w:pPr>
              <w:jc w:val="right"/>
              <w:ind w:right="1200"/>
              <w:spacing w:after="0" w:line="139" w:lineRule="exact"/>
              <w:rPr>
                <w:sz w:val="20"/>
                <w:szCs w:val="20"/>
                <w:color w:val="auto"/>
              </w:rPr>
            </w:pPr>
            <w:r>
              <w:rPr>
                <w:rFonts w:ascii="Arial" w:cs="Arial" w:eastAsia="Arial" w:hAnsi="Arial"/>
                <w:sz w:val="13"/>
                <w:szCs w:val="13"/>
                <w:color w:val="auto"/>
              </w:rPr>
              <w:t>Year ended</w:t>
            </w:r>
          </w:p>
        </w:tc>
        <w:tc>
          <w:tcPr>
            <w:tcW w:w="1240" w:type="dxa"/>
            <w:vAlign w:val="bottom"/>
            <w:gridSpan w:val="2"/>
          </w:tcPr>
          <w:p>
            <w:pPr>
              <w:jc w:val="center"/>
              <w:ind w:right="180"/>
              <w:spacing w:after="0" w:line="139" w:lineRule="exact"/>
              <w:rPr>
                <w:sz w:val="20"/>
                <w:szCs w:val="20"/>
                <w:color w:val="auto"/>
              </w:rPr>
            </w:pPr>
            <w:r>
              <w:rPr>
                <w:rFonts w:ascii="Arial" w:cs="Arial" w:eastAsia="Arial" w:hAnsi="Arial"/>
                <w:sz w:val="13"/>
                <w:szCs w:val="13"/>
                <w:color w:val="auto"/>
                <w:w w:val="93"/>
              </w:rPr>
              <w:t>July 16, 2019 to</w:t>
            </w:r>
          </w:p>
        </w:tc>
      </w:tr>
      <w:tr>
        <w:trPr>
          <w:trHeight w:val="158"/>
        </w:trPr>
        <w:tc>
          <w:tcPr>
            <w:tcW w:w="4560" w:type="dxa"/>
            <w:vAlign w:val="bottom"/>
          </w:tcPr>
          <w:p>
            <w:pPr>
              <w:spacing w:after="0"/>
              <w:rPr>
                <w:sz w:val="13"/>
                <w:szCs w:val="13"/>
                <w:color w:val="auto"/>
              </w:rPr>
            </w:pPr>
          </w:p>
        </w:tc>
        <w:tc>
          <w:tcPr>
            <w:tcW w:w="2040" w:type="dxa"/>
            <w:vAlign w:val="bottom"/>
            <w:gridSpan w:val="2"/>
          </w:tcPr>
          <w:p>
            <w:pPr>
              <w:jc w:val="right"/>
              <w:ind w:right="960"/>
              <w:spacing w:after="0"/>
              <w:rPr>
                <w:sz w:val="20"/>
                <w:szCs w:val="20"/>
                <w:color w:val="auto"/>
              </w:rPr>
            </w:pPr>
            <w:r>
              <w:rPr>
                <w:rFonts w:ascii="Arial" w:cs="Arial" w:eastAsia="Arial" w:hAnsi="Arial"/>
                <w:sz w:val="13"/>
                <w:szCs w:val="13"/>
                <w:color w:val="auto"/>
                <w:w w:val="92"/>
              </w:rPr>
              <w:t>December 31, 2020</w:t>
            </w: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31, 2019</w:t>
            </w:r>
          </w:p>
        </w:tc>
      </w:tr>
      <w:tr>
        <w:trPr>
          <w:trHeight w:val="195"/>
        </w:trPr>
        <w:tc>
          <w:tcPr>
            <w:tcW w:w="4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Expected option term</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years</w:t>
            </w:r>
          </w:p>
        </w:tc>
        <w:tc>
          <w:tcPr>
            <w:tcW w:w="9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years</w:t>
            </w:r>
          </w:p>
        </w:tc>
        <w:tc>
          <w:tcPr>
            <w:tcW w:w="180" w:type="dxa"/>
            <w:vAlign w:val="bottom"/>
            <w:tcBorders>
              <w:top w:val="single" w:sz="8" w:color="CCEEFF"/>
            </w:tcBorders>
            <w:shd w:val="clear" w:color="auto" w:fill="CCEEFF"/>
          </w:tcPr>
          <w:p>
            <w:pPr>
              <w:spacing w:after="0"/>
              <w:rPr>
                <w:sz w:val="16"/>
                <w:szCs w:val="16"/>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7"/>
                <w:szCs w:val="17"/>
                <w:color w:val="auto"/>
              </w:rPr>
              <w:t>Risk-free rate of return</w:t>
            </w:r>
          </w:p>
        </w:tc>
        <w:tc>
          <w:tcPr>
            <w:tcW w:w="2040" w:type="dxa"/>
            <w:vAlign w:val="bottom"/>
            <w:gridSpan w:val="2"/>
          </w:tcPr>
          <w:p>
            <w:pPr>
              <w:jc w:val="right"/>
              <w:ind w:right="820"/>
              <w:spacing w:after="0"/>
              <w:rPr>
                <w:sz w:val="20"/>
                <w:szCs w:val="20"/>
                <w:color w:val="auto"/>
              </w:rPr>
            </w:pPr>
            <w:r>
              <w:rPr>
                <w:rFonts w:ascii="Arial" w:cs="Arial" w:eastAsia="Arial" w:hAnsi="Arial"/>
                <w:sz w:val="17"/>
                <w:szCs w:val="17"/>
                <w:color w:val="auto"/>
              </w:rPr>
              <w:t>1.73%</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1.73%</w:t>
            </w:r>
          </w:p>
        </w:tc>
      </w:tr>
      <w:tr>
        <w:trPr>
          <w:trHeight w:val="203"/>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Applied volatility</w:t>
            </w:r>
          </w:p>
        </w:tc>
        <w:tc>
          <w:tcPr>
            <w:tcW w:w="204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35%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r>
    </w:tbl>
    <w:p>
      <w:pPr>
        <w:spacing w:after="0" w:line="190" w:lineRule="exact"/>
        <w:rPr>
          <w:sz w:val="20"/>
          <w:szCs w:val="20"/>
          <w:color w:val="auto"/>
        </w:rPr>
      </w:pPr>
    </w:p>
    <w:p>
      <w:pPr>
        <w:jc w:val="both"/>
        <w:ind w:left="460" w:right="540" w:firstLine="413"/>
        <w:spacing w:after="0" w:line="340" w:lineRule="auto"/>
        <w:rPr>
          <w:sz w:val="20"/>
          <w:szCs w:val="20"/>
          <w:color w:val="auto"/>
        </w:rPr>
      </w:pPr>
      <w:r>
        <w:rPr>
          <w:rFonts w:ascii="Arial" w:cs="Arial" w:eastAsia="Arial" w:hAnsi="Arial"/>
          <w:sz w:val="15"/>
          <w:szCs w:val="15"/>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0780"/>
          </w:cols>
          <w:pgMar w:left="320" w:top="466" w:right="79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following table summarizes the Company’s unvested time-based and performance-based unit activity under the 2019 plan for the year ended December 31, 2020 (Successor) and the periods from July 16, 2019 and December 31, 2019 (Successor) and January 1, 2019 to July 15, 2019 (Predecessor):</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color w:val="auto"/>
              </w:rPr>
              <w:t>Time-based</w:t>
            </w:r>
          </w:p>
        </w:tc>
        <w:tc>
          <w:tcPr>
            <w:tcW w:w="4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Performance-based</w:t>
            </w: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98"/>
              </w:rPr>
              <w:t>Weighted</w:t>
            </w: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jc w:val="center"/>
              <w:spacing w:after="0" w:line="114" w:lineRule="exact"/>
              <w:rPr>
                <w:sz w:val="20"/>
                <w:szCs w:val="20"/>
                <w:color w:val="auto"/>
              </w:rPr>
            </w:pPr>
            <w:r>
              <w:rPr>
                <w:rFonts w:ascii="Arial" w:cs="Arial" w:eastAsia="Arial" w:hAnsi="Arial"/>
                <w:sz w:val="13"/>
                <w:szCs w:val="13"/>
                <w:color w:val="auto"/>
                <w:w w:val="94"/>
              </w:rPr>
              <w:t>Weighted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ind w:left="80"/>
              <w:spacing w:after="0" w:line="139" w:lineRule="exact"/>
              <w:rPr>
                <w:sz w:val="20"/>
                <w:szCs w:val="20"/>
                <w:color w:val="auto"/>
              </w:rPr>
            </w:pPr>
            <w:r>
              <w:rPr>
                <w:rFonts w:ascii="Arial" w:cs="Arial" w:eastAsia="Arial" w:hAnsi="Arial"/>
                <w:sz w:val="13"/>
                <w:szCs w:val="13"/>
                <w:color w:val="auto"/>
              </w:rPr>
              <w:t>Average</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39" w:lineRule="exact"/>
              <w:rPr>
                <w:sz w:val="20"/>
                <w:szCs w:val="20"/>
                <w:color w:val="auto"/>
              </w:rPr>
            </w:pPr>
            <w:r>
              <w:rPr>
                <w:rFonts w:ascii="Arial" w:cs="Arial" w:eastAsia="Arial" w:hAnsi="Arial"/>
                <w:sz w:val="13"/>
                <w:szCs w:val="13"/>
                <w:color w:val="auto"/>
                <w:w w:val="90"/>
              </w:rPr>
              <w:t>Average</w:t>
            </w:r>
          </w:p>
        </w:tc>
        <w:tc>
          <w:tcPr>
            <w:tcW w:w="0" w:type="dxa"/>
            <w:vAlign w:val="bottom"/>
          </w:tcPr>
          <w:p>
            <w:pPr>
              <w:spacing w:after="0"/>
              <w:rPr>
                <w:sz w:val="1"/>
                <w:szCs w:val="1"/>
                <w:color w:val="auto"/>
              </w:rPr>
            </w:pPr>
          </w:p>
        </w:tc>
      </w:tr>
      <w:tr>
        <w:trPr>
          <w:trHeight w:val="139"/>
        </w:trPr>
        <w:tc>
          <w:tcPr>
            <w:tcW w:w="6440" w:type="dxa"/>
            <w:vAlign w:val="bottom"/>
            <w:gridSpan w:val="3"/>
            <w:vMerge w:val="restart"/>
          </w:tcPr>
          <w:p>
            <w:pPr>
              <w:spacing w:after="0"/>
              <w:rPr>
                <w:sz w:val="20"/>
                <w:szCs w:val="20"/>
                <w:color w:val="auto"/>
              </w:rPr>
            </w:pPr>
            <w:r>
              <w:rPr>
                <w:rFonts w:ascii="Arial" w:cs="Arial" w:eastAsia="Arial" w:hAnsi="Arial"/>
                <w:sz w:val="13"/>
                <w:szCs w:val="13"/>
                <w:color w:val="auto"/>
              </w:rPr>
              <w:t>2019 Plan</w:t>
            </w:r>
          </w:p>
        </w:tc>
        <w:tc>
          <w:tcPr>
            <w:tcW w:w="1140" w:type="dxa"/>
            <w:vAlign w:val="bottom"/>
            <w:gridSpan w:val="2"/>
          </w:tcPr>
          <w:p>
            <w:pPr>
              <w:jc w:val="right"/>
              <w:ind w:right="460"/>
              <w:spacing w:after="0" w:line="139" w:lineRule="exact"/>
              <w:rPr>
                <w:sz w:val="20"/>
                <w:szCs w:val="20"/>
                <w:color w:val="auto"/>
              </w:rPr>
            </w:pPr>
            <w:r>
              <w:rPr>
                <w:rFonts w:ascii="Arial" w:cs="Arial" w:eastAsia="Arial" w:hAnsi="Arial"/>
                <w:sz w:val="13"/>
                <w:szCs w:val="13"/>
                <w:color w:val="auto"/>
                <w:w w:val="96"/>
              </w:rPr>
              <w:t>Non-Vested</w:t>
            </w:r>
          </w:p>
        </w:tc>
        <w:tc>
          <w:tcPr>
            <w:tcW w:w="960" w:type="dxa"/>
            <w:vAlign w:val="bottom"/>
            <w:gridSpan w:val="3"/>
          </w:tcPr>
          <w:p>
            <w:pPr>
              <w:spacing w:after="0" w:line="139" w:lineRule="exact"/>
              <w:rPr>
                <w:sz w:val="20"/>
                <w:szCs w:val="20"/>
                <w:color w:val="auto"/>
              </w:rPr>
            </w:pPr>
            <w:r>
              <w:rPr>
                <w:rFonts w:ascii="Arial" w:cs="Arial" w:eastAsia="Arial" w:hAnsi="Arial"/>
                <w:sz w:val="13"/>
                <w:szCs w:val="13"/>
                <w:color w:val="auto"/>
              </w:rPr>
              <w:t>Grant Date</w:t>
            </w:r>
          </w:p>
        </w:tc>
        <w:tc>
          <w:tcPr>
            <w:tcW w:w="960" w:type="dxa"/>
            <w:vAlign w:val="bottom"/>
            <w:gridSpan w:val="2"/>
          </w:tcPr>
          <w:p>
            <w:pPr>
              <w:jc w:val="center"/>
              <w:ind w:right="240"/>
              <w:spacing w:after="0" w:line="139" w:lineRule="exact"/>
              <w:rPr>
                <w:sz w:val="20"/>
                <w:szCs w:val="20"/>
                <w:color w:val="auto"/>
              </w:rPr>
            </w:pPr>
            <w:r>
              <w:rPr>
                <w:rFonts w:ascii="Arial" w:cs="Arial" w:eastAsia="Arial" w:hAnsi="Arial"/>
                <w:sz w:val="13"/>
                <w:szCs w:val="13"/>
                <w:color w:val="auto"/>
                <w:w w:val="93"/>
              </w:rPr>
              <w:t>Non-Vested</w:t>
            </w: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39" w:lineRule="exact"/>
              <w:rPr>
                <w:sz w:val="20"/>
                <w:szCs w:val="20"/>
                <w:color w:val="auto"/>
              </w:rPr>
            </w:pPr>
            <w:r>
              <w:rPr>
                <w:rFonts w:ascii="Arial" w:cs="Arial" w:eastAsia="Arial" w:hAnsi="Arial"/>
                <w:sz w:val="13"/>
                <w:szCs w:val="13"/>
                <w:color w:val="auto"/>
                <w:w w:val="94"/>
              </w:rPr>
              <w:t>Grant Date</w:t>
            </w:r>
          </w:p>
        </w:tc>
        <w:tc>
          <w:tcPr>
            <w:tcW w:w="0" w:type="dxa"/>
            <w:vAlign w:val="bottom"/>
          </w:tcPr>
          <w:p>
            <w:pPr>
              <w:spacing w:after="0"/>
              <w:rPr>
                <w:sz w:val="1"/>
                <w:szCs w:val="1"/>
                <w:color w:val="auto"/>
              </w:rPr>
            </w:pPr>
          </w:p>
        </w:tc>
      </w:tr>
      <w:tr>
        <w:trPr>
          <w:trHeight w:val="132"/>
        </w:trPr>
        <w:tc>
          <w:tcPr>
            <w:tcW w:w="6440" w:type="dxa"/>
            <w:vAlign w:val="bottom"/>
            <w:gridSpan w:val="3"/>
            <w:vMerge w:val="continue"/>
          </w:tcPr>
          <w:p>
            <w:pPr>
              <w:spacing w:after="0"/>
              <w:rPr>
                <w:sz w:val="11"/>
                <w:szCs w:val="11"/>
                <w:color w:val="auto"/>
              </w:rPr>
            </w:pPr>
          </w:p>
        </w:tc>
        <w:tc>
          <w:tcPr>
            <w:tcW w:w="1140" w:type="dxa"/>
            <w:vAlign w:val="bottom"/>
            <w:gridSpan w:val="2"/>
          </w:tcPr>
          <w:p>
            <w:pPr>
              <w:jc w:val="right"/>
              <w:ind w:right="640"/>
              <w:spacing w:after="0" w:line="113" w:lineRule="exact"/>
              <w:rPr>
                <w:sz w:val="20"/>
                <w:szCs w:val="20"/>
                <w:color w:val="auto"/>
              </w:rPr>
            </w:pPr>
            <w:r>
              <w:rPr>
                <w:rFonts w:ascii="Arial" w:cs="Arial" w:eastAsia="Arial" w:hAnsi="Arial"/>
                <w:sz w:val="13"/>
                <w:szCs w:val="13"/>
                <w:color w:val="auto"/>
              </w:rPr>
              <w:t>Units</w:t>
            </w:r>
          </w:p>
        </w:tc>
        <w:tc>
          <w:tcPr>
            <w:tcW w:w="960" w:type="dxa"/>
            <w:vAlign w:val="bottom"/>
            <w:gridSpan w:val="3"/>
          </w:tcPr>
          <w:p>
            <w:pPr>
              <w:ind w:left="20"/>
              <w:spacing w:after="0" w:line="113" w:lineRule="exact"/>
              <w:rPr>
                <w:sz w:val="20"/>
                <w:szCs w:val="20"/>
                <w:color w:val="auto"/>
              </w:rPr>
            </w:pPr>
            <w:r>
              <w:rPr>
                <w:rFonts w:ascii="Arial" w:cs="Arial" w:eastAsia="Arial" w:hAnsi="Arial"/>
                <w:sz w:val="13"/>
                <w:szCs w:val="13"/>
                <w:color w:val="auto"/>
              </w:rPr>
              <w:t>Fair Value</w:t>
            </w:r>
          </w:p>
        </w:tc>
        <w:tc>
          <w:tcPr>
            <w:tcW w:w="960" w:type="dxa"/>
            <w:vAlign w:val="bottom"/>
            <w:gridSpan w:val="2"/>
          </w:tcPr>
          <w:p>
            <w:pPr>
              <w:jc w:val="center"/>
              <w:ind w:right="240"/>
              <w:spacing w:after="0" w:line="113" w:lineRule="exact"/>
              <w:rPr>
                <w:sz w:val="20"/>
                <w:szCs w:val="20"/>
                <w:color w:val="auto"/>
              </w:rPr>
            </w:pPr>
            <w:r>
              <w:rPr>
                <w:rFonts w:ascii="Arial" w:cs="Arial" w:eastAsia="Arial" w:hAnsi="Arial"/>
                <w:sz w:val="13"/>
                <w:szCs w:val="13"/>
                <w:color w:val="auto"/>
                <w:w w:val="94"/>
              </w:rPr>
              <w:t>Units</w:t>
            </w:r>
          </w:p>
        </w:tc>
        <w:tc>
          <w:tcPr>
            <w:tcW w:w="180" w:type="dxa"/>
            <w:vAlign w:val="bottom"/>
          </w:tcPr>
          <w:p>
            <w:pPr>
              <w:spacing w:after="0"/>
              <w:rPr>
                <w:sz w:val="11"/>
                <w:szCs w:val="11"/>
                <w:color w:val="auto"/>
              </w:rPr>
            </w:pPr>
          </w:p>
        </w:tc>
        <w:tc>
          <w:tcPr>
            <w:tcW w:w="660" w:type="dxa"/>
            <w:vAlign w:val="bottom"/>
            <w:gridSpan w:val="3"/>
          </w:tcPr>
          <w:p>
            <w:pPr>
              <w:jc w:val="center"/>
              <w:ind w:right="60"/>
              <w:spacing w:after="0" w:line="113" w:lineRule="exact"/>
              <w:rPr>
                <w:sz w:val="20"/>
                <w:szCs w:val="20"/>
                <w:color w:val="auto"/>
              </w:rPr>
            </w:pPr>
            <w:r>
              <w:rPr>
                <w:rFonts w:ascii="Arial" w:cs="Arial" w:eastAsia="Arial" w:hAnsi="Arial"/>
                <w:sz w:val="13"/>
                <w:szCs w:val="13"/>
                <w:color w:val="auto"/>
                <w:w w:val="94"/>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42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Non-vested at December 31, 2018 (Predecessor)</w:t>
            </w:r>
          </w:p>
        </w:tc>
        <w:tc>
          <w:tcPr>
            <w:tcW w:w="7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420" w:type="dxa"/>
            <w:vAlign w:val="bottom"/>
            <w:tcBorders>
              <w:top w:val="single" w:sz="8" w:color="auto"/>
            </w:tcBorders>
            <w:gridSpan w:val="2"/>
            <w:shd w:val="clear" w:color="auto" w:fill="CCEEFF"/>
          </w:tcPr>
          <w:p>
            <w:pPr>
              <w:spacing w:after="0" w:line="188" w:lineRule="exact"/>
              <w:rPr>
                <w:sz w:val="20"/>
                <w:szCs w:val="20"/>
                <w:color w:val="auto"/>
              </w:rPr>
            </w:pPr>
            <w:r>
              <w:rPr>
                <w:rFonts w:ascii="Arial" w:cs="Arial" w:eastAsia="Arial" w:hAnsi="Arial"/>
                <w:sz w:val="17"/>
                <w:szCs w:val="17"/>
                <w:color w:val="auto"/>
              </w:rPr>
              <w:t>Non-vested at July 16, 2019 (Successor)</w:t>
            </w:r>
          </w:p>
        </w:tc>
        <w:tc>
          <w:tcPr>
            <w:tcW w:w="1140" w:type="dxa"/>
            <w:vAlign w:val="bottom"/>
            <w:tcBorders>
              <w:top w:val="single" w:sz="8" w:color="auto"/>
            </w:tcBorders>
            <w:gridSpan w:val="2"/>
            <w:shd w:val="clear" w:color="auto" w:fill="CCEEFF"/>
          </w:tcPr>
          <w:p>
            <w:pPr>
              <w:jc w:val="right"/>
              <w:ind w:right="500"/>
              <w:spacing w:after="0" w:line="188"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gridSpan w:val="2"/>
            <w:shd w:val="clear" w:color="auto" w:fill="CCEEFF"/>
          </w:tcPr>
          <w:p>
            <w:pPr>
              <w:jc w:val="center"/>
              <w:ind w:right="280"/>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gridSpan w:val="2"/>
            <w:shd w:val="clear" w:color="auto" w:fill="CCEEFF"/>
          </w:tcPr>
          <w:p>
            <w:pPr>
              <w:jc w:val="right"/>
              <w:ind w:right="320"/>
              <w:spacing w:after="0" w:line="188"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gridSpan w:val="2"/>
            <w:shd w:val="clear" w:color="auto" w:fill="CCEEFF"/>
          </w:tcPr>
          <w:p>
            <w:pPr>
              <w:jc w:val="right"/>
              <w:ind w:right="131"/>
              <w:spacing w:after="0" w:line="188" w:lineRule="exact"/>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gridSpan w:val="2"/>
            <w:shd w:val="clear" w:color="auto" w:fill="CCEEFF"/>
          </w:tcPr>
          <w:p>
            <w:pPr>
              <w:jc w:val="center"/>
              <w:ind w:right="80"/>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1,899,682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3.65</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1,899,682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gridSpan w:val="2"/>
          </w:tcPr>
          <w:p>
            <w:pPr>
              <w:ind w:left="320"/>
              <w:spacing w:after="0"/>
              <w:rPr>
                <w:sz w:val="20"/>
                <w:szCs w:val="20"/>
                <w:color w:val="auto"/>
              </w:rPr>
            </w:pPr>
            <w:r>
              <w:rPr>
                <w:rFonts w:ascii="Arial" w:cs="Arial" w:eastAsia="Arial" w:hAnsi="Arial"/>
                <w:sz w:val="17"/>
                <w:szCs w:val="17"/>
                <w:color w:val="auto"/>
              </w:rPr>
              <w:t>Forfeited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at December 31, 2019 (Successor)</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1,899,682</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90"/>
              </w:rPr>
              <w:t>3.65</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1,899,682</w:t>
            </w:r>
          </w:p>
        </w:tc>
        <w:tc>
          <w:tcPr>
            <w:tcW w:w="2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720" w:type="dxa"/>
            <w:vAlign w:val="bottom"/>
          </w:tcPr>
          <w:p>
            <w:pPr>
              <w:jc w:val="right"/>
              <w:spacing w:after="0"/>
              <w:rPr>
                <w:sz w:val="20"/>
                <w:szCs w:val="20"/>
                <w:color w:val="auto"/>
              </w:rPr>
            </w:pPr>
            <w:r>
              <w:rPr>
                <w:rFonts w:ascii="Arial" w:cs="Arial" w:eastAsia="Arial" w:hAnsi="Arial"/>
                <w:sz w:val="17"/>
                <w:szCs w:val="17"/>
                <w:color w:val="auto"/>
              </w:rPr>
              <w:t>97,611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3.65</w:t>
            </w:r>
          </w:p>
        </w:tc>
        <w:tc>
          <w:tcPr>
            <w:tcW w:w="720" w:type="dxa"/>
            <w:vAlign w:val="bottom"/>
          </w:tcPr>
          <w:p>
            <w:pPr>
              <w:jc w:val="right"/>
              <w:spacing w:after="0"/>
              <w:rPr>
                <w:sz w:val="20"/>
                <w:szCs w:val="20"/>
                <w:color w:val="auto"/>
              </w:rPr>
            </w:pPr>
            <w:r>
              <w:rPr>
                <w:rFonts w:ascii="Arial" w:cs="Arial" w:eastAsia="Arial" w:hAnsi="Arial"/>
                <w:sz w:val="17"/>
                <w:szCs w:val="17"/>
                <w:color w:val="auto"/>
              </w:rPr>
              <w:t>97,611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(474,920)</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90"/>
              </w:rPr>
              <w:t>3.65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tcPr>
          <w:p>
            <w:pPr>
              <w:ind w:left="320"/>
              <w:spacing w:after="0"/>
              <w:rPr>
                <w:sz w:val="20"/>
                <w:szCs w:val="20"/>
                <w:color w:val="auto"/>
              </w:rPr>
            </w:pPr>
            <w:r>
              <w:rPr>
                <w:rFonts w:ascii="Arial" w:cs="Arial" w:eastAsia="Arial" w:hAnsi="Arial"/>
                <w:sz w:val="17"/>
                <w:szCs w:val="17"/>
                <w:color w:val="auto"/>
              </w:rPr>
              <w:t>Forfeited</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(117,653)</w:t>
            </w:r>
          </w:p>
        </w:tc>
        <w:tc>
          <w:tcPr>
            <w:tcW w:w="18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3.65</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(156,870)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at December 31, 2020 (Successor)</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1,404,720</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90"/>
              </w:rPr>
              <w:t>3.65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1,840,423</w:t>
            </w:r>
          </w:p>
        </w:tc>
        <w:tc>
          <w:tcPr>
            <w:tcW w:w="2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During the year ended December 31, 2020 (Successor) and the period from July 16, 2019 to December 31, 2019 (Successor), 195,222 and 3,799,364 units, respectively, were granted under the plan.</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2015 Incentive Equity Plan</w:t>
      </w:r>
    </w:p>
    <w:p>
      <w:pPr>
        <w:spacing w:after="0" w:line="108"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On July 16, 2019, in conjunction with the purchase of the issued and outstanding Common Units of the Definitive Holdco by AIDH Buyer, LLC, the outstanding units of Series B, Series C, Series D, and Series E were sold to AIDH Buyer, LLC and the holders received a combination of cash and equity in AIDH TopCo, LLC, and the 2015 Equity Incentive Plan was terminated.</w:t>
      </w:r>
    </w:p>
    <w:p>
      <w:pPr>
        <w:spacing w:after="0" w:line="175" w:lineRule="exact"/>
        <w:rPr>
          <w:sz w:val="20"/>
          <w:szCs w:val="20"/>
          <w:color w:val="auto"/>
        </w:rPr>
      </w:pPr>
    </w:p>
    <w:p>
      <w:pPr>
        <w:ind w:left="460" w:right="100" w:firstLine="413"/>
        <w:spacing w:after="0" w:line="269" w:lineRule="auto"/>
        <w:rPr>
          <w:sz w:val="20"/>
          <w:szCs w:val="20"/>
          <w:color w:val="auto"/>
        </w:rPr>
      </w:pPr>
      <w:r>
        <w:rPr>
          <w:rFonts w:ascii="Arial" w:cs="Arial" w:eastAsia="Arial" w:hAnsi="Arial"/>
          <w:sz w:val="16"/>
          <w:szCs w:val="16"/>
          <w:color w:val="auto"/>
        </w:rPr>
        <w:t>The 2015 Equity Incentive Plan under which the Company has reserved 407,750 Class B Units (the “2015 Incentive Equity Pool”) was approved in February 2015 by the Predecessor and Board of Managers. In December 2016, in connection with the amended and restated Limited Liability Company Agreement entered into, the 2015 Incentive Equity Pool was transferred to DHCB. The 2015 Incentive Equity Pool was utilized for the issuance of units to employees, consultants, directors, managers, or others providing service to the Company pursuant Board of Managers approval. Units granted out of the 2015 Incentive Equity Pool are designated series based on the period of grant, and prior to July 16, 2019, the outstanding units consisted of Series B, Series C, Series D, and Series E. These interests were considered profits interests, which in general, entitled the holder of the unit to a pro rata share of the increase in value of the unit over the base value determined at the award date and may be subject to such vesting and other restrictions as the Board of Managers may deem appropriate. Any units forfeited or repurchased were available for future grants under the 2015 Incentive Equity Pool.</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0800"/>
          </w:cols>
          <w:pgMar w:left="320" w:top="466" w:right="77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20" w:firstLine="413"/>
        <w:spacing w:after="0" w:line="272" w:lineRule="auto"/>
        <w:rPr>
          <w:sz w:val="20"/>
          <w:szCs w:val="20"/>
          <w:color w:val="auto"/>
        </w:rPr>
      </w:pPr>
      <w:r>
        <w:rPr>
          <w:rFonts w:ascii="Arial" w:cs="Arial" w:eastAsia="Arial" w:hAnsi="Arial"/>
          <w:sz w:val="17"/>
          <w:szCs w:val="17"/>
          <w:color w:val="auto"/>
        </w:rPr>
        <w:t>The following table summarizes the 2015 Plan activity for the periods from January 1, 2019 through July 15, 2019 (Predecessor), and July 16, 2019 through December 31, 2019 (Successor).</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color w:val="auto"/>
                <w:w w:val="94"/>
              </w:rPr>
              <w:t>Weighted</w:t>
            </w:r>
          </w:p>
        </w:tc>
        <w:tc>
          <w:tcPr>
            <w:tcW w:w="0" w:type="dxa"/>
            <w:vAlign w:val="bottom"/>
          </w:tcPr>
          <w:p>
            <w:pPr>
              <w:spacing w:after="0"/>
              <w:rPr>
                <w:sz w:val="1"/>
                <w:szCs w:val="1"/>
                <w:color w:val="auto"/>
              </w:rPr>
            </w:pPr>
          </w:p>
        </w:tc>
      </w:tr>
      <w:tr>
        <w:trPr>
          <w:trHeight w:val="139"/>
        </w:trPr>
        <w:tc>
          <w:tcPr>
            <w:tcW w:w="5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3"/>
          </w:tcPr>
          <w:p>
            <w:pPr>
              <w:jc w:val="center"/>
              <w:ind w:right="40"/>
              <w:spacing w:after="0" w:line="139" w:lineRule="exact"/>
              <w:rPr>
                <w:sz w:val="20"/>
                <w:szCs w:val="20"/>
                <w:color w:val="auto"/>
              </w:rPr>
            </w:pPr>
            <w:r>
              <w:rPr>
                <w:rFonts w:ascii="Arial" w:cs="Arial" w:eastAsia="Arial" w:hAnsi="Arial"/>
                <w:sz w:val="13"/>
                <w:szCs w:val="13"/>
                <w:color w:val="auto"/>
                <w:w w:val="94"/>
              </w:rPr>
              <w:t>Average Grant</w:t>
            </w:r>
          </w:p>
        </w:tc>
        <w:tc>
          <w:tcPr>
            <w:tcW w:w="0" w:type="dxa"/>
            <w:vAlign w:val="bottom"/>
          </w:tcPr>
          <w:p>
            <w:pPr>
              <w:spacing w:after="0"/>
              <w:rPr>
                <w:sz w:val="1"/>
                <w:szCs w:val="1"/>
                <w:color w:val="auto"/>
              </w:rPr>
            </w:pPr>
          </w:p>
        </w:tc>
      </w:tr>
      <w:tr>
        <w:trPr>
          <w:trHeight w:val="139"/>
        </w:trPr>
        <w:tc>
          <w:tcPr>
            <w:tcW w:w="5640" w:type="dxa"/>
            <w:vAlign w:val="bottom"/>
            <w:gridSpan w:val="2"/>
            <w:vMerge w:val="restart"/>
          </w:tcPr>
          <w:p>
            <w:pPr>
              <w:spacing w:after="0"/>
              <w:rPr>
                <w:sz w:val="20"/>
                <w:szCs w:val="20"/>
                <w:color w:val="auto"/>
              </w:rPr>
            </w:pPr>
            <w:r>
              <w:rPr>
                <w:rFonts w:ascii="Arial" w:cs="Arial" w:eastAsia="Arial" w:hAnsi="Arial"/>
                <w:sz w:val="13"/>
                <w:szCs w:val="13"/>
                <w:color w:val="auto"/>
              </w:rPr>
              <w:t>2015 Plan</w:t>
            </w:r>
          </w:p>
        </w:tc>
        <w:tc>
          <w:tcPr>
            <w:tcW w:w="1360" w:type="dxa"/>
            <w:vAlign w:val="bottom"/>
            <w:gridSpan w:val="2"/>
          </w:tcPr>
          <w:p>
            <w:pPr>
              <w:jc w:val="right"/>
              <w:ind w:right="700"/>
              <w:spacing w:after="0" w:line="139" w:lineRule="exact"/>
              <w:rPr>
                <w:sz w:val="20"/>
                <w:szCs w:val="20"/>
                <w:color w:val="auto"/>
              </w:rPr>
            </w:pPr>
            <w:r>
              <w:rPr>
                <w:rFonts w:ascii="Arial" w:cs="Arial" w:eastAsia="Arial" w:hAnsi="Arial"/>
                <w:sz w:val="13"/>
                <w:szCs w:val="13"/>
                <w:color w:val="auto"/>
                <w:w w:val="93"/>
              </w:rPr>
              <w:t>Non-Vested</w:t>
            </w: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39" w:lineRule="exact"/>
              <w:rPr>
                <w:sz w:val="20"/>
                <w:szCs w:val="20"/>
                <w:color w:val="auto"/>
              </w:rPr>
            </w:pPr>
            <w:r>
              <w:rPr>
                <w:rFonts w:ascii="Arial" w:cs="Arial" w:eastAsia="Arial" w:hAnsi="Arial"/>
                <w:sz w:val="13"/>
                <w:szCs w:val="13"/>
                <w:color w:val="auto"/>
                <w:w w:val="97"/>
              </w:rPr>
              <w:t>Date Fair</w:t>
            </w:r>
          </w:p>
        </w:tc>
        <w:tc>
          <w:tcPr>
            <w:tcW w:w="0" w:type="dxa"/>
            <w:vAlign w:val="bottom"/>
          </w:tcPr>
          <w:p>
            <w:pPr>
              <w:spacing w:after="0"/>
              <w:rPr>
                <w:sz w:val="1"/>
                <w:szCs w:val="1"/>
                <w:color w:val="auto"/>
              </w:rPr>
            </w:pPr>
          </w:p>
        </w:tc>
      </w:tr>
      <w:tr>
        <w:trPr>
          <w:trHeight w:val="132"/>
        </w:trPr>
        <w:tc>
          <w:tcPr>
            <w:tcW w:w="5640" w:type="dxa"/>
            <w:vAlign w:val="bottom"/>
            <w:gridSpan w:val="2"/>
            <w:vMerge w:val="continue"/>
          </w:tcPr>
          <w:p>
            <w:pPr>
              <w:spacing w:after="0"/>
              <w:rPr>
                <w:sz w:val="11"/>
                <w:szCs w:val="11"/>
                <w:color w:val="auto"/>
              </w:rPr>
            </w:pPr>
          </w:p>
        </w:tc>
        <w:tc>
          <w:tcPr>
            <w:tcW w:w="1360" w:type="dxa"/>
            <w:vAlign w:val="bottom"/>
            <w:gridSpan w:val="2"/>
          </w:tcPr>
          <w:p>
            <w:pPr>
              <w:jc w:val="right"/>
              <w:ind w:right="880"/>
              <w:spacing w:after="0" w:line="113" w:lineRule="exact"/>
              <w:rPr>
                <w:sz w:val="20"/>
                <w:szCs w:val="20"/>
                <w:color w:val="auto"/>
              </w:rPr>
            </w:pPr>
            <w:r>
              <w:rPr>
                <w:rFonts w:ascii="Arial" w:cs="Arial" w:eastAsia="Arial" w:hAnsi="Arial"/>
                <w:sz w:val="13"/>
                <w:szCs w:val="13"/>
                <w:color w:val="auto"/>
              </w:rPr>
              <w:t>Units</w:t>
            </w:r>
          </w:p>
        </w:tc>
        <w:tc>
          <w:tcPr>
            <w:tcW w:w="120" w:type="dxa"/>
            <w:vAlign w:val="bottom"/>
          </w:tcPr>
          <w:p>
            <w:pPr>
              <w:spacing w:after="0"/>
              <w:rPr>
                <w:sz w:val="11"/>
                <w:szCs w:val="11"/>
                <w:color w:val="auto"/>
              </w:rPr>
            </w:pPr>
          </w:p>
        </w:tc>
        <w:tc>
          <w:tcPr>
            <w:tcW w:w="720" w:type="dxa"/>
            <w:vAlign w:val="bottom"/>
            <w:gridSpan w:val="2"/>
          </w:tcPr>
          <w:p>
            <w:pPr>
              <w:jc w:val="center"/>
              <w:ind w:right="160"/>
              <w:spacing w:after="0" w:line="113" w:lineRule="exact"/>
              <w:rPr>
                <w:sz w:val="20"/>
                <w:szCs w:val="20"/>
                <w:color w:val="auto"/>
              </w:rPr>
            </w:pPr>
            <w:r>
              <w:rPr>
                <w:rFonts w:ascii="Arial" w:cs="Arial" w:eastAsia="Arial" w:hAnsi="Arial"/>
                <w:sz w:val="13"/>
                <w:szCs w:val="13"/>
                <w:color w:val="auto"/>
                <w:w w:val="96"/>
              </w:rPr>
              <w:t>Value</w:t>
            </w: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4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Non-vested at December 31, 2018 (Predecessor)</w:t>
            </w:r>
          </w:p>
        </w:tc>
        <w:tc>
          <w:tcPr>
            <w:tcW w:w="6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131,545</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9.00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ind w:left="340"/>
              <w:spacing w:after="0"/>
              <w:rPr>
                <w:sz w:val="20"/>
                <w:szCs w:val="20"/>
                <w:color w:val="auto"/>
              </w:rPr>
            </w:pPr>
            <w:r>
              <w:rPr>
                <w:rFonts w:ascii="Arial" w:cs="Arial" w:eastAsia="Arial" w:hAnsi="Arial"/>
                <w:sz w:val="17"/>
                <w:szCs w:val="17"/>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7"/>
                <w:szCs w:val="17"/>
                <w:color w:val="auto"/>
              </w:rPr>
              <w:t>48,592</w:t>
            </w: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98.75</w:t>
            </w:r>
          </w:p>
        </w:tc>
        <w:tc>
          <w:tcPr>
            <w:tcW w:w="0" w:type="dxa"/>
            <w:vAlign w:val="bottom"/>
          </w:tcPr>
          <w:p>
            <w:pPr>
              <w:spacing w:after="0"/>
              <w:rPr>
                <w:sz w:val="1"/>
                <w:szCs w:val="1"/>
                <w:color w:val="auto"/>
              </w:rPr>
            </w:pPr>
          </w:p>
        </w:tc>
      </w:tr>
      <w:tr>
        <w:trPr>
          <w:trHeight w:val="203"/>
        </w:trPr>
        <w:tc>
          <w:tcPr>
            <w:tcW w:w="56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96"/>
              </w:rPr>
              <w:t>(180,137)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6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Forfeited</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w:t>
            </w: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July 16, 2019 (Successor)</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5620" w:type="dxa"/>
            <w:vAlign w:val="bottom"/>
          </w:tcPr>
          <w:p>
            <w:pPr>
              <w:ind w:left="320"/>
              <w:spacing w:after="0"/>
              <w:rPr>
                <w:sz w:val="20"/>
                <w:szCs w:val="20"/>
                <w:color w:val="auto"/>
              </w:rPr>
            </w:pPr>
            <w:r>
              <w:rPr>
                <w:rFonts w:ascii="Arial" w:cs="Arial" w:eastAsia="Arial" w:hAnsi="Arial"/>
                <w:sz w:val="17"/>
                <w:szCs w:val="17"/>
                <w:color w:val="auto"/>
              </w:rPr>
              <w:t>Granted</w:t>
            </w:r>
          </w:p>
        </w:tc>
        <w:tc>
          <w:tcPr>
            <w:tcW w:w="660" w:type="dxa"/>
            <w:vAlign w:val="bottom"/>
          </w:tcPr>
          <w:p>
            <w:pPr>
              <w:ind w:left="4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ind w:left="22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8"/>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July December 31, 2019 (Successor)</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240" w:firstLine="413"/>
        <w:spacing w:after="0" w:line="301" w:lineRule="auto"/>
        <w:rPr>
          <w:sz w:val="20"/>
          <w:szCs w:val="20"/>
          <w:color w:val="auto"/>
        </w:rPr>
      </w:pPr>
      <w:r>
        <w:rPr>
          <w:rFonts w:ascii="Arial" w:cs="Arial" w:eastAsia="Arial" w:hAnsi="Arial"/>
          <w:sz w:val="15"/>
          <w:szCs w:val="15"/>
          <w:color w:val="auto"/>
        </w:rPr>
        <w:t>As of December 31, 2018 (Predecessor), the Company had authorized and issued, subject to vesting, 1 share of Class B Series A units, 73,418 shares of Class B Series B units, 57,105 shares of Class B Series C units, and 89,737 shares of Class B Series D units. During the year ended December 31, 2019, the Company authorized and issued 48,592 shares of Class B Series E units. On July 16, 2019, all shares of Series A, Series B, Series C, Series D, and Series E units vested upon the qualifying event and were cancelled. The Plan was also terminated on July 16, 2019.</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Company recorded total unit-based compensation of $1.7 million for the year ended December 31, 2020 (Successor) and $0.7 million and</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$5.8 million for the periods from July 16, 2019 through December 31, 2019 (Successor) and from January 1, 2019 through July 15, 2019 (Predecessor),</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respectively, as follows in the table below (in thousands):</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Successor Company</w:t>
            </w: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vMerge w:val="continue"/>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14" w:lineRule="exact"/>
              <w:rPr>
                <w:sz w:val="20"/>
                <w:szCs w:val="20"/>
                <w:color w:val="auto"/>
              </w:rPr>
            </w:pPr>
            <w:r>
              <w:rPr>
                <w:rFonts w:ascii="Arial" w:cs="Arial" w:eastAsia="Arial" w:hAnsi="Arial"/>
                <w:sz w:val="13"/>
                <w:szCs w:val="13"/>
                <w:color w:val="auto"/>
                <w:w w:val="89"/>
              </w:rPr>
              <w:t>Year ended</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00"/>
              <w:spacing w:after="0" w:line="114" w:lineRule="exact"/>
              <w:rPr>
                <w:sz w:val="20"/>
                <w:szCs w:val="20"/>
                <w:color w:val="auto"/>
              </w:rPr>
            </w:pPr>
            <w:r>
              <w:rPr>
                <w:rFonts w:ascii="Arial" w:cs="Arial" w:eastAsia="Arial" w:hAnsi="Arial"/>
                <w:sz w:val="13"/>
                <w:szCs w:val="13"/>
                <w:color w:val="auto"/>
              </w:rPr>
              <w:t>Period From</w:t>
            </w:r>
          </w:p>
        </w:tc>
        <w:tc>
          <w:tcPr>
            <w:tcW w:w="30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1"/>
              <w:spacing w:after="0" w:line="114" w:lineRule="exact"/>
              <w:rPr>
                <w:sz w:val="20"/>
                <w:szCs w:val="20"/>
                <w:color w:val="auto"/>
              </w:rPr>
            </w:pPr>
            <w:r>
              <w:rPr>
                <w:rFonts w:ascii="Arial" w:cs="Arial" w:eastAsia="Arial" w:hAnsi="Arial"/>
                <w:sz w:val="13"/>
                <w:szCs w:val="13"/>
                <w:color w:val="auto"/>
                <w:w w:val="95"/>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860" w:type="dxa"/>
            <w:vAlign w:val="bottom"/>
            <w:gridSpan w:val="3"/>
          </w:tcPr>
          <w:p>
            <w:pPr>
              <w:ind w:left="2080"/>
              <w:spacing w:after="0" w:line="139" w:lineRule="exact"/>
              <w:rPr>
                <w:sz w:val="20"/>
                <w:szCs w:val="20"/>
                <w:color w:val="auto"/>
              </w:rPr>
            </w:pPr>
            <w:r>
              <w:rPr>
                <w:rFonts w:ascii="Arial" w:cs="Arial" w:eastAsia="Arial" w:hAnsi="Arial"/>
                <w:sz w:val="13"/>
                <w:szCs w:val="13"/>
                <w:color w:val="auto"/>
                <w:w w:val="93"/>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line="139" w:lineRule="exact"/>
              <w:rPr>
                <w:sz w:val="20"/>
                <w:szCs w:val="20"/>
                <w:color w:val="auto"/>
              </w:rPr>
            </w:pPr>
            <w:r>
              <w:rPr>
                <w:rFonts w:ascii="Arial" w:cs="Arial" w:eastAsia="Arial" w:hAnsi="Arial"/>
                <w:sz w:val="13"/>
                <w:szCs w:val="13"/>
                <w:color w:val="auto"/>
              </w:rPr>
              <w:t>July 16, 2019 to</w:t>
            </w:r>
          </w:p>
        </w:tc>
        <w:tc>
          <w:tcPr>
            <w:tcW w:w="3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right"/>
              <w:ind w:right="60"/>
              <w:spacing w:after="0" w:line="139" w:lineRule="exact"/>
              <w:rPr>
                <w:sz w:val="20"/>
                <w:szCs w:val="20"/>
                <w:color w:val="auto"/>
              </w:rPr>
            </w:pPr>
            <w:r>
              <w:rPr>
                <w:rFonts w:ascii="Arial" w:cs="Arial" w:eastAsia="Arial" w:hAnsi="Arial"/>
                <w:sz w:val="13"/>
                <w:szCs w:val="13"/>
                <w:color w:val="auto"/>
                <w:w w:val="90"/>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9"/>
              <w:spacing w:after="0"/>
              <w:rPr>
                <w:sz w:val="20"/>
                <w:szCs w:val="20"/>
                <w:color w:val="auto"/>
              </w:rPr>
            </w:pPr>
            <w:r>
              <w:rPr>
                <w:rFonts w:ascii="Arial" w:cs="Arial" w:eastAsia="Arial" w:hAnsi="Arial"/>
                <w:sz w:val="13"/>
                <w:szCs w:val="13"/>
                <w:color w:val="auto"/>
              </w:rPr>
              <w:t>2020</w:t>
            </w: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w w:val="92"/>
              </w:rPr>
              <w:t>December 31, 2019</w:t>
            </w:r>
          </w:p>
        </w:tc>
        <w:tc>
          <w:tcPr>
            <w:tcW w:w="300" w:type="dxa"/>
            <w:vAlign w:val="bottom"/>
            <w:tcBorders>
              <w:right w:val="single" w:sz="8" w:color="auto"/>
            </w:tcBorders>
          </w:tcPr>
          <w:p>
            <w:pPr>
              <w:spacing w:after="0"/>
              <w:rPr>
                <w:sz w:val="13"/>
                <w:szCs w:val="13"/>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3"/>
                <w:szCs w:val="13"/>
                <w:color w:val="auto"/>
              </w:rPr>
              <w:t>to 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Time-based:</w:t>
            </w:r>
          </w:p>
        </w:tc>
        <w:tc>
          <w:tcPr>
            <w:tcW w:w="2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right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ind w:left="320"/>
              <w:spacing w:after="0"/>
              <w:rPr>
                <w:sz w:val="20"/>
                <w:szCs w:val="20"/>
                <w:color w:val="auto"/>
              </w:rPr>
            </w:pPr>
            <w:r>
              <w:rPr>
                <w:rFonts w:ascii="Arial" w:cs="Arial" w:eastAsia="Arial" w:hAnsi="Arial"/>
                <w:sz w:val="17"/>
                <w:szCs w:val="17"/>
                <w:color w:val="auto"/>
              </w:rPr>
              <w:t>2015 plan</w:t>
            </w:r>
          </w:p>
        </w:tc>
        <w:tc>
          <w:tcPr>
            <w:tcW w:w="2260" w:type="dxa"/>
            <w:vAlign w:val="bottom"/>
            <w:gridSpan w:val="2"/>
          </w:tcPr>
          <w:p>
            <w:pPr>
              <w:ind w:left="2080"/>
              <w:spacing w:after="0"/>
              <w:rPr>
                <w:sz w:val="20"/>
                <w:szCs w:val="20"/>
                <w:color w:val="auto"/>
              </w:rPr>
            </w:pPr>
            <w:r>
              <w:rPr>
                <w:rFonts w:ascii="Arial" w:cs="Arial" w:eastAsia="Arial" w:hAnsi="Arial"/>
                <w:sz w:val="17"/>
                <w:szCs w:val="17"/>
                <w:color w:val="auto"/>
              </w:rPr>
              <w:t>$</w:t>
            </w:r>
          </w:p>
        </w:tc>
        <w:tc>
          <w:tcPr>
            <w:tcW w:w="600" w:type="dxa"/>
            <w:vAlign w:val="bottom"/>
          </w:tcPr>
          <w:p>
            <w:pPr>
              <w:jc w:val="center"/>
              <w:ind w:left="159"/>
              <w:spacing w:after="0"/>
              <w:rPr>
                <w:sz w:val="20"/>
                <w:szCs w:val="20"/>
                <w:color w:val="auto"/>
              </w:rPr>
            </w:pPr>
            <w:r>
              <w:rPr>
                <w:rFonts w:ascii="Arial" w:cs="Arial" w:eastAsia="Arial" w:hAnsi="Arial"/>
                <w:sz w:val="17"/>
                <w:szCs w:val="17"/>
                <w:color w:val="auto"/>
                <w:w w:val="93"/>
              </w:rPr>
              <w:t>—</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auto"/>
            </w:tcBorders>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5,807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2019 plan</w:t>
            </w:r>
          </w:p>
        </w:tc>
        <w:tc>
          <w:tcPr>
            <w:tcW w:w="2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99"/>
              <w:spacing w:after="0"/>
              <w:rPr>
                <w:sz w:val="20"/>
                <w:szCs w:val="20"/>
                <w:color w:val="auto"/>
              </w:rPr>
            </w:pPr>
            <w:r>
              <w:rPr>
                <w:rFonts w:ascii="Arial" w:cs="Arial" w:eastAsia="Arial" w:hAnsi="Arial"/>
                <w:sz w:val="17"/>
                <w:szCs w:val="17"/>
                <w:color w:val="auto"/>
                <w:w w:val="89"/>
              </w:rPr>
              <w:t>1,747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744</w:t>
            </w:r>
          </w:p>
        </w:tc>
        <w:tc>
          <w:tcPr>
            <w:tcW w:w="3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7"/>
                <w:szCs w:val="17"/>
                <w:color w:val="auto"/>
              </w:rPr>
              <w:t>Total time-based</w:t>
            </w:r>
          </w:p>
        </w:tc>
        <w:tc>
          <w:tcPr>
            <w:tcW w:w="2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left="99"/>
              <w:spacing w:after="0"/>
              <w:rPr>
                <w:sz w:val="20"/>
                <w:szCs w:val="20"/>
                <w:color w:val="auto"/>
              </w:rPr>
            </w:pPr>
            <w:r>
              <w:rPr>
                <w:rFonts w:ascii="Arial" w:cs="Arial" w:eastAsia="Arial" w:hAnsi="Arial"/>
                <w:sz w:val="17"/>
                <w:szCs w:val="17"/>
                <w:color w:val="auto"/>
                <w:w w:val="89"/>
              </w:rPr>
              <w:t>1,747</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w w:val="84"/>
              </w:rPr>
              <w:t>744</w:t>
            </w:r>
          </w:p>
        </w:tc>
        <w:tc>
          <w:tcPr>
            <w:tcW w:w="3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Performance based:</w:t>
            </w:r>
          </w:p>
        </w:tc>
        <w:tc>
          <w:tcPr>
            <w:tcW w:w="2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ind w:left="320"/>
              <w:spacing w:after="0"/>
              <w:rPr>
                <w:sz w:val="20"/>
                <w:szCs w:val="20"/>
                <w:color w:val="auto"/>
              </w:rPr>
            </w:pPr>
            <w:r>
              <w:rPr>
                <w:rFonts w:ascii="Arial" w:cs="Arial" w:eastAsia="Arial" w:hAnsi="Arial"/>
                <w:sz w:val="17"/>
                <w:szCs w:val="17"/>
                <w:color w:val="auto"/>
              </w:rPr>
              <w:t>2015 plan</w:t>
            </w: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left="159"/>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2019 plan</w:t>
            </w:r>
          </w:p>
        </w:tc>
        <w:tc>
          <w:tcPr>
            <w:tcW w:w="2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7"/>
                <w:szCs w:val="17"/>
                <w:color w:val="auto"/>
              </w:rPr>
              <w:t>Total performance-based</w:t>
            </w:r>
          </w:p>
        </w:tc>
        <w:tc>
          <w:tcPr>
            <w:tcW w:w="2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159"/>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2260" w:type="dxa"/>
            <w:vAlign w:val="bottom"/>
            <w:gridSpan w:val="2"/>
            <w:shd w:val="clear" w:color="auto" w:fill="CCEEFF"/>
          </w:tcPr>
          <w:p>
            <w:pPr>
              <w:ind w:left="20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center"/>
              <w:ind w:left="99"/>
              <w:spacing w:after="0"/>
              <w:rPr>
                <w:sz w:val="20"/>
                <w:szCs w:val="20"/>
                <w:color w:val="auto"/>
              </w:rPr>
            </w:pPr>
            <w:r>
              <w:rPr>
                <w:rFonts w:ascii="Arial" w:cs="Arial" w:eastAsia="Arial" w:hAnsi="Arial"/>
                <w:sz w:val="17"/>
                <w:szCs w:val="17"/>
                <w:color w:val="auto"/>
                <w:w w:val="89"/>
              </w:rPr>
              <w:t>1,747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744</w:t>
            </w:r>
          </w:p>
        </w:tc>
        <w:tc>
          <w:tcPr>
            <w:tcW w:w="300" w:type="dxa"/>
            <w:vAlign w:val="bottom"/>
            <w:tcBorders>
              <w:right w:val="single" w:sz="8" w:color="auto"/>
            </w:tcBorders>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60" w:type="dxa"/>
            <w:vAlign w:val="bottom"/>
            <w:gridSpan w:val="2"/>
          </w:tcPr>
          <w:p>
            <w:pPr>
              <w:ind w:left="1080"/>
              <w:spacing w:after="0"/>
              <w:rPr>
                <w:sz w:val="20"/>
                <w:szCs w:val="20"/>
                <w:color w:val="auto"/>
              </w:rPr>
            </w:pPr>
            <w:r>
              <w:rPr>
                <w:rFonts w:ascii="Arial" w:cs="Arial" w:eastAsia="Arial" w:hAnsi="Arial"/>
                <w:sz w:val="17"/>
                <w:szCs w:val="17"/>
                <w:color w:val="auto"/>
              </w:rPr>
              <w:t>F-42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466" w:right="87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Equity-based compensation expense is allocated to all departments in the accompanying consolidated statements of income (loss) based on the recipients of the compensation. A summary of the expense by line item in the consolidated statements of income (loss) for the year ended December 31, 2020 (Successor) and the periods from July 16, 2019 to December 31, 2019 (Successor), and from January 1, 2019 to July 15, 2019 (Predecessor) is provided in the following table (in thousands).</w:t>
      </w:r>
    </w:p>
    <w:p>
      <w:pPr>
        <w:spacing w:after="0" w:line="186"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gridSpan w:val="4"/>
            <w:vMerge w:val="restart"/>
          </w:tcPr>
          <w:p>
            <w:pPr>
              <w:jc w:val="right"/>
              <w:ind w:right="340"/>
              <w:spacing w:after="0"/>
              <w:rPr>
                <w:sz w:val="20"/>
                <w:szCs w:val="20"/>
                <w:color w:val="auto"/>
              </w:rPr>
            </w:pPr>
            <w:r>
              <w:rPr>
                <w:rFonts w:ascii="Arial" w:cs="Arial" w:eastAsia="Arial" w:hAnsi="Arial"/>
                <w:sz w:val="13"/>
                <w:szCs w:val="13"/>
                <w:b w:val="1"/>
                <w:bCs w:val="1"/>
                <w:color w:val="auto"/>
              </w:rPr>
              <w:t>Successor Company</w:t>
            </w: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vMerge w:val="continue"/>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14" w:lineRule="exact"/>
              <w:rPr>
                <w:sz w:val="20"/>
                <w:szCs w:val="20"/>
                <w:color w:val="auto"/>
              </w:rPr>
            </w:pPr>
            <w:r>
              <w:rPr>
                <w:rFonts w:ascii="Arial" w:cs="Arial" w:eastAsia="Arial" w:hAnsi="Arial"/>
                <w:sz w:val="13"/>
                <w:szCs w:val="13"/>
                <w:color w:val="auto"/>
                <w:w w:val="89"/>
              </w:rPr>
              <w:t>Year ended</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20"/>
              <w:spacing w:after="0" w:line="114" w:lineRule="exact"/>
              <w:rPr>
                <w:sz w:val="20"/>
                <w:szCs w:val="20"/>
                <w:color w:val="auto"/>
              </w:rPr>
            </w:pPr>
            <w:r>
              <w:rPr>
                <w:rFonts w:ascii="Arial" w:cs="Arial" w:eastAsia="Arial" w:hAnsi="Arial"/>
                <w:sz w:val="13"/>
                <w:szCs w:val="13"/>
                <w:color w:val="auto"/>
                <w:w w:val="95"/>
              </w:rPr>
              <w:t>Period From</w:t>
            </w:r>
          </w:p>
        </w:tc>
        <w:tc>
          <w:tcPr>
            <w:tcW w:w="30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
              <w:spacing w:after="0" w:line="114" w:lineRule="exact"/>
              <w:rPr>
                <w:sz w:val="20"/>
                <w:szCs w:val="20"/>
                <w:color w:val="auto"/>
              </w:rPr>
            </w:pPr>
            <w:r>
              <w:rPr>
                <w:rFonts w:ascii="Arial" w:cs="Arial" w:eastAsia="Arial" w:hAnsi="Arial"/>
                <w:sz w:val="13"/>
                <w:szCs w:val="13"/>
                <w:color w:val="auto"/>
                <w:w w:val="95"/>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400" w:type="dxa"/>
            <w:vAlign w:val="bottom"/>
            <w:gridSpan w:val="3"/>
          </w:tcPr>
          <w:p>
            <w:pPr>
              <w:jc w:val="center"/>
              <w:ind w:left="1524"/>
              <w:spacing w:after="0" w:line="139" w:lineRule="exact"/>
              <w:rPr>
                <w:sz w:val="20"/>
                <w:szCs w:val="20"/>
                <w:color w:val="auto"/>
              </w:rPr>
            </w:pPr>
            <w:r>
              <w:rPr>
                <w:rFonts w:ascii="Arial" w:cs="Arial" w:eastAsia="Arial" w:hAnsi="Arial"/>
                <w:sz w:val="13"/>
                <w:szCs w:val="13"/>
                <w:color w:val="auto"/>
                <w:w w:val="93"/>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0"/>
              <w:spacing w:after="0" w:line="139" w:lineRule="exact"/>
              <w:rPr>
                <w:sz w:val="20"/>
                <w:szCs w:val="20"/>
                <w:color w:val="auto"/>
              </w:rPr>
            </w:pPr>
            <w:r>
              <w:rPr>
                <w:rFonts w:ascii="Arial" w:cs="Arial" w:eastAsia="Arial" w:hAnsi="Arial"/>
                <w:sz w:val="13"/>
                <w:szCs w:val="13"/>
                <w:color w:val="auto"/>
                <w:w w:val="95"/>
              </w:rPr>
              <w:t>July 16, 2019 to</w:t>
            </w:r>
          </w:p>
        </w:tc>
        <w:tc>
          <w:tcPr>
            <w:tcW w:w="3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60"/>
              <w:spacing w:after="0" w:line="139" w:lineRule="exact"/>
              <w:rPr>
                <w:sz w:val="20"/>
                <w:szCs w:val="20"/>
                <w:color w:val="auto"/>
              </w:rPr>
            </w:pPr>
            <w:r>
              <w:rPr>
                <w:rFonts w:ascii="Arial" w:cs="Arial" w:eastAsia="Arial" w:hAnsi="Arial"/>
                <w:sz w:val="13"/>
                <w:szCs w:val="13"/>
                <w:color w:val="auto"/>
                <w:w w:val="92"/>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00"/>
              <w:spacing w:after="0"/>
              <w:rPr>
                <w:sz w:val="20"/>
                <w:szCs w:val="20"/>
                <w:color w:val="auto"/>
              </w:rPr>
            </w:pPr>
            <w:r>
              <w:rPr>
                <w:rFonts w:ascii="Arial" w:cs="Arial" w:eastAsia="Arial" w:hAnsi="Arial"/>
                <w:sz w:val="13"/>
                <w:szCs w:val="13"/>
                <w:color w:val="auto"/>
                <w:w w:val="89"/>
              </w:rPr>
              <w:t>2020</w:t>
            </w:r>
          </w:p>
        </w:tc>
        <w:tc>
          <w:tcPr>
            <w:tcW w:w="1200" w:type="dxa"/>
            <w:vAlign w:val="bottom"/>
            <w:gridSpan w:val="3"/>
          </w:tcPr>
          <w:p>
            <w:pPr>
              <w:jc w:val="center"/>
              <w:ind w:left="24"/>
              <w:spacing w:after="0"/>
              <w:rPr>
                <w:sz w:val="20"/>
                <w:szCs w:val="20"/>
                <w:color w:val="auto"/>
              </w:rPr>
            </w:pPr>
            <w:r>
              <w:rPr>
                <w:rFonts w:ascii="Arial" w:cs="Arial" w:eastAsia="Arial" w:hAnsi="Arial"/>
                <w:sz w:val="13"/>
                <w:szCs w:val="13"/>
                <w:color w:val="auto"/>
                <w:w w:val="92"/>
              </w:rPr>
              <w:t>December 31, 2019</w:t>
            </w:r>
          </w:p>
        </w:tc>
        <w:tc>
          <w:tcPr>
            <w:tcW w:w="300" w:type="dxa"/>
            <w:vAlign w:val="bottom"/>
            <w:tcBorders>
              <w:right w:val="single" w:sz="8" w:color="auto"/>
            </w:tcBorders>
          </w:tcPr>
          <w:p>
            <w:pPr>
              <w:spacing w:after="0"/>
              <w:rPr>
                <w:sz w:val="13"/>
                <w:szCs w:val="13"/>
                <w:color w:val="auto"/>
              </w:rPr>
            </w:pPr>
          </w:p>
        </w:tc>
        <w:tc>
          <w:tcPr>
            <w:tcW w:w="1220" w:type="dxa"/>
            <w:vAlign w:val="bottom"/>
            <w:gridSpan w:val="4"/>
          </w:tcPr>
          <w:p>
            <w:pPr>
              <w:jc w:val="center"/>
              <w:ind w:left="164"/>
              <w:spacing w:after="0"/>
              <w:rPr>
                <w:sz w:val="20"/>
                <w:szCs w:val="20"/>
                <w:color w:val="auto"/>
              </w:rPr>
            </w:pPr>
            <w:r>
              <w:rPr>
                <w:rFonts w:ascii="Arial" w:cs="Arial" w:eastAsia="Arial" w:hAnsi="Arial"/>
                <w:sz w:val="13"/>
                <w:szCs w:val="13"/>
                <w:color w:val="auto"/>
                <w:w w:val="93"/>
              </w:rPr>
              <w:t>to 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Cost of revenue</w:t>
            </w:r>
          </w:p>
        </w:tc>
        <w:tc>
          <w:tcPr>
            <w:tcW w:w="16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300" w:type="dxa"/>
            <w:vAlign w:val="bottom"/>
            <w:tcBorders>
              <w:top w:val="single" w:sz="8" w:color="CCEEFF"/>
              <w:right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Sales and Marketing</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213</w:t>
            </w:r>
          </w:p>
        </w:tc>
        <w:tc>
          <w:tcPr>
            <w:tcW w:w="3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3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w:t>
            </w:r>
          </w:p>
        </w:tc>
        <w:tc>
          <w:tcPr>
            <w:tcW w:w="3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180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300" w:type="dxa"/>
            <w:vAlign w:val="bottom"/>
            <w:tcBorders>
              <w:right w:val="single" w:sz="8" w:color="auto"/>
            </w:tcBorders>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right="320" w:firstLine="413"/>
        <w:spacing w:after="0" w:line="260" w:lineRule="auto"/>
        <w:rPr>
          <w:sz w:val="20"/>
          <w:szCs w:val="20"/>
          <w:color w:val="auto"/>
        </w:rPr>
      </w:pPr>
      <w:r>
        <w:rPr>
          <w:rFonts w:ascii="Arial" w:cs="Arial" w:eastAsia="Arial" w:hAnsi="Arial"/>
          <w:sz w:val="17"/>
          <w:szCs w:val="17"/>
          <w:color w:val="auto"/>
        </w:rPr>
        <w:t>The Company does not consider the vesting of the performance-based units to be probable and has not recorded any associated compensation expense. Accordingly, the Company had $4.3 million of unrecognized unit-based compensation expense for the performance-based units as of December 31, 2020.</w:t>
      </w:r>
    </w:p>
    <w:p>
      <w:pPr>
        <w:spacing w:after="0" w:line="175" w:lineRule="exact"/>
        <w:rPr>
          <w:sz w:val="20"/>
          <w:szCs w:val="20"/>
          <w:color w:val="auto"/>
        </w:rPr>
      </w:pPr>
    </w:p>
    <w:p>
      <w:pPr>
        <w:ind w:left="460" w:right="680" w:firstLine="413"/>
        <w:spacing w:after="0" w:line="272" w:lineRule="auto"/>
        <w:rPr>
          <w:sz w:val="20"/>
          <w:szCs w:val="20"/>
          <w:color w:val="auto"/>
        </w:rPr>
      </w:pPr>
      <w:r>
        <w:rPr>
          <w:rFonts w:ascii="Arial" w:cs="Arial" w:eastAsia="Arial" w:hAnsi="Arial"/>
          <w:sz w:val="17"/>
          <w:szCs w:val="17"/>
          <w:color w:val="auto"/>
        </w:rPr>
        <w:t>As of December 31, 2020, the Company had $4.4 million of unrecognized unit-based compensation for time-based units, expected to be recognized over a weighted average remaining requisite period of 2.6 years.</w:t>
      </w:r>
    </w:p>
    <w:p>
      <w:pPr>
        <w:spacing w:after="0" w:line="304" w:lineRule="exact"/>
        <w:rPr>
          <w:sz w:val="20"/>
          <w:szCs w:val="20"/>
          <w:color w:val="auto"/>
        </w:rPr>
      </w:pPr>
    </w:p>
    <w:p>
      <w:pPr>
        <w:ind w:left="860" w:hanging="403"/>
        <w:spacing w:after="0"/>
        <w:tabs>
          <w:tab w:leader="none" w:pos="86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Retirement Plan</w:t>
      </w:r>
    </w:p>
    <w:p>
      <w:pPr>
        <w:spacing w:after="0" w:line="108" w:lineRule="exact"/>
        <w:rPr>
          <w:sz w:val="20"/>
          <w:szCs w:val="20"/>
          <w:color w:val="auto"/>
        </w:rPr>
      </w:pPr>
    </w:p>
    <w:p>
      <w:pPr>
        <w:ind w:left="460" w:right="240" w:firstLine="413"/>
        <w:spacing w:after="0" w:line="256"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made matching contributions in accordance with the plan documents. The Company incurred $1.6 million in employer matching contributions during the year ended December 31, 2020 and $0.5 million and $0.6 million during the periods from July 16, 2019 to December 31, 2019 (Successor), and from January 1, 2019 to July 15, 2019 (Predecessor), respectively.</w:t>
      </w:r>
    </w:p>
    <w:p>
      <w:pPr>
        <w:spacing w:after="0" w:line="318" w:lineRule="exact"/>
        <w:rPr>
          <w:sz w:val="20"/>
          <w:szCs w:val="20"/>
          <w:color w:val="auto"/>
        </w:rPr>
      </w:pPr>
    </w:p>
    <w:p>
      <w:pPr>
        <w:ind w:left="860" w:hanging="403"/>
        <w:spacing w:after="0"/>
        <w:tabs>
          <w:tab w:leader="none" w:pos="86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The components of the income tax provision are as follows (in thousands):</w:t>
      </w:r>
    </w:p>
    <w:p>
      <w:pPr>
        <w:spacing w:after="0" w:line="217"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Successor Company</w:t>
            </w: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5"/>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80" w:type="dxa"/>
            <w:vAlign w:val="bottom"/>
            <w:tcBorders>
              <w:top w:val="single" w:sz="8" w:color="auto"/>
            </w:tcBorders>
            <w:gridSpan w:val="3"/>
          </w:tcPr>
          <w:p>
            <w:pPr>
              <w:jc w:val="right"/>
              <w:ind w:right="200"/>
              <w:spacing w:after="0" w:line="114" w:lineRule="exact"/>
              <w:rPr>
                <w:sz w:val="20"/>
                <w:szCs w:val="20"/>
                <w:color w:val="auto"/>
              </w:rPr>
            </w:pPr>
            <w:r>
              <w:rPr>
                <w:rFonts w:ascii="Arial" w:cs="Arial" w:eastAsia="Arial" w:hAnsi="Arial"/>
                <w:sz w:val="13"/>
                <w:szCs w:val="13"/>
                <w:color w:val="auto"/>
                <w:w w:val="98"/>
              </w:rPr>
              <w:t>Year ended</w:t>
            </w: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3"/>
                <w:szCs w:val="13"/>
                <w:color w:val="auto"/>
              </w:rPr>
              <w:t>Period from</w:t>
            </w:r>
          </w:p>
        </w:tc>
        <w:tc>
          <w:tcPr>
            <w:tcW w:w="32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41"/>
              <w:spacing w:after="0" w:line="114" w:lineRule="exact"/>
              <w:rPr>
                <w:sz w:val="20"/>
                <w:szCs w:val="20"/>
                <w:color w:val="auto"/>
              </w:rPr>
            </w:pPr>
            <w:r>
              <w:rPr>
                <w:rFonts w:ascii="Arial" w:cs="Arial" w:eastAsia="Arial" w:hAnsi="Arial"/>
                <w:sz w:val="13"/>
                <w:szCs w:val="13"/>
                <w:color w:val="auto"/>
                <w:w w:val="98"/>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60" w:type="dxa"/>
            <w:vAlign w:val="bottom"/>
            <w:gridSpan w:val="4"/>
          </w:tcPr>
          <w:p>
            <w:pPr>
              <w:ind w:left="1980"/>
              <w:spacing w:after="0" w:line="139" w:lineRule="exact"/>
              <w:rPr>
                <w:sz w:val="20"/>
                <w:szCs w:val="20"/>
                <w:color w:val="auto"/>
              </w:rPr>
            </w:pPr>
            <w:r>
              <w:rPr>
                <w:rFonts w:ascii="Arial" w:cs="Arial" w:eastAsia="Arial" w:hAnsi="Arial"/>
                <w:sz w:val="13"/>
                <w:szCs w:val="13"/>
                <w:color w:val="auto"/>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
              <w:spacing w:after="0" w:line="139" w:lineRule="exact"/>
              <w:rPr>
                <w:sz w:val="20"/>
                <w:szCs w:val="20"/>
                <w:color w:val="auto"/>
              </w:rPr>
            </w:pPr>
            <w:r>
              <w:rPr>
                <w:rFonts w:ascii="Arial" w:cs="Arial" w:eastAsia="Arial" w:hAnsi="Arial"/>
                <w:sz w:val="13"/>
                <w:szCs w:val="13"/>
                <w:color w:val="auto"/>
              </w:rPr>
              <w:t>July 16, 2019 to</w:t>
            </w:r>
          </w:p>
        </w:tc>
        <w:tc>
          <w:tcPr>
            <w:tcW w:w="320" w:type="dxa"/>
            <w:vAlign w:val="bottom"/>
            <w:tcBorders>
              <w:right w:val="single" w:sz="8" w:color="auto"/>
            </w:tcBorders>
          </w:tcPr>
          <w:p>
            <w:pPr>
              <w:spacing w:after="0"/>
              <w:rPr>
                <w:sz w:val="12"/>
                <w:szCs w:val="12"/>
                <w:color w:val="auto"/>
              </w:rPr>
            </w:pPr>
          </w:p>
        </w:tc>
        <w:tc>
          <w:tcPr>
            <w:tcW w:w="1340" w:type="dxa"/>
            <w:vAlign w:val="bottom"/>
            <w:gridSpan w:val="4"/>
          </w:tcPr>
          <w:p>
            <w:pPr>
              <w:ind w:left="300"/>
              <w:spacing w:after="0" w:line="139" w:lineRule="exact"/>
              <w:rPr>
                <w:sz w:val="20"/>
                <w:szCs w:val="20"/>
                <w:color w:val="auto"/>
              </w:rPr>
            </w:pPr>
            <w:r>
              <w:rPr>
                <w:rFonts w:ascii="Arial" w:cs="Arial" w:eastAsia="Arial" w:hAnsi="Arial"/>
                <w:sz w:val="13"/>
                <w:szCs w:val="13"/>
                <w:color w:val="auto"/>
                <w:w w:val="94"/>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9"/>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Arial" w:cs="Arial" w:eastAsia="Arial" w:hAnsi="Arial"/>
                <w:sz w:val="13"/>
                <w:szCs w:val="13"/>
                <w:color w:val="auto"/>
                <w:w w:val="91"/>
              </w:rPr>
              <w:t>December 31, 2019</w:t>
            </w:r>
          </w:p>
        </w:tc>
        <w:tc>
          <w:tcPr>
            <w:tcW w:w="3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w w:val="95"/>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Current tax provision:</w:t>
            </w:r>
          </w:p>
        </w:tc>
        <w:tc>
          <w:tcPr>
            <w:tcW w:w="19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right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Federal</w:t>
            </w:r>
          </w:p>
        </w:tc>
        <w:tc>
          <w:tcPr>
            <w:tcW w:w="2140" w:type="dxa"/>
            <w:vAlign w:val="bottom"/>
            <w:gridSpan w:val="2"/>
          </w:tcPr>
          <w:p>
            <w:pPr>
              <w:ind w:left="19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Foreign</w:t>
            </w:r>
          </w:p>
        </w:tc>
        <w:tc>
          <w:tcPr>
            <w:tcW w:w="1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provision</w:t>
            </w:r>
          </w:p>
        </w:tc>
        <w:tc>
          <w:tcPr>
            <w:tcW w:w="2140" w:type="dxa"/>
            <w:vAlign w:val="bottom"/>
            <w:gridSpan w:val="2"/>
            <w:shd w:val="clear" w:color="auto" w:fill="CCEEFF"/>
          </w:tcPr>
          <w:p>
            <w:pPr>
              <w:ind w:left="19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Deferred tax provision:</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2140" w:type="dxa"/>
            <w:vAlign w:val="bottom"/>
            <w:gridSpan w:val="2"/>
            <w:shd w:val="clear" w:color="auto" w:fill="CCEEFF"/>
          </w:tcPr>
          <w:p>
            <w:pPr>
              <w:ind w:left="19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State</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Arial" w:cs="Arial" w:eastAsia="Arial" w:hAnsi="Arial"/>
                <w:sz w:val="17"/>
                <w:szCs w:val="17"/>
                <w:color w:val="auto"/>
              </w:rPr>
              <w:t>Total deferred tax provision</w:t>
            </w:r>
          </w:p>
        </w:tc>
        <w:tc>
          <w:tcPr>
            <w:tcW w:w="1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provision</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40" w:type="dxa"/>
            <w:vAlign w:val="bottom"/>
            <w:gridSpan w:val="2"/>
          </w:tcPr>
          <w:p>
            <w:pPr>
              <w:ind w:left="1140"/>
              <w:spacing w:after="0"/>
              <w:rPr>
                <w:sz w:val="20"/>
                <w:szCs w:val="20"/>
                <w:color w:val="auto"/>
              </w:rPr>
            </w:pPr>
            <w:r>
              <w:rPr>
                <w:rFonts w:ascii="Arial" w:cs="Arial" w:eastAsia="Arial" w:hAnsi="Arial"/>
                <w:sz w:val="17"/>
                <w:szCs w:val="17"/>
                <w:color w:val="auto"/>
              </w:rPr>
              <w:t>F-43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66" w:right="83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Deferred taxes are recognized for temporary differences between the basis of assets and liabilities for financial statement and income tax purposes.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significant components of the deferred tax assets are comprised of the following (in thousands):</w:t>
      </w:r>
    </w:p>
    <w:p>
      <w:pPr>
        <w:spacing w:after="0" w:line="228"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6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ind w:left="680"/>
              <w:spacing w:after="0"/>
              <w:rPr>
                <w:sz w:val="20"/>
                <w:szCs w:val="20"/>
                <w:color w:val="auto"/>
              </w:rPr>
            </w:pPr>
            <w:r>
              <w:rPr>
                <w:rFonts w:ascii="Arial" w:cs="Arial" w:eastAsia="Arial" w:hAnsi="Arial"/>
                <w:sz w:val="13"/>
                <w:szCs w:val="13"/>
                <w:b w:val="1"/>
                <w:bCs w:val="1"/>
                <w:color w:val="auto"/>
              </w:rPr>
              <w:t>Successor Company</w:t>
            </w: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220" w:type="dxa"/>
            <w:vAlign w:val="bottom"/>
          </w:tcPr>
          <w:p>
            <w:pPr>
              <w:spacing w:after="0"/>
              <w:rPr>
                <w:sz w:val="12"/>
                <w:szCs w:val="12"/>
                <w:color w:val="auto"/>
              </w:rPr>
            </w:pPr>
          </w:p>
        </w:tc>
        <w:tc>
          <w:tcPr>
            <w:tcW w:w="1640" w:type="dxa"/>
            <w:vAlign w:val="bottom"/>
            <w:gridSpan w:val="3"/>
          </w:tcPr>
          <w:p>
            <w:pPr>
              <w:spacing w:after="0" w:line="145" w:lineRule="exact"/>
              <w:rPr>
                <w:sz w:val="20"/>
                <w:szCs w:val="20"/>
                <w:color w:val="auto"/>
              </w:rPr>
            </w:pPr>
            <w:r>
              <w:rPr>
                <w:rFonts w:ascii="Arial" w:cs="Arial" w:eastAsia="Arial" w:hAnsi="Arial"/>
                <w:sz w:val="13"/>
                <w:szCs w:val="13"/>
                <w:color w:val="auto"/>
              </w:rPr>
              <w:t>December 31, 2020</w:t>
            </w:r>
          </w:p>
        </w:tc>
        <w:tc>
          <w:tcPr>
            <w:tcW w:w="520" w:type="dxa"/>
            <w:vAlign w:val="bottom"/>
          </w:tcPr>
          <w:p>
            <w:pPr>
              <w:spacing w:after="0"/>
              <w:rPr>
                <w:sz w:val="12"/>
                <w:szCs w:val="12"/>
                <w:color w:val="auto"/>
              </w:rPr>
            </w:pPr>
          </w:p>
        </w:tc>
        <w:tc>
          <w:tcPr>
            <w:tcW w:w="1060" w:type="dxa"/>
            <w:vAlign w:val="bottom"/>
            <w:gridSpan w:val="2"/>
          </w:tcPr>
          <w:p>
            <w:pPr>
              <w:spacing w:after="0" w:line="145" w:lineRule="exact"/>
              <w:rPr>
                <w:sz w:val="20"/>
                <w:szCs w:val="20"/>
                <w:color w:val="auto"/>
              </w:rPr>
            </w:pPr>
            <w:r>
              <w:rPr>
                <w:rFonts w:ascii="Arial" w:cs="Arial" w:eastAsia="Arial" w:hAnsi="Arial"/>
                <w:sz w:val="13"/>
                <w:szCs w:val="13"/>
                <w:color w:val="auto"/>
                <w:w w:val="91"/>
              </w:rPr>
              <w:t>December 31,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2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Deferred tax assets:</w:t>
            </w:r>
          </w:p>
        </w:tc>
        <w:tc>
          <w:tcPr>
            <w:tcW w:w="3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340"/>
              <w:spacing w:after="0"/>
              <w:rPr>
                <w:sz w:val="20"/>
                <w:szCs w:val="20"/>
                <w:color w:val="auto"/>
              </w:rPr>
            </w:pPr>
            <w:r>
              <w:rPr>
                <w:rFonts w:ascii="Arial" w:cs="Arial" w:eastAsia="Arial" w:hAnsi="Arial"/>
                <w:sz w:val="17"/>
                <w:szCs w:val="17"/>
                <w:color w:val="auto"/>
              </w:rPr>
              <w:t>Foreign, U.S. and state net operating loss carryforwards</w:t>
            </w:r>
          </w:p>
        </w:tc>
        <w:tc>
          <w:tcPr>
            <w:tcW w:w="3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1,517</w:t>
            </w:r>
          </w:p>
        </w:tc>
        <w:tc>
          <w:tcPr>
            <w:tcW w:w="58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220" w:type="dxa"/>
            <w:vAlign w:val="bottom"/>
          </w:tcPr>
          <w:p>
            <w:pPr>
              <w:ind w:left="340"/>
              <w:spacing w:after="0"/>
              <w:rPr>
                <w:sz w:val="20"/>
                <w:szCs w:val="20"/>
                <w:color w:val="auto"/>
              </w:rPr>
            </w:pPr>
            <w:r>
              <w:rPr>
                <w:rFonts w:ascii="Arial" w:cs="Arial" w:eastAsia="Arial" w:hAnsi="Arial"/>
                <w:sz w:val="17"/>
                <w:szCs w:val="17"/>
                <w:color w:val="auto"/>
              </w:rPr>
              <w:t>Unrealized foreign exchange losses</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Subtotal</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34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(1,430)</w:t>
            </w: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Net deferred tax assets</w:t>
            </w: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161</w:t>
            </w:r>
          </w:p>
        </w:tc>
        <w:tc>
          <w:tcPr>
            <w:tcW w:w="5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40" w:firstLine="413"/>
        <w:spacing w:after="0" w:line="272" w:lineRule="auto"/>
        <w:rPr>
          <w:sz w:val="20"/>
          <w:szCs w:val="20"/>
          <w:color w:val="auto"/>
        </w:rPr>
      </w:pPr>
      <w:r>
        <w:rPr>
          <w:rFonts w:ascii="Arial" w:cs="Arial" w:eastAsia="Arial" w:hAnsi="Arial"/>
          <w:sz w:val="17"/>
          <w:szCs w:val="17"/>
          <w:color w:val="auto"/>
        </w:rPr>
        <w:t>A reconciliation of income tax expense computed at the statutory federal income tax rate to income taxes as reflected in the financial statements is as follows:</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31"/>
        </w:trPr>
        <w:tc>
          <w:tcPr>
            <w:tcW w:w="5520" w:type="dxa"/>
            <w:vAlign w:val="bottom"/>
          </w:tcPr>
          <w:p>
            <w:pPr>
              <w:spacing w:after="0"/>
              <w:rPr>
                <w:sz w:val="2"/>
                <w:szCs w:val="2"/>
                <w:color w:val="auto"/>
              </w:rPr>
            </w:pPr>
          </w:p>
        </w:tc>
        <w:tc>
          <w:tcPr>
            <w:tcW w:w="2380" w:type="dxa"/>
            <w:vAlign w:val="bottom"/>
            <w:gridSpan w:val="4"/>
            <w:vMerge w:val="restart"/>
          </w:tcPr>
          <w:p>
            <w:pPr>
              <w:jc w:val="right"/>
              <w:ind w:right="820"/>
              <w:spacing w:after="0"/>
              <w:rPr>
                <w:sz w:val="20"/>
                <w:szCs w:val="20"/>
                <w:color w:val="auto"/>
              </w:rPr>
            </w:pPr>
            <w:r>
              <w:rPr>
                <w:rFonts w:ascii="Arial" w:cs="Arial" w:eastAsia="Arial" w:hAnsi="Arial"/>
                <w:sz w:val="13"/>
                <w:szCs w:val="13"/>
                <w:b w:val="1"/>
                <w:bCs w:val="1"/>
                <w:color w:val="auto"/>
              </w:rPr>
              <w:t>Successor Company</w:t>
            </w:r>
          </w:p>
        </w:tc>
        <w:tc>
          <w:tcPr>
            <w:tcW w:w="320" w:type="dxa"/>
            <w:vAlign w:val="bottom"/>
          </w:tcPr>
          <w:p>
            <w:pPr>
              <w:spacing w:after="0"/>
              <w:rPr>
                <w:sz w:val="2"/>
                <w:szCs w:val="2"/>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19"/>
        </w:trPr>
        <w:tc>
          <w:tcPr>
            <w:tcW w:w="5520" w:type="dxa"/>
            <w:vAlign w:val="bottom"/>
          </w:tcPr>
          <w:p>
            <w:pPr>
              <w:spacing w:after="0"/>
              <w:rPr>
                <w:sz w:val="10"/>
                <w:szCs w:val="10"/>
                <w:color w:val="auto"/>
              </w:rPr>
            </w:pPr>
          </w:p>
        </w:tc>
        <w:tc>
          <w:tcPr>
            <w:tcW w:w="2380" w:type="dxa"/>
            <w:vAlign w:val="bottom"/>
            <w:gridSpan w:val="4"/>
            <w:vMerge w:val="continue"/>
          </w:tcPr>
          <w:p>
            <w:pPr>
              <w:spacing w:after="0"/>
              <w:rPr>
                <w:sz w:val="10"/>
                <w:szCs w:val="10"/>
                <w:color w:val="auto"/>
              </w:rPr>
            </w:pPr>
          </w:p>
        </w:tc>
        <w:tc>
          <w:tcPr>
            <w:tcW w:w="320" w:type="dxa"/>
            <w:vAlign w:val="bottom"/>
            <w:tcBorders>
              <w:left w:val="single" w:sz="8" w:color="auto"/>
            </w:tcBorders>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2380" w:type="dxa"/>
            <w:vAlign w:val="bottom"/>
            <w:gridSpan w:val="4"/>
            <w:vMerge w:val="continue"/>
          </w:tcPr>
          <w:p>
            <w:pPr>
              <w:spacing w:after="0"/>
              <w:rPr>
                <w:sz w:val="13"/>
                <w:szCs w:val="13"/>
                <w:color w:val="auto"/>
              </w:rPr>
            </w:pPr>
          </w:p>
        </w:tc>
        <w:tc>
          <w:tcPr>
            <w:tcW w:w="320" w:type="dxa"/>
            <w:vAlign w:val="bottom"/>
            <w:tcBorders>
              <w:left w:val="single" w:sz="8" w:color="auto"/>
            </w:tcBorders>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Company</w:t>
            </w:r>
          </w:p>
        </w:tc>
        <w:tc>
          <w:tcPr>
            <w:tcW w:w="0" w:type="dxa"/>
            <w:vAlign w:val="bottom"/>
          </w:tcPr>
          <w:p>
            <w:pPr>
              <w:spacing w:after="0"/>
              <w:rPr>
                <w:sz w:val="1"/>
                <w:szCs w:val="1"/>
                <w:color w:val="auto"/>
              </w:rPr>
            </w:pPr>
          </w:p>
        </w:tc>
      </w:tr>
      <w:tr>
        <w:trPr>
          <w:trHeight w:val="114"/>
        </w:trPr>
        <w:tc>
          <w:tcPr>
            <w:tcW w:w="55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5"/>
              </w:rPr>
              <w:t>Period from</w:t>
            </w:r>
          </w:p>
        </w:tc>
        <w:tc>
          <w:tcPr>
            <w:tcW w:w="420" w:type="dxa"/>
            <w:vAlign w:val="bottom"/>
          </w:tcPr>
          <w:p>
            <w:pPr>
              <w:spacing w:after="0"/>
              <w:rPr>
                <w:sz w:val="9"/>
                <w:szCs w:val="9"/>
                <w:color w:val="auto"/>
              </w:rPr>
            </w:pPr>
          </w:p>
        </w:tc>
        <w:tc>
          <w:tcPr>
            <w:tcW w:w="320" w:type="dxa"/>
            <w:vAlign w:val="bottom"/>
            <w:tcBorders>
              <w:left w:val="single" w:sz="8" w:color="auto"/>
            </w:tcBorders>
          </w:tcPr>
          <w:p>
            <w:pPr>
              <w:spacing w:after="0"/>
              <w:rPr>
                <w:sz w:val="9"/>
                <w:szCs w:val="9"/>
                <w:color w:val="auto"/>
              </w:rPr>
            </w:pPr>
          </w:p>
        </w:tc>
        <w:tc>
          <w:tcPr>
            <w:tcW w:w="10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5"/>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520" w:type="dxa"/>
            <w:vAlign w:val="bottom"/>
          </w:tcPr>
          <w:p>
            <w:pPr>
              <w:spacing w:after="0"/>
              <w:rPr>
                <w:sz w:val="12"/>
                <w:szCs w:val="12"/>
                <w:color w:val="auto"/>
              </w:rPr>
            </w:pPr>
          </w:p>
        </w:tc>
        <w:tc>
          <w:tcPr>
            <w:tcW w:w="1080" w:type="dxa"/>
            <w:vAlign w:val="bottom"/>
            <w:gridSpan w:val="2"/>
          </w:tcPr>
          <w:p>
            <w:pPr>
              <w:jc w:val="center"/>
              <w:ind w:right="300"/>
              <w:spacing w:after="0" w:line="139" w:lineRule="exact"/>
              <w:rPr>
                <w:sz w:val="20"/>
                <w:szCs w:val="20"/>
                <w:color w:val="auto"/>
              </w:rPr>
            </w:pPr>
            <w:r>
              <w:rPr>
                <w:rFonts w:ascii="Arial" w:cs="Arial" w:eastAsia="Arial" w:hAnsi="Arial"/>
                <w:sz w:val="13"/>
                <w:szCs w:val="13"/>
                <w:color w:val="auto"/>
                <w:w w:val="92"/>
              </w:rPr>
              <w:t>Year ended</w:t>
            </w:r>
          </w:p>
        </w:tc>
        <w:tc>
          <w:tcPr>
            <w:tcW w:w="1300" w:type="dxa"/>
            <w:vAlign w:val="bottom"/>
            <w:gridSpan w:val="2"/>
          </w:tcPr>
          <w:p>
            <w:pPr>
              <w:jc w:val="center"/>
              <w:ind w:right="420"/>
              <w:spacing w:after="0" w:line="139" w:lineRule="exact"/>
              <w:rPr>
                <w:sz w:val="20"/>
                <w:szCs w:val="20"/>
                <w:color w:val="auto"/>
              </w:rPr>
            </w:pPr>
            <w:r>
              <w:rPr>
                <w:rFonts w:ascii="Arial" w:cs="Arial" w:eastAsia="Arial" w:hAnsi="Arial"/>
                <w:sz w:val="13"/>
                <w:szCs w:val="13"/>
                <w:color w:val="auto"/>
                <w:w w:val="95"/>
              </w:rPr>
              <w:t>July 16, 2019 to</w:t>
            </w:r>
          </w:p>
        </w:tc>
        <w:tc>
          <w:tcPr>
            <w:tcW w:w="320" w:type="dxa"/>
            <w:vAlign w:val="bottom"/>
            <w:tcBorders>
              <w:left w:val="single" w:sz="8" w:color="auto"/>
            </w:tcBorders>
          </w:tcPr>
          <w:p>
            <w:pPr>
              <w:spacing w:after="0"/>
              <w:rPr>
                <w:sz w:val="12"/>
                <w:szCs w:val="12"/>
                <w:color w:val="auto"/>
              </w:rPr>
            </w:pPr>
          </w:p>
        </w:tc>
        <w:tc>
          <w:tcPr>
            <w:tcW w:w="1280" w:type="dxa"/>
            <w:vAlign w:val="bottom"/>
            <w:gridSpan w:val="2"/>
          </w:tcPr>
          <w:p>
            <w:pPr>
              <w:jc w:val="center"/>
              <w:ind w:right="180"/>
              <w:spacing w:after="0" w:line="139" w:lineRule="exact"/>
              <w:rPr>
                <w:sz w:val="20"/>
                <w:szCs w:val="20"/>
                <w:color w:val="auto"/>
              </w:rPr>
            </w:pPr>
            <w:r>
              <w:rPr>
                <w:rFonts w:ascii="Arial" w:cs="Arial" w:eastAsia="Arial" w:hAnsi="Arial"/>
                <w:sz w:val="13"/>
                <w:szCs w:val="13"/>
                <w:color w:val="auto"/>
                <w:w w:val="92"/>
              </w:rPr>
              <w:t>January 16, 2019 to</w:t>
            </w:r>
          </w:p>
        </w:tc>
        <w:tc>
          <w:tcPr>
            <w:tcW w:w="0" w:type="dxa"/>
            <w:vAlign w:val="bottom"/>
          </w:tcPr>
          <w:p>
            <w:pPr>
              <w:spacing w:after="0"/>
              <w:rPr>
                <w:sz w:val="1"/>
                <w:szCs w:val="1"/>
                <w:color w:val="auto"/>
              </w:rPr>
            </w:pPr>
          </w:p>
        </w:tc>
      </w:tr>
      <w:tr>
        <w:trPr>
          <w:trHeight w:val="139"/>
        </w:trPr>
        <w:tc>
          <w:tcPr>
            <w:tcW w:w="5520" w:type="dxa"/>
            <w:vAlign w:val="bottom"/>
          </w:tcPr>
          <w:p>
            <w:pPr>
              <w:spacing w:after="0"/>
              <w:rPr>
                <w:sz w:val="12"/>
                <w:szCs w:val="12"/>
                <w:color w:val="auto"/>
              </w:rPr>
            </w:pPr>
          </w:p>
        </w:tc>
        <w:tc>
          <w:tcPr>
            <w:tcW w:w="1080" w:type="dxa"/>
            <w:vAlign w:val="bottom"/>
            <w:gridSpan w:val="2"/>
          </w:tcPr>
          <w:p>
            <w:pPr>
              <w:jc w:val="center"/>
              <w:ind w:right="300"/>
              <w:spacing w:after="0" w:line="139" w:lineRule="exact"/>
              <w:rPr>
                <w:sz w:val="20"/>
                <w:szCs w:val="20"/>
                <w:color w:val="auto"/>
              </w:rPr>
            </w:pPr>
            <w:r>
              <w:rPr>
                <w:rFonts w:ascii="Arial" w:cs="Arial" w:eastAsia="Arial" w:hAnsi="Arial"/>
                <w:sz w:val="13"/>
                <w:szCs w:val="13"/>
                <w:color w:val="auto"/>
                <w:w w:val="90"/>
              </w:rPr>
              <w:t>December 31,</w:t>
            </w:r>
          </w:p>
        </w:tc>
        <w:tc>
          <w:tcPr>
            <w:tcW w:w="1300" w:type="dxa"/>
            <w:vAlign w:val="bottom"/>
            <w:gridSpan w:val="2"/>
          </w:tcPr>
          <w:p>
            <w:pPr>
              <w:jc w:val="center"/>
              <w:ind w:right="420"/>
              <w:spacing w:after="0" w:line="139" w:lineRule="exact"/>
              <w:rPr>
                <w:sz w:val="20"/>
                <w:szCs w:val="20"/>
                <w:color w:val="auto"/>
              </w:rPr>
            </w:pPr>
            <w:r>
              <w:rPr>
                <w:rFonts w:ascii="Arial" w:cs="Arial" w:eastAsia="Arial" w:hAnsi="Arial"/>
                <w:sz w:val="13"/>
                <w:szCs w:val="13"/>
                <w:color w:val="auto"/>
                <w:w w:val="93"/>
              </w:rPr>
              <w:t>December 31,</w:t>
            </w:r>
          </w:p>
        </w:tc>
        <w:tc>
          <w:tcPr>
            <w:tcW w:w="320" w:type="dxa"/>
            <w:vAlign w:val="bottom"/>
            <w:tcBorders>
              <w:left w:val="single" w:sz="8" w:color="auto"/>
            </w:tcBorders>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93"/>
              </w:rPr>
              <w:t>December 31,</w:t>
            </w:r>
          </w:p>
        </w:tc>
        <w:tc>
          <w:tcPr>
            <w:tcW w:w="0" w:type="dxa"/>
            <w:vAlign w:val="bottom"/>
          </w:tcPr>
          <w:p>
            <w:pPr>
              <w:spacing w:after="0"/>
              <w:rPr>
                <w:sz w:val="1"/>
                <w:szCs w:val="1"/>
                <w:color w:val="auto"/>
              </w:rPr>
            </w:pPr>
          </w:p>
        </w:tc>
      </w:tr>
      <w:tr>
        <w:trPr>
          <w:trHeight w:val="158"/>
        </w:trPr>
        <w:tc>
          <w:tcPr>
            <w:tcW w:w="55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2020</w:t>
            </w:r>
          </w:p>
        </w:tc>
        <w:tc>
          <w:tcPr>
            <w:tcW w:w="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420" w:type="dxa"/>
            <w:vAlign w:val="bottom"/>
            <w:tcBorders>
              <w:bottom w:val="single" w:sz="8" w:color="CCEEFF"/>
            </w:tcBorders>
          </w:tcPr>
          <w:p>
            <w:pPr>
              <w:spacing w:after="0"/>
              <w:rPr>
                <w:sz w:val="13"/>
                <w:szCs w:val="13"/>
                <w:color w:val="auto"/>
              </w:rPr>
            </w:pPr>
          </w:p>
        </w:tc>
        <w:tc>
          <w:tcPr>
            <w:tcW w:w="320" w:type="dxa"/>
            <w:vAlign w:val="bottom"/>
            <w:tcBorders>
              <w:left w:val="single" w:sz="8" w:color="auto"/>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Federal income tax expense at statutory rate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21.00%</w:t>
            </w:r>
          </w:p>
        </w:tc>
        <w:tc>
          <w:tcPr>
            <w:tcW w:w="320" w:type="dxa"/>
            <w:vAlign w:val="bottom"/>
            <w:tcBorders>
              <w:left w:val="single" w:sz="8" w:color="auto"/>
            </w:tcBorders>
            <w:shd w:val="clear" w:color="auto" w:fill="CCEEFF"/>
          </w:tcPr>
          <w:p>
            <w:pPr>
              <w:spacing w:after="0"/>
              <w:rPr>
                <w:sz w:val="16"/>
                <w:szCs w:val="16"/>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99"/>
              </w:rPr>
              <w:t>0.00%</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State income tax, net of federal benefit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(0.14)</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0.04</w:t>
            </w:r>
          </w:p>
        </w:tc>
        <w:tc>
          <w:tcPr>
            <w:tcW w:w="320" w:type="dxa"/>
            <w:vAlign w:val="bottom"/>
            <w:tcBorders>
              <w:left w:val="single" w:sz="8" w:color="auto"/>
            </w:tcBorders>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(0.98)</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(2.73)</w:t>
            </w:r>
          </w:p>
        </w:tc>
        <w:tc>
          <w:tcPr>
            <w:tcW w:w="320" w:type="dxa"/>
            <w:vAlign w:val="bottom"/>
            <w:tcBorders>
              <w:left w:val="single" w:sz="8" w:color="auto"/>
            </w:tcBorders>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Research and development credit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0.00</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0.00</w:t>
            </w:r>
          </w:p>
        </w:tc>
        <w:tc>
          <w:tcPr>
            <w:tcW w:w="320" w:type="dxa"/>
            <w:vAlign w:val="bottom"/>
            <w:tcBorders>
              <w:left w:val="single" w:sz="8" w:color="auto"/>
            </w:tcBorders>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Foreign rate differential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(0.01)</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0.00</w:t>
            </w:r>
          </w:p>
        </w:tc>
        <w:tc>
          <w:tcPr>
            <w:tcW w:w="320" w:type="dxa"/>
            <w:vAlign w:val="bottom"/>
            <w:tcBorders>
              <w:left w:val="single" w:sz="8" w:color="auto"/>
            </w:tcBorders>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0.60</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0.00</w:t>
            </w:r>
          </w:p>
        </w:tc>
        <w:tc>
          <w:tcPr>
            <w:tcW w:w="320" w:type="dxa"/>
            <w:vAlign w:val="bottom"/>
            <w:tcBorders>
              <w:left w:val="single" w:sz="8" w:color="auto"/>
            </w:tcBorders>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Provision to return adjustments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0.46</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0.00</w:t>
            </w:r>
          </w:p>
        </w:tc>
        <w:tc>
          <w:tcPr>
            <w:tcW w:w="320" w:type="dxa"/>
            <w:vAlign w:val="bottom"/>
            <w:tcBorders>
              <w:left w:val="single" w:sz="8" w:color="auto"/>
            </w:tcBorders>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Other</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6.50</w:t>
            </w:r>
          </w:p>
        </w:tc>
        <w:tc>
          <w:tcPr>
            <w:tcW w:w="1300" w:type="dxa"/>
            <w:vAlign w:val="bottom"/>
            <w:gridSpan w:val="2"/>
          </w:tcPr>
          <w:p>
            <w:pPr>
              <w:jc w:val="right"/>
              <w:ind w:right="360"/>
              <w:spacing w:after="0"/>
              <w:rPr>
                <w:sz w:val="20"/>
                <w:szCs w:val="20"/>
                <w:color w:val="auto"/>
              </w:rPr>
            </w:pPr>
            <w:r>
              <w:rPr>
                <w:rFonts w:ascii="Arial" w:cs="Arial" w:eastAsia="Arial" w:hAnsi="Arial"/>
                <w:sz w:val="17"/>
                <w:szCs w:val="17"/>
                <w:color w:val="auto"/>
              </w:rPr>
              <w:t>(0.04)</w:t>
            </w:r>
          </w:p>
        </w:tc>
        <w:tc>
          <w:tcPr>
            <w:tcW w:w="320" w:type="dxa"/>
            <w:vAlign w:val="bottom"/>
            <w:tcBorders>
              <w:left w:val="single" w:sz="8" w:color="auto"/>
            </w:tcBorders>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Pass through income not subject to tax</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(27.55)</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(18.27)</w:t>
            </w:r>
          </w:p>
        </w:tc>
        <w:tc>
          <w:tcPr>
            <w:tcW w:w="320" w:type="dxa"/>
            <w:vAlign w:val="bottom"/>
            <w:tcBorders>
              <w:left w:val="single" w:sz="8" w:color="auto"/>
            </w:tcBorders>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340"/>
              <w:spacing w:after="0"/>
              <w:rPr>
                <w:sz w:val="20"/>
                <w:szCs w:val="20"/>
                <w:color w:val="auto"/>
              </w:rPr>
            </w:pPr>
            <w:r>
              <w:rPr>
                <w:rFonts w:ascii="Arial" w:cs="Arial" w:eastAsia="Arial" w:hAnsi="Arial"/>
                <w:sz w:val="17"/>
                <w:szCs w:val="17"/>
                <w:color w:val="auto"/>
              </w:rPr>
              <w:t>Effective income tax rate</w:t>
            </w: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20" w:type="dxa"/>
            <w:vAlign w:val="bottom"/>
            <w:vMerge w:val="continue"/>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(0.12%)</w:t>
            </w:r>
          </w:p>
        </w:tc>
        <w:tc>
          <w:tcPr>
            <w:tcW w:w="1300" w:type="dxa"/>
            <w:vAlign w:val="bottom"/>
            <w:gridSpan w:val="2"/>
          </w:tcPr>
          <w:p>
            <w:pPr>
              <w:jc w:val="right"/>
              <w:ind w:right="280"/>
              <w:spacing w:after="0"/>
              <w:rPr>
                <w:sz w:val="20"/>
                <w:szCs w:val="20"/>
                <w:color w:val="auto"/>
              </w:rPr>
            </w:pPr>
            <w:r>
              <w:rPr>
                <w:rFonts w:ascii="Arial" w:cs="Arial" w:eastAsia="Arial" w:hAnsi="Arial"/>
                <w:sz w:val="17"/>
                <w:szCs w:val="17"/>
                <w:color w:val="auto"/>
              </w:rPr>
              <w:t>0.00%</w:t>
            </w:r>
          </w:p>
        </w:tc>
        <w:tc>
          <w:tcPr>
            <w:tcW w:w="320" w:type="dxa"/>
            <w:vAlign w:val="bottom"/>
            <w:tcBorders>
              <w:left w:val="single" w:sz="8" w:color="auto"/>
            </w:tcBorders>
          </w:tcPr>
          <w:p>
            <w:pPr>
              <w:spacing w:after="0"/>
              <w:rPr>
                <w:sz w:val="18"/>
                <w:szCs w:val="18"/>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w w:val="99"/>
              </w:rPr>
              <w:t>0.38%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6"/>
          <w:szCs w:val="16"/>
          <w:color w:val="auto"/>
        </w:rPr>
        <w:t>As of December 31, 2020 and 2019, the HSE subsidiary had U.S. federal net operating loss carryforwards of approximately $0.6 million and $1.1 million, respectively, a portion of which expire at various dates through 2037, and a portion of which may be carried forward indefinitely. As of December 31, 2020 and 2019, HSE had U.S. state net operating loss carryforwards of approximately $0.6 million and $1.5 million, respectively, a portion of which expire at various dates through 2037, and a portion of which may be carried forward indefinitely. As of December 31, 2020, the Swedish Monocl subsidiaries had foreign net operating loss carryforwards of approximately $6.9 million, which may be available to offset future Swedish income tax liabilities and may be carried forward indefinitely.</w:t>
      </w:r>
    </w:p>
    <w:p>
      <w:pPr>
        <w:spacing w:after="0" w:line="167"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the deferred tax assets of the Swedish Monocl subsidiaries at December 31, 2020, because the Company’s management has determined that it is more likely than not that the Company will not recognize the benefits of its foreign deferred tax assets primarily due to its historical loss position and, as a result, a valuation allowance of approximately $1.4 million has been established at December 31, 2020. The valuation allowance</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0780"/>
          </w:cols>
          <w:pgMar w:left="320" w:top="466" w:right="799" w:bottom="1440" w:gutter="0" w:footer="0" w:header="0"/>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increased by approximately $1.4 million in the tax year ended December 31, 2020. The increase in valuation allowance for the year ended December 31, 2020 primarily related to the net operating losses in the Swedish Monocl subsidiary.</w:t>
      </w:r>
    </w:p>
    <w:p>
      <w:pPr>
        <w:spacing w:after="0" w:line="165" w:lineRule="exact"/>
        <w:rPr>
          <w:sz w:val="20"/>
          <w:szCs w:val="20"/>
          <w:color w:val="auto"/>
        </w:rPr>
      </w:pPr>
    </w:p>
    <w:p>
      <w:pPr>
        <w:ind w:left="460" w:right="200" w:firstLine="413"/>
        <w:spacing w:after="0" w:line="287" w:lineRule="auto"/>
        <w:rPr>
          <w:sz w:val="20"/>
          <w:szCs w:val="20"/>
          <w:color w:val="auto"/>
        </w:rPr>
      </w:pPr>
      <w:r>
        <w:rPr>
          <w:rFonts w:ascii="Arial" w:cs="Arial" w:eastAsia="Arial" w:hAnsi="Arial"/>
          <w:sz w:val="15"/>
          <w:szCs w:val="15"/>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1" w:lineRule="exact"/>
        <w:rPr>
          <w:sz w:val="20"/>
          <w:szCs w:val="20"/>
          <w:color w:val="auto"/>
        </w:rPr>
      </w:pPr>
    </w:p>
    <w:p>
      <w:pPr>
        <w:ind w:left="460" w:right="100"/>
        <w:spacing w:after="0" w:line="270" w:lineRule="auto"/>
        <w:rPr>
          <w:sz w:val="20"/>
          <w:szCs w:val="20"/>
          <w:color w:val="auto"/>
        </w:rPr>
      </w:pPr>
      <w:r>
        <w:rPr>
          <w:rFonts w:ascii="Arial" w:cs="Arial" w:eastAsia="Arial" w:hAnsi="Arial"/>
          <w:sz w:val="16"/>
          <w:szCs w:val="16"/>
          <w:color w:val="auto"/>
        </w:rPr>
        <w:t>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us immediately prior to the ownership change. Subsequent ownership changes may further affect the limitation in future years. In the future, the Company may complete financings that could result in a change in control, which will reduce the deferred tax assets for tax attributes the Company believes will expire unused due to the change in control limitations.</w:t>
      </w:r>
    </w:p>
    <w:p>
      <w:pPr>
        <w:spacing w:after="0" w:line="169" w:lineRule="exact"/>
        <w:rPr>
          <w:sz w:val="20"/>
          <w:szCs w:val="20"/>
          <w:color w:val="auto"/>
        </w:rPr>
      </w:pPr>
    </w:p>
    <w:p>
      <w:pPr>
        <w:ind w:left="460" w:right="280" w:firstLine="413"/>
        <w:spacing w:after="0" w:line="277" w:lineRule="auto"/>
        <w:rPr>
          <w:sz w:val="20"/>
          <w:szCs w:val="20"/>
          <w:color w:val="auto"/>
        </w:rPr>
      </w:pPr>
      <w:r>
        <w:rPr>
          <w:rFonts w:ascii="Arial" w:cs="Arial" w:eastAsia="Arial" w:hAnsi="Arial"/>
          <w:sz w:val="16"/>
          <w:szCs w:val="16"/>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The tax law changes in the Act did not have a material impact on the Company’s income tax provision.</w:t>
      </w:r>
    </w:p>
    <w:p>
      <w:pPr>
        <w:spacing w:after="0" w:line="164" w:lineRule="exact"/>
        <w:rPr>
          <w:sz w:val="20"/>
          <w:szCs w:val="20"/>
          <w:color w:val="auto"/>
        </w:rPr>
      </w:pPr>
    </w:p>
    <w:p>
      <w:pPr>
        <w:ind w:left="460" w:right="140" w:firstLine="413"/>
        <w:spacing w:after="0" w:line="303" w:lineRule="auto"/>
        <w:rPr>
          <w:sz w:val="20"/>
          <w:szCs w:val="20"/>
          <w:color w:val="auto"/>
        </w:rPr>
      </w:pPr>
      <w:r>
        <w:rPr>
          <w:rFonts w:ascii="Arial" w:cs="Arial" w:eastAsia="Arial" w:hAnsi="Arial"/>
          <w:sz w:val="16"/>
          <w:szCs w:val="16"/>
          <w:color w:val="auto"/>
        </w:rPr>
        <w:t>The Company will recognize interest and penalties related to uncertain tax positions in income tax expense. As of December 31, 2020, and 2019, there was no accrued interest or penalties related to uncertain tax positions and no such amounts have been recognized.</w:t>
      </w:r>
    </w:p>
    <w:p>
      <w:pPr>
        <w:spacing w:after="0" w:line="143" w:lineRule="exact"/>
        <w:rPr>
          <w:sz w:val="20"/>
          <w:szCs w:val="20"/>
          <w:color w:val="auto"/>
        </w:rPr>
      </w:pPr>
    </w:p>
    <w:p>
      <w:pPr>
        <w:ind w:left="460" w:right="80" w:firstLine="413"/>
        <w:spacing w:after="0" w:line="277" w:lineRule="auto"/>
        <w:rPr>
          <w:sz w:val="20"/>
          <w:szCs w:val="20"/>
          <w:color w:val="auto"/>
        </w:rPr>
      </w:pPr>
      <w:r>
        <w:rPr>
          <w:rFonts w:ascii="Arial" w:cs="Arial" w:eastAsia="Arial" w:hAnsi="Arial"/>
          <w:sz w:val="16"/>
          <w:szCs w:val="16"/>
          <w:color w:val="auto"/>
        </w:rPr>
        <w:t>The Company or one of its subsidiaries file income tax returns in the United States, and various state and foreign jurisdictions. The federal, state and foreign income tax returns are generally subject to tax examinations for the tax years ended December 31, 2017 through December 31, 2020.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03" w:lineRule="exact"/>
        <w:rPr>
          <w:sz w:val="20"/>
          <w:szCs w:val="20"/>
          <w:color w:val="auto"/>
        </w:rPr>
      </w:pPr>
    </w:p>
    <w:p>
      <w:pPr>
        <w:ind w:left="860" w:hanging="403"/>
        <w:spacing w:after="0"/>
        <w:tabs>
          <w:tab w:leader="none" w:pos="860"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Net Loss per Unit</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6"/>
          <w:szCs w:val="16"/>
          <w:color w:val="auto"/>
        </w:rPr>
        <w:t>The following table presents the calculation of basic and diluted net income/(loss) per unit (“EPU”) for the Company’s common units:</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Successor 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4"/>
              <w:spacing w:after="0" w:line="114" w:lineRule="exact"/>
              <w:rPr>
                <w:sz w:val="20"/>
                <w:szCs w:val="20"/>
                <w:color w:val="auto"/>
              </w:rPr>
            </w:pPr>
            <w:r>
              <w:rPr>
                <w:rFonts w:ascii="Arial" w:cs="Arial" w:eastAsia="Arial" w:hAnsi="Arial"/>
                <w:sz w:val="13"/>
                <w:szCs w:val="13"/>
                <w:color w:val="auto"/>
                <w:w w:val="95"/>
              </w:rPr>
              <w:t>Period from</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780"/>
              <w:spacing w:after="0" w:line="139" w:lineRule="exact"/>
              <w:rPr>
                <w:sz w:val="20"/>
                <w:szCs w:val="20"/>
                <w:color w:val="auto"/>
              </w:rPr>
            </w:pPr>
            <w:r>
              <w:rPr>
                <w:rFonts w:ascii="Arial" w:cs="Arial" w:eastAsia="Arial" w:hAnsi="Arial"/>
                <w:sz w:val="13"/>
                <w:szCs w:val="13"/>
                <w:color w:val="auto"/>
                <w:w w:val="90"/>
              </w:rPr>
              <w:t>Year Ended</w:t>
            </w:r>
          </w:p>
        </w:tc>
        <w:tc>
          <w:tcPr>
            <w:tcW w:w="1040" w:type="dxa"/>
            <w:vAlign w:val="bottom"/>
            <w:gridSpan w:val="3"/>
          </w:tcPr>
          <w:p>
            <w:pPr>
              <w:jc w:val="center"/>
              <w:ind w:right="120"/>
              <w:spacing w:after="0" w:line="139" w:lineRule="exact"/>
              <w:rPr>
                <w:sz w:val="20"/>
                <w:szCs w:val="20"/>
                <w:color w:val="auto"/>
              </w:rPr>
            </w:pPr>
            <w:r>
              <w:rPr>
                <w:rFonts w:ascii="Arial" w:cs="Arial" w:eastAsia="Arial" w:hAnsi="Arial"/>
                <w:sz w:val="13"/>
                <w:szCs w:val="13"/>
                <w:color w:val="auto"/>
                <w:w w:val="95"/>
              </w:rPr>
              <w:t>July 16, 2019 to</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760"/>
              <w:spacing w:after="0" w:line="139" w:lineRule="exact"/>
              <w:rPr>
                <w:sz w:val="20"/>
                <w:szCs w:val="20"/>
                <w:color w:val="auto"/>
              </w:rPr>
            </w:pPr>
            <w:r>
              <w:rPr>
                <w:rFonts w:ascii="Arial" w:cs="Arial" w:eastAsia="Arial" w:hAnsi="Arial"/>
                <w:sz w:val="13"/>
                <w:szCs w:val="13"/>
                <w:color w:val="auto"/>
                <w:w w:val="93"/>
              </w:rPr>
              <w:t>December 31,</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93"/>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4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color w:val="auto"/>
                <w:w w:val="89"/>
              </w:rPr>
              <w:t>2020</w:t>
            </w: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color w:val="auto"/>
                <w:w w:val="96"/>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Weighted-average units used to compute basic and diluted net loss per unit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7"/>
                <w:szCs w:val="17"/>
                <w:color w:val="auto"/>
                <w:w w:val="86"/>
              </w:rPr>
              <w:t>127,682,376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126,794,329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 basic and diluted</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160" w:firstLine="413"/>
        <w:spacing w:after="0" w:line="253" w:lineRule="auto"/>
        <w:rPr>
          <w:sz w:val="20"/>
          <w:szCs w:val="20"/>
          <w:color w:val="auto"/>
        </w:rPr>
      </w:pPr>
      <w:r>
        <w:rPr>
          <w:rFonts w:ascii="Arial" w:cs="Arial" w:eastAsia="Arial" w:hAnsi="Arial"/>
          <w:sz w:val="17"/>
          <w:szCs w:val="17"/>
          <w:color w:val="auto"/>
        </w:rPr>
        <w:t>The Company has issued potentially dilutive instruments in the form of Class B Profit Interest Units granted to the Company’s employees. As of December 31, 2020, there were 474,920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period from July 16, 2019 to December 31, 2019 (Successor) and for the year ended December 31, 2020 (Successor) because to include them would be anti-dilutive due to the Company’s net loss during the period.</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800"/>
          </w:cols>
          <w:pgMar w:left="320" w:top="466" w:right="77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Segment and Geographic Data</w:t>
      </w:r>
    </w:p>
    <w:p>
      <w:pPr>
        <w:spacing w:after="0" w:line="108" w:lineRule="exact"/>
        <w:rPr>
          <w:sz w:val="20"/>
          <w:szCs w:val="20"/>
          <w:color w:val="auto"/>
        </w:rPr>
      </w:pPr>
    </w:p>
    <w:p>
      <w:pPr>
        <w:ind w:left="460" w:firstLine="413"/>
        <w:spacing w:after="0" w:line="254" w:lineRule="auto"/>
        <w:rPr>
          <w:sz w:val="20"/>
          <w:szCs w:val="20"/>
          <w:color w:val="auto"/>
        </w:rPr>
      </w:pPr>
      <w:r>
        <w:rPr>
          <w:rFonts w:ascii="Arial" w:cs="Arial" w:eastAsia="Arial" w:hAnsi="Arial"/>
          <w:sz w:val="17"/>
          <w:szCs w:val="17"/>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Revenues by geographic area presented based upon the location of the customer are as follows (in thousands):</w:t>
      </w:r>
    </w:p>
    <w:p>
      <w:pPr>
        <w:spacing w:after="0" w:line="217" w:lineRule="exact"/>
        <w:rPr>
          <w:sz w:val="20"/>
          <w:szCs w:val="20"/>
          <w:color w:val="auto"/>
        </w:rPr>
      </w:pPr>
    </w:p>
    <w:tbl>
      <w:tblPr>
        <w:tblLayout w:type="fixed"/>
        <w:tblInd w:w="128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gridSpan w:val="4"/>
            <w:vMerge w:val="restart"/>
          </w:tcPr>
          <w:p>
            <w:pPr>
              <w:jc w:val="right"/>
              <w:ind w:right="222"/>
              <w:spacing w:after="0"/>
              <w:rPr>
                <w:sz w:val="20"/>
                <w:szCs w:val="20"/>
                <w:color w:val="auto"/>
              </w:rPr>
            </w:pPr>
            <w:r>
              <w:rPr>
                <w:rFonts w:ascii="Arial" w:cs="Arial" w:eastAsia="Arial" w:hAnsi="Arial"/>
                <w:sz w:val="13"/>
                <w:szCs w:val="13"/>
                <w:b w:val="1"/>
                <w:bCs w:val="1"/>
                <w:color w:val="auto"/>
              </w:rPr>
              <w:t>Successor Company</w:t>
            </w: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3"/>
                <w:szCs w:val="13"/>
                <w:color w:val="auto"/>
                <w:w w:val="95"/>
              </w:rPr>
              <w:t>Period from</w:t>
            </w:r>
          </w:p>
        </w:tc>
        <w:tc>
          <w:tcPr>
            <w:tcW w:w="32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0"/>
              </w:rPr>
              <w:t>Year Ended</w:t>
            </w:r>
          </w:p>
        </w:tc>
        <w:tc>
          <w:tcPr>
            <w:tcW w:w="1000" w:type="dxa"/>
            <w:vAlign w:val="bottom"/>
            <w:gridSpan w:val="3"/>
          </w:tcPr>
          <w:p>
            <w:pPr>
              <w:jc w:val="center"/>
              <w:ind w:left="64"/>
              <w:spacing w:after="0" w:line="139" w:lineRule="exact"/>
              <w:rPr>
                <w:sz w:val="20"/>
                <w:szCs w:val="20"/>
                <w:color w:val="auto"/>
              </w:rPr>
            </w:pPr>
            <w:r>
              <w:rPr>
                <w:rFonts w:ascii="Arial" w:cs="Arial" w:eastAsia="Arial" w:hAnsi="Arial"/>
                <w:sz w:val="13"/>
                <w:szCs w:val="13"/>
                <w:color w:val="auto"/>
                <w:w w:val="93"/>
              </w:rPr>
              <w:t>July 16, 2019 to</w:t>
            </w:r>
          </w:p>
        </w:tc>
        <w:tc>
          <w:tcPr>
            <w:tcW w:w="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39" w:lineRule="exact"/>
              <w:rPr>
                <w:sz w:val="20"/>
                <w:szCs w:val="20"/>
                <w:color w:val="auto"/>
              </w:rPr>
            </w:pPr>
            <w:r>
              <w:rPr>
                <w:rFonts w:ascii="Arial" w:cs="Arial" w:eastAsia="Arial" w:hAnsi="Arial"/>
                <w:sz w:val="13"/>
                <w:szCs w:val="13"/>
                <w:color w:val="auto"/>
                <w:w w:val="98"/>
              </w:rPr>
              <w:t>Period from</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720" w:type="dxa"/>
            <w:vAlign w:val="bottom"/>
            <w:gridSpan w:val="3"/>
          </w:tcPr>
          <w:p>
            <w:pPr>
              <w:jc w:val="center"/>
              <w:ind w:left="1864"/>
              <w:spacing w:after="0" w:line="139" w:lineRule="exact"/>
              <w:rPr>
                <w:sz w:val="20"/>
                <w:szCs w:val="20"/>
                <w:color w:val="auto"/>
              </w:rPr>
            </w:pPr>
            <w:r>
              <w:rPr>
                <w:rFonts w:ascii="Arial" w:cs="Arial" w:eastAsia="Arial" w:hAnsi="Arial"/>
                <w:sz w:val="13"/>
                <w:szCs w:val="13"/>
                <w:color w:val="auto"/>
                <w:w w:val="90"/>
              </w:rPr>
              <w:t>December 31,</w:t>
            </w:r>
          </w:p>
        </w:tc>
        <w:tc>
          <w:tcPr>
            <w:tcW w:w="14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3"/>
              </w:rPr>
              <w:t>December 31,</w:t>
            </w:r>
          </w:p>
        </w:tc>
        <w:tc>
          <w:tcPr>
            <w:tcW w:w="320" w:type="dxa"/>
            <w:vAlign w:val="bottom"/>
            <w:tcBorders>
              <w:right w:val="single" w:sz="8" w:color="auto"/>
            </w:tcBorders>
          </w:tcPr>
          <w:p>
            <w:pPr>
              <w:spacing w:after="0"/>
              <w:rPr>
                <w:sz w:val="12"/>
                <w:szCs w:val="12"/>
                <w:color w:val="auto"/>
              </w:rPr>
            </w:pPr>
          </w:p>
        </w:tc>
        <w:tc>
          <w:tcPr>
            <w:tcW w:w="1340" w:type="dxa"/>
            <w:vAlign w:val="bottom"/>
            <w:gridSpan w:val="4"/>
          </w:tcPr>
          <w:p>
            <w:pPr>
              <w:jc w:val="center"/>
              <w:ind w:left="164"/>
              <w:spacing w:after="0" w:line="139" w:lineRule="exact"/>
              <w:rPr>
                <w:sz w:val="20"/>
                <w:szCs w:val="20"/>
                <w:color w:val="auto"/>
              </w:rPr>
            </w:pPr>
            <w:r>
              <w:rPr>
                <w:rFonts w:ascii="Arial" w:cs="Arial" w:eastAsia="Arial" w:hAnsi="Arial"/>
                <w:sz w:val="13"/>
                <w:szCs w:val="13"/>
                <w:color w:val="auto"/>
                <w:w w:val="90"/>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center"/>
              <w:ind w:right="82"/>
              <w:spacing w:after="0"/>
              <w:rPr>
                <w:sz w:val="20"/>
                <w:szCs w:val="20"/>
                <w:color w:val="auto"/>
              </w:rPr>
            </w:pPr>
            <w:r>
              <w:rPr>
                <w:rFonts w:ascii="Arial" w:cs="Arial" w:eastAsia="Arial" w:hAnsi="Arial"/>
                <w:sz w:val="13"/>
                <w:szCs w:val="13"/>
                <w:color w:val="auto"/>
                <w:w w:val="89"/>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
              <w:spacing w:after="0"/>
              <w:rPr>
                <w:sz w:val="20"/>
                <w:szCs w:val="20"/>
                <w:color w:val="auto"/>
              </w:rPr>
            </w:pPr>
            <w:r>
              <w:rPr>
                <w:rFonts w:ascii="Arial" w:cs="Arial" w:eastAsia="Arial" w:hAnsi="Arial"/>
                <w:sz w:val="13"/>
                <w:szCs w:val="13"/>
                <w:color w:val="auto"/>
                <w:w w:val="89"/>
              </w:rPr>
              <w:t>2019</w:t>
            </w:r>
          </w:p>
        </w:tc>
        <w:tc>
          <w:tcPr>
            <w:tcW w:w="3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w w:val="95"/>
              </w:rPr>
              <w:t>July 15, 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19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117,755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320" w:type="dxa"/>
            <w:vAlign w:val="bottom"/>
            <w:tcBorders>
              <w:top w:val="single" w:sz="8" w:color="CCEEFF"/>
              <w:right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Rest of world</w:t>
            </w:r>
          </w:p>
        </w:tc>
        <w:tc>
          <w:tcPr>
            <w:tcW w:w="1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118,317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320" w:type="dxa"/>
            <w:vAlign w:val="bottom"/>
            <w:tcBorders>
              <w:right w:val="single" w:sz="8" w:color="auto"/>
            </w:tcBorders>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For a summary of our revenue disaggregated by service,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210"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95"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46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Successor Company</w:t>
            </w: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5"/>
        </w:trPr>
        <w:tc>
          <w:tcPr>
            <w:tcW w:w="4620" w:type="dxa"/>
            <w:vAlign w:val="bottom"/>
          </w:tcPr>
          <w:p>
            <w:pPr>
              <w:spacing w:after="0"/>
              <w:rPr>
                <w:sz w:val="12"/>
                <w:szCs w:val="12"/>
                <w:color w:val="auto"/>
              </w:rPr>
            </w:pPr>
          </w:p>
        </w:tc>
        <w:tc>
          <w:tcPr>
            <w:tcW w:w="2120" w:type="dxa"/>
            <w:vAlign w:val="bottom"/>
            <w:gridSpan w:val="3"/>
          </w:tcPr>
          <w:p>
            <w:pPr>
              <w:spacing w:after="0" w:line="145" w:lineRule="exact"/>
              <w:rPr>
                <w:sz w:val="20"/>
                <w:szCs w:val="20"/>
                <w:color w:val="auto"/>
              </w:rPr>
            </w:pPr>
            <w:r>
              <w:rPr>
                <w:rFonts w:ascii="Arial" w:cs="Arial" w:eastAsia="Arial" w:hAnsi="Arial"/>
                <w:sz w:val="13"/>
                <w:szCs w:val="13"/>
                <w:color w:val="auto"/>
              </w:rPr>
              <w:t>December 31, 2020</w:t>
            </w:r>
          </w:p>
        </w:tc>
        <w:tc>
          <w:tcPr>
            <w:tcW w:w="1060" w:type="dxa"/>
            <w:vAlign w:val="bottom"/>
            <w:gridSpan w:val="2"/>
          </w:tcPr>
          <w:p>
            <w:pPr>
              <w:spacing w:after="0" w:line="145" w:lineRule="exact"/>
              <w:rPr>
                <w:sz w:val="20"/>
                <w:szCs w:val="20"/>
                <w:color w:val="auto"/>
              </w:rPr>
            </w:pPr>
            <w:r>
              <w:rPr>
                <w:rFonts w:ascii="Arial" w:cs="Arial" w:eastAsia="Arial" w:hAnsi="Arial"/>
                <w:sz w:val="13"/>
                <w:szCs w:val="13"/>
                <w:color w:val="auto"/>
                <w:w w:val="91"/>
              </w:rPr>
              <w:t>December 31, 2019</w:t>
            </w:r>
          </w:p>
        </w:tc>
        <w:tc>
          <w:tcPr>
            <w:tcW w:w="40" w:type="dxa"/>
            <w:vAlign w:val="bottom"/>
          </w:tcPr>
          <w:p>
            <w:pPr>
              <w:spacing w:after="0"/>
              <w:rPr>
                <w:sz w:val="12"/>
                <w:szCs w:val="12"/>
                <w:color w:val="auto"/>
              </w:rPr>
            </w:pPr>
          </w:p>
        </w:tc>
      </w:tr>
      <w:tr>
        <w:trPr>
          <w:trHeight w:val="195"/>
        </w:trPr>
        <w:tc>
          <w:tcPr>
            <w:tcW w:w="4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10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7"/>
                <w:szCs w:val="17"/>
                <w:color w:val="auto"/>
              </w:rPr>
              <w:t>Rest of world</w:t>
            </w:r>
          </w:p>
        </w:tc>
        <w:tc>
          <w:tcPr>
            <w:tcW w:w="380" w:type="dxa"/>
            <w:vAlign w:val="bottom"/>
          </w:tcPr>
          <w:p>
            <w:pPr>
              <w:spacing w:after="0"/>
              <w:rPr>
                <w:sz w:val="17"/>
                <w:szCs w:val="17"/>
                <w:color w:val="auto"/>
              </w:rPr>
            </w:pPr>
          </w:p>
        </w:tc>
        <w:tc>
          <w:tcPr>
            <w:tcW w:w="1740" w:type="dxa"/>
            <w:vAlign w:val="bottom"/>
            <w:gridSpan w:val="2"/>
          </w:tcPr>
          <w:p>
            <w:pPr>
              <w:jc w:val="right"/>
              <w:ind w:right="1060"/>
              <w:spacing w:after="0"/>
              <w:rPr>
                <w:sz w:val="20"/>
                <w:szCs w:val="20"/>
                <w:color w:val="auto"/>
              </w:rPr>
            </w:pPr>
            <w:r>
              <w:rPr>
                <w:rFonts w:ascii="Arial" w:cs="Arial" w:eastAsia="Arial" w:hAnsi="Arial"/>
                <w:sz w:val="17"/>
                <w:szCs w:val="17"/>
                <w:color w:val="auto"/>
              </w:rPr>
              <w:t>128</w:t>
            </w:r>
          </w:p>
        </w:tc>
        <w:tc>
          <w:tcPr>
            <w:tcW w:w="38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7"/>
                <w:szCs w:val="17"/>
                <w:color w:val="auto"/>
              </w:rPr>
              <w:t>—</w:t>
            </w:r>
          </w:p>
        </w:tc>
      </w:tr>
      <w:tr>
        <w:trPr>
          <w:trHeight w:val="25"/>
        </w:trPr>
        <w:tc>
          <w:tcPr>
            <w:tcW w:w="4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long-lived assets</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3,248</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2,558</w:t>
            </w:r>
          </w:p>
        </w:tc>
      </w:tr>
      <w:tr>
        <w:trPr>
          <w:trHeight w:val="20"/>
        </w:trPr>
        <w:tc>
          <w:tcPr>
            <w:tcW w:w="4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5" w:lineRule="exact"/>
        <w:rPr>
          <w:sz w:val="20"/>
          <w:szCs w:val="20"/>
          <w:color w:val="auto"/>
        </w:rPr>
      </w:pPr>
    </w:p>
    <w:p>
      <w:pPr>
        <w:ind w:left="860" w:hanging="403"/>
        <w:spacing w:after="0"/>
        <w:tabs>
          <w:tab w:leader="none" w:pos="860"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 Parties</w:t>
      </w:r>
    </w:p>
    <w:p>
      <w:pPr>
        <w:spacing w:after="0" w:line="108" w:lineRule="exact"/>
        <w:rPr>
          <w:sz w:val="20"/>
          <w:szCs w:val="20"/>
          <w:color w:val="auto"/>
        </w:rPr>
      </w:pPr>
    </w:p>
    <w:p>
      <w:pPr>
        <w:ind w:left="460" w:right="120" w:firstLine="413"/>
        <w:spacing w:after="0" w:line="311" w:lineRule="auto"/>
        <w:rPr>
          <w:sz w:val="20"/>
          <w:szCs w:val="20"/>
          <w:color w:val="auto"/>
        </w:rPr>
      </w:pPr>
      <w:r>
        <w:rPr>
          <w:rFonts w:ascii="Arial" w:cs="Arial" w:eastAsia="Arial" w:hAnsi="Arial"/>
          <w:sz w:val="15"/>
          <w:szCs w:val="15"/>
          <w:color w:val="auto"/>
        </w:rPr>
        <w:t>The Company reimburses its private equity sponsors for services and any related travel and out-of-pocket expenses. During the years ended December 31, 2020, and 2019, the Company had expenses for services, travel and out-of-pocket expenses to its private equity sponsors of $0.1 million and $0.0 million, respectively. The associated payable for the service transactions was de minimis at December 31, 2020 and 2019.</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Company has engaged in revenue transactions within the ordinary course of business with entities affiliated with its private equity sponsors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and with members of the Company’s board of directors. During the years ended December 31, 2020, and 2019 the Company recorded revenue of</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$0.4 million and $0.2 million, respectively. The associated receivables for the revenue transactions were $0.1 million and $0.1 million at December 31,</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2020 and 2019, respectively.</w:t>
      </w:r>
    </w:p>
    <w:p>
      <w:pPr>
        <w:spacing w:after="0" w:line="337" w:lineRule="exact"/>
        <w:rPr>
          <w:sz w:val="20"/>
          <w:szCs w:val="20"/>
          <w:color w:val="auto"/>
        </w:rPr>
      </w:pPr>
    </w:p>
    <w:p>
      <w:pPr>
        <w:ind w:left="860" w:hanging="403"/>
        <w:spacing w:after="0"/>
        <w:tabs>
          <w:tab w:leader="none" w:pos="860"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Subsequent Events</w:t>
      </w:r>
    </w:p>
    <w:p>
      <w:pPr>
        <w:spacing w:after="0" w:line="108"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Company has evaluated subsequent events through May 28, 2021, the date which the consolidated financial statements were issued, and did not identify any additional matters that require disclosure.</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0760"/>
          </w:cols>
          <w:pgMar w:left="320" w:top="466" w:right="81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Definitive Healthcare Corp.</w:t>
      </w:r>
    </w:p>
    <w:p>
      <w:pPr>
        <w:spacing w:after="0" w:line="112"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Condensed Consolidated Financial Statements as of September 30, 2021 and December 31, 2020 and for the Nine Months Ended September 30, 2021 and 2020 (Unaudited)</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0580"/>
          </w:cols>
          <w:pgMar w:left="320" w:top="466" w:right="99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(in thousands, except number of shares)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189,752</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24,774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27,886</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33,108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3,642</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Current portion of deferred contract costs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5,359</w:t>
            </w:r>
          </w:p>
        </w:tc>
        <w:tc>
          <w:tcPr>
            <w:tcW w:w="3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226,639</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63,845</w:t>
            </w:r>
          </w:p>
        </w:tc>
        <w:tc>
          <w:tcPr>
            <w:tcW w:w="0" w:type="dxa"/>
            <w:vAlign w:val="bottom"/>
          </w:tcPr>
          <w:p>
            <w:pPr>
              <w:spacing w:after="0"/>
              <w:rPr>
                <w:sz w:val="1"/>
                <w:szCs w:val="1"/>
                <w:color w:val="auto"/>
              </w:rPr>
            </w:pPr>
          </w:p>
        </w:tc>
      </w:tr>
      <w:tr>
        <w:trPr>
          <w:trHeight w:val="303"/>
        </w:trPr>
        <w:tc>
          <w:tcPr>
            <w:tcW w:w="82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4,697</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747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9,388</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Intangible assets, net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366,723</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410,237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3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1,261,444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1,869,799</w:t>
            </w:r>
          </w:p>
        </w:tc>
        <w:tc>
          <w:tcPr>
            <w:tcW w:w="3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$ 1,745,359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2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Liabilities and Equity</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26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19,296</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17,321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deferred revenue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69,811</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61,060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Current portion of term loan</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6,875</w:t>
            </w:r>
          </w:p>
        </w:tc>
        <w:tc>
          <w:tcPr>
            <w:tcW w:w="3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liabilities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103,037</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88,723</w:t>
            </w:r>
          </w:p>
        </w:tc>
        <w:tc>
          <w:tcPr>
            <w:tcW w:w="0" w:type="dxa"/>
            <w:vAlign w:val="bottom"/>
          </w:tcPr>
          <w:p>
            <w:pPr>
              <w:spacing w:after="0"/>
              <w:rPr>
                <w:sz w:val="1"/>
                <w:szCs w:val="1"/>
                <w:color w:val="auto"/>
              </w:rPr>
            </w:pPr>
          </w:p>
        </w:tc>
      </w:tr>
      <w:tr>
        <w:trPr>
          <w:trHeight w:val="304"/>
        </w:trPr>
        <w:tc>
          <w:tcPr>
            <w:tcW w:w="8260" w:type="dxa"/>
            <w:vAlign w:val="bottom"/>
            <w:gridSpan w:val="2"/>
          </w:tcPr>
          <w:p>
            <w:pPr>
              <w:spacing w:after="0"/>
              <w:rPr>
                <w:sz w:val="20"/>
                <w:szCs w:val="20"/>
                <w:color w:val="auto"/>
              </w:rPr>
            </w:pPr>
            <w:r>
              <w:rPr>
                <w:rFonts w:ascii="Arial" w:cs="Arial" w:eastAsia="Arial" w:hAnsi="Arial"/>
                <w:sz w:val="17"/>
                <w:szCs w:val="17"/>
                <w:color w:val="auto"/>
              </w:rPr>
              <w:t>Long term liabilities: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Tax receivable agreements liability</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146,106</w:t>
            </w:r>
          </w:p>
        </w:tc>
        <w:tc>
          <w:tcPr>
            <w:tcW w:w="3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Term loan, net of current portion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265,388</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457,197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Deferred tax liabilities</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71,341</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long-term liabilities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475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586,715</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549,796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8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60" w:type="dxa"/>
            <w:vAlign w:val="bottom"/>
            <w:gridSpan w:val="2"/>
          </w:tcPr>
          <w:p>
            <w:pPr>
              <w:spacing w:after="0"/>
              <w:rPr>
                <w:sz w:val="20"/>
                <w:szCs w:val="20"/>
                <w:color w:val="auto"/>
              </w:rPr>
            </w:pPr>
            <w:r>
              <w:rPr>
                <w:rFonts w:ascii="Arial" w:cs="Arial" w:eastAsia="Arial" w:hAnsi="Arial"/>
                <w:sz w:val="17"/>
                <w:szCs w:val="17"/>
                <w:color w:val="auto"/>
              </w:rPr>
              <w:t>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equity</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1,195,694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tcPr>
          <w:p>
            <w:pPr>
              <w:ind w:left="320"/>
              <w:spacing w:after="0" w:line="190" w:lineRule="exact"/>
              <w:rPr>
                <w:sz w:val="20"/>
                <w:szCs w:val="20"/>
                <w:color w:val="auto"/>
              </w:rPr>
            </w:pPr>
            <w:r>
              <w:rPr>
                <w:rFonts w:ascii="Arial" w:cs="Arial" w:eastAsia="Arial" w:hAnsi="Arial"/>
                <w:sz w:val="17"/>
                <w:szCs w:val="17"/>
                <w:color w:val="auto"/>
                <w:w w:val="98"/>
              </w:rPr>
              <w:t>Class A Common Stock, par value $0.001, 600,000,000 shares authorized, 88,263,333 shares issued, and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rPr>
              <w:t>outstanding at September 30, 2021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88</w:t>
            </w: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4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w w:val="93"/>
              </w:rPr>
              <w:t>Class B Common Stock, no par value, 65,000,000 shares authorized, 60,020,525 shares issued and 57,220,661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outstanding at September 30, 2021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700,773</w:t>
            </w:r>
          </w:p>
        </w:tc>
        <w:tc>
          <w:tcPr>
            <w:tcW w:w="3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(7,798)</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590,177</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7"/>
                <w:szCs w:val="17"/>
                <w:b w:val="1"/>
                <w:bCs w:val="1"/>
                <w:color w:val="auto"/>
              </w:rPr>
              <w:t>Total liabilities and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1,869,799</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$ 1,745,359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F-48</w:t>
      </w:r>
    </w:p>
    <w:p>
      <w:pPr>
        <w:sectPr>
          <w:pgSz w:w="11900" w:h="16838" w:orient="portrait"/>
          <w:cols w:equalWidth="0" w:num="1">
            <w:col w:w="10800"/>
          </w:cols>
          <w:pgMar w:left="320" w:top="466" w:right="77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share amounts and per share data)</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0"/>
        </w:trPr>
        <w:tc>
          <w:tcPr>
            <w:tcW w:w="7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45"/>
        </w:trPr>
        <w:tc>
          <w:tcPr>
            <w:tcW w:w="724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8"/>
              <w:spacing w:after="0" w:line="145" w:lineRule="exact"/>
              <w:rPr>
                <w:sz w:val="20"/>
                <w:szCs w:val="20"/>
                <w:color w:val="auto"/>
              </w:rPr>
            </w:pPr>
            <w:r>
              <w:rPr>
                <w:rFonts w:ascii="Arial" w:cs="Arial" w:eastAsia="Arial" w:hAnsi="Arial"/>
                <w:sz w:val="13"/>
                <w:szCs w:val="13"/>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5"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119,841</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$ 84,659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7"/>
                <w:szCs w:val="17"/>
                <w:color w:val="auto"/>
              </w:rPr>
              <w:t>Cost of revenue:</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 exclusive of amortization shown below</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13,895</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7,876</w:t>
            </w: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15,896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14,278</w:t>
            </w:r>
          </w:p>
        </w:tc>
        <w:tc>
          <w:tcPr>
            <w:tcW w:w="0" w:type="dxa"/>
            <w:vAlign w:val="bottom"/>
          </w:tcPr>
          <w:p>
            <w:pPr>
              <w:spacing w:after="0"/>
              <w:rPr>
                <w:sz w:val="1"/>
                <w:szCs w:val="1"/>
                <w:color w:val="auto"/>
              </w:rPr>
            </w:pPr>
          </w:p>
        </w:tc>
      </w:tr>
      <w:tr>
        <w:trPr>
          <w:trHeight w:val="25"/>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Gross profit</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90,050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62,505</w:t>
            </w:r>
          </w:p>
        </w:tc>
        <w:tc>
          <w:tcPr>
            <w:tcW w:w="0" w:type="dxa"/>
            <w:vAlign w:val="bottom"/>
          </w:tcPr>
          <w:p>
            <w:pPr>
              <w:spacing w:after="0"/>
              <w:rPr>
                <w:sz w:val="1"/>
                <w:szCs w:val="1"/>
                <w:color w:val="auto"/>
              </w:rPr>
            </w:pPr>
          </w:p>
        </w:tc>
      </w:tr>
      <w:tr>
        <w:trPr>
          <w:trHeight w:val="208"/>
        </w:trPr>
        <w:tc>
          <w:tcPr>
            <w:tcW w:w="7240" w:type="dxa"/>
            <w:vAlign w:val="bottom"/>
          </w:tcPr>
          <w:p>
            <w:pPr>
              <w:spacing w:after="0"/>
              <w:rPr>
                <w:sz w:val="20"/>
                <w:szCs w:val="20"/>
                <w:color w:val="auto"/>
              </w:rPr>
            </w:pPr>
            <w:r>
              <w:rPr>
                <w:rFonts w:ascii="Arial" w:cs="Arial" w:eastAsia="Arial" w:hAnsi="Arial"/>
                <w:sz w:val="17"/>
                <w:szCs w:val="17"/>
                <w:color w:val="auto"/>
              </w:rPr>
              <w:t>Operating expenses:</w:t>
            </w:r>
          </w:p>
        </w:tc>
        <w:tc>
          <w:tcPr>
            <w:tcW w:w="1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39,003</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23,542</w:t>
            </w: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Product development</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12,817</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18,891</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8,105</w:t>
            </w: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28,814</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30,037</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expenses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3,332</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680"/>
              <w:spacing w:after="0"/>
              <w:rPr>
                <w:sz w:val="20"/>
                <w:szCs w:val="20"/>
                <w:color w:val="auto"/>
              </w:rPr>
            </w:pPr>
            <w:r>
              <w:rPr>
                <w:rFonts w:ascii="Arial" w:cs="Arial" w:eastAsia="Arial" w:hAnsi="Arial"/>
                <w:sz w:val="17"/>
                <w:szCs w:val="17"/>
                <w:color w:val="auto"/>
              </w:rPr>
              <w:t>Total operating expenses</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102,857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69,998</w:t>
            </w:r>
          </w:p>
        </w:tc>
        <w:tc>
          <w:tcPr>
            <w:tcW w:w="0" w:type="dxa"/>
            <w:vAlign w:val="bottom"/>
          </w:tcPr>
          <w:p>
            <w:pPr>
              <w:spacing w:after="0"/>
              <w:rPr>
                <w:sz w:val="1"/>
                <w:szCs w:val="1"/>
                <w:color w:val="auto"/>
              </w:rPr>
            </w:pPr>
          </w:p>
        </w:tc>
      </w:tr>
      <w:tr>
        <w:trPr>
          <w:trHeight w:val="26"/>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Loss from operations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(12,807)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(7,493)</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7"/>
                <w:szCs w:val="17"/>
                <w:color w:val="auto"/>
              </w:rPr>
              <w:t>Other expense, net:</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transaction gain</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143</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(23,956)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(27,802)</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from extinguishment of debt</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(9,873)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680"/>
              <w:spacing w:after="0"/>
              <w:rPr>
                <w:sz w:val="20"/>
                <w:szCs w:val="20"/>
                <w:color w:val="auto"/>
              </w:rPr>
            </w:pPr>
            <w:r>
              <w:rPr>
                <w:rFonts w:ascii="Arial" w:cs="Arial" w:eastAsia="Arial" w:hAnsi="Arial"/>
                <w:sz w:val="17"/>
                <w:szCs w:val="17"/>
                <w:color w:val="auto"/>
              </w:rPr>
              <w:t>Total other expense, net</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(33,686)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(27,802)</w:t>
            </w:r>
          </w:p>
        </w:tc>
        <w:tc>
          <w:tcPr>
            <w:tcW w:w="0" w:type="dxa"/>
            <w:vAlign w:val="bottom"/>
          </w:tcPr>
          <w:p>
            <w:pPr>
              <w:spacing w:after="0"/>
              <w:rPr>
                <w:sz w:val="1"/>
                <w:szCs w:val="1"/>
                <w:color w:val="auto"/>
              </w:rPr>
            </w:pPr>
          </w:p>
        </w:tc>
      </w:tr>
      <w:tr>
        <w:trPr>
          <w:trHeight w:val="26"/>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loss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(46,493)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(35,295)</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340"/>
              <w:spacing w:after="0"/>
              <w:rPr>
                <w:sz w:val="20"/>
                <w:szCs w:val="20"/>
                <w:color w:val="auto"/>
              </w:rPr>
            </w:pPr>
            <w:r>
              <w:rPr>
                <w:rFonts w:ascii="Arial" w:cs="Arial" w:eastAsia="Arial" w:hAnsi="Arial"/>
                <w:sz w:val="17"/>
                <w:szCs w:val="17"/>
                <w:color w:val="auto"/>
              </w:rPr>
              <w:t>Less: net loss attributable to Definitive OpCo prior to the Reorganization transactions</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(33,343)</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$(35,295)</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net loss attributable to noncontrolling interests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(5,172)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1020"/>
              <w:spacing w:after="0"/>
              <w:rPr>
                <w:sz w:val="20"/>
                <w:szCs w:val="20"/>
                <w:color w:val="auto"/>
              </w:rPr>
            </w:pPr>
            <w:r>
              <w:rPr>
                <w:rFonts w:ascii="Arial" w:cs="Arial" w:eastAsia="Arial" w:hAnsi="Arial"/>
                <w:sz w:val="17"/>
                <w:szCs w:val="17"/>
                <w:color w:val="auto"/>
              </w:rPr>
              <w:t>Net loss attributable to Definitive Healthcare Corp.</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vMerge w:val="continue"/>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(7,978)</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(35,295)</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per share of Class A Common Stock:</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(0.09)</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Stock outstanding:</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340"/>
              <w:spacing w:after="0" w:line="202" w:lineRule="exact"/>
              <w:rPr>
                <w:sz w:val="20"/>
                <w:szCs w:val="20"/>
                <w:color w:val="auto"/>
              </w:rPr>
            </w:pPr>
            <w:r>
              <w:rPr>
                <w:rFonts w:ascii="Arial" w:cs="Arial" w:eastAsia="Arial" w:hAnsi="Arial"/>
                <w:sz w:val="17"/>
                <w:szCs w:val="17"/>
                <w:color w:val="auto"/>
              </w:rPr>
              <w:t xml:space="preserve">Basic and diluted </w:t>
            </w:r>
            <w:r>
              <w:rPr>
                <w:rFonts w:ascii="Arial" w:cs="Arial" w:eastAsia="Arial" w:hAnsi="Arial"/>
                <w:sz w:val="23"/>
                <w:szCs w:val="23"/>
                <w:color w:val="auto"/>
                <w:vertAlign w:val="superscript"/>
              </w:rPr>
              <w:t>(1)</w:t>
            </w:r>
          </w:p>
        </w:tc>
        <w:tc>
          <w:tcPr>
            <w:tcW w:w="1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6"/>
              </w:rPr>
              <w:t>88,263,333</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860" w:right="160" w:hanging="403"/>
        <w:spacing w:after="0" w:line="256" w:lineRule="auto"/>
        <w:tabs>
          <w:tab w:leader="none" w:pos="8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Basic and diluted net loss per share of Class A Common Stock is applicable only for the period from September 15, 2021 through September 30, 2021, which is the period following the initial public offering (“IPO”) and related Reorganization Transactions (as defined in Note 1 to the Unaudited Consolidated Financial Statements). See Note 16 for the number of shares used in the computation of net loss per share of Class A Common Stock and the basis for the computation of net loss per share.</w:t>
      </w:r>
    </w:p>
    <w:p>
      <w:pPr>
        <w:spacing w:after="0" w:line="17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0800"/>
          </w:cols>
          <w:pgMar w:left="320" w:top="466" w:right="77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15" w:lineRule="exact"/>
        <w:rPr>
          <w:sz w:val="20"/>
          <w:szCs w:val="20"/>
          <w:color w:val="auto"/>
        </w:rPr>
      </w:pPr>
    </w:p>
    <w:p>
      <w:pPr>
        <w:jc w:val="center"/>
        <w:ind w:left="8440"/>
        <w:spacing w:after="0"/>
        <w:rPr>
          <w:sz w:val="20"/>
          <w:szCs w:val="20"/>
          <w:color w:val="auto"/>
        </w:rPr>
      </w:pPr>
      <w:r>
        <w:rPr>
          <w:rFonts w:ascii="Arial" w:cs="Arial" w:eastAsia="Arial" w:hAnsi="Arial"/>
          <w:sz w:val="13"/>
          <w:szCs w:val="13"/>
          <w:b w:val="1"/>
          <w:bCs w:val="1"/>
          <w:color w:val="auto"/>
        </w:rPr>
        <w:t>Nine Months Ended</w:t>
      </w:r>
    </w:p>
    <w:p>
      <w:pPr>
        <w:jc w:val="center"/>
        <w:ind w:left="8440"/>
        <w:spacing w:after="0"/>
        <w:rPr>
          <w:sz w:val="20"/>
          <w:szCs w:val="20"/>
          <w:color w:val="auto"/>
        </w:rPr>
      </w:pPr>
      <w:r>
        <w:rPr>
          <w:rFonts w:ascii="Arial" w:cs="Arial" w:eastAsia="Arial" w:hAnsi="Arial"/>
          <w:sz w:val="13"/>
          <w:szCs w:val="13"/>
          <w:b w:val="1"/>
          <w:bCs w:val="1"/>
          <w:color w:val="auto"/>
        </w:rPr>
        <w:t>September 30,</w:t>
      </w:r>
    </w:p>
    <w:tbl>
      <w:tblPr>
        <w:tblLayout w:type="fixed"/>
        <w:tblInd w:w="460" w:type="dxa"/>
        <w:tblCellMar>
          <w:top w:w="0" w:type="dxa"/>
          <w:left w:w="0" w:type="dxa"/>
          <w:bottom w:w="0" w:type="dxa"/>
          <w:right w:w="0" w:type="dxa"/>
        </w:tblCellMar>
      </w:tblPr>
      <w:tr>
        <w:trPr>
          <w:trHeight w:val="145"/>
        </w:trPr>
        <w:tc>
          <w:tcPr>
            <w:tcW w:w="738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5"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5"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(46,493)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w w:val="78"/>
              </w:rPr>
              <w:t>(35,295)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680"/>
              <w:spacing w:after="0"/>
              <w:rPr>
                <w:sz w:val="20"/>
                <w:szCs w:val="20"/>
                <w:color w:val="auto"/>
              </w:rPr>
            </w:pPr>
            <w:r>
              <w:rPr>
                <w:rFonts w:ascii="Arial" w:cs="Arial" w:eastAsia="Arial" w:hAnsi="Arial"/>
                <w:sz w:val="17"/>
                <w:szCs w:val="17"/>
                <w:color w:val="auto"/>
              </w:rPr>
              <w:t>Comprehensive loss</w:t>
            </w: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(46,338)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7"/>
                <w:szCs w:val="17"/>
                <w:color w:val="auto"/>
                <w:w w:val="97"/>
              </w:rPr>
              <w:t>(35,295)</w:t>
            </w: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Net loss attributable to Definitive OpCo prior to the Reorganization Transactions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(33,201)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380" w:type="dxa"/>
            <w:vAlign w:val="bottom"/>
          </w:tcPr>
          <w:p>
            <w:pPr>
              <w:ind w:left="340"/>
              <w:spacing w:after="0"/>
              <w:rPr>
                <w:sz w:val="20"/>
                <w:szCs w:val="20"/>
                <w:color w:val="auto"/>
              </w:rPr>
            </w:pPr>
            <w:r>
              <w:rPr>
                <w:rFonts w:ascii="Arial" w:cs="Arial" w:eastAsia="Arial" w:hAnsi="Arial"/>
                <w:sz w:val="17"/>
                <w:szCs w:val="17"/>
                <w:color w:val="auto"/>
              </w:rPr>
              <w:t>Less: Comprehensive loss attributable to noncontrolling interests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(5,167)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7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Comprehensive loss attributable to Definitive Healthcare Corp.</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7"/>
              </w:rPr>
              <w:t>(35,295)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0800"/>
          </w:cols>
          <w:pgMar w:left="320" w:top="466" w:right="77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CHANGES IN MEMBERS’ EQUITY AND TOTAL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share and unit amounts)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2100" w:type="dxa"/>
            <w:vAlign w:val="bottom"/>
          </w:tcPr>
          <w:p>
            <w:pPr>
              <w:spacing w:after="0"/>
              <w:rPr>
                <w:sz w:val="2"/>
                <w:szCs w:val="2"/>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rPr>
              <w:t>AIDH TopCo, LLC</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1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8"/>
              </w:rPr>
              <w:t>(Prior to</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Reorganization</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gridSpan w:val="7"/>
            <w:vMerge w:val="restart"/>
          </w:tcPr>
          <w:p>
            <w:pPr>
              <w:ind w:left="120"/>
              <w:spacing w:after="0"/>
              <w:rPr>
                <w:sz w:val="20"/>
                <w:szCs w:val="20"/>
                <w:color w:val="auto"/>
              </w:rPr>
            </w:pPr>
            <w:r>
              <w:rPr>
                <w:rFonts w:ascii="Arial" w:cs="Arial" w:eastAsia="Arial" w:hAnsi="Arial"/>
                <w:sz w:val="13"/>
                <w:szCs w:val="13"/>
                <w:b w:val="1"/>
                <w:bCs w:val="1"/>
                <w:color w:val="auto"/>
              </w:rPr>
              <w:t>Definitive Healthcare Corp.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Transactions)</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jc w:val="center"/>
              <w:ind w:right="240"/>
              <w:spacing w:after="0" w:line="112" w:lineRule="exact"/>
              <w:rPr>
                <w:sz w:val="20"/>
                <w:szCs w:val="20"/>
                <w:color w:val="auto"/>
              </w:rPr>
            </w:pPr>
            <w:r>
              <w:rPr>
                <w:rFonts w:ascii="Arial" w:cs="Arial" w:eastAsia="Arial" w:hAnsi="Arial"/>
                <w:sz w:val="12"/>
                <w:szCs w:val="12"/>
                <w:b w:val="1"/>
                <w:bCs w:val="1"/>
                <w:color w:val="auto"/>
              </w:rPr>
              <w:t>Accumulated</w:t>
            </w: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Class A</w:t>
            </w: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Class A</w:t>
            </w:r>
          </w:p>
        </w:tc>
        <w:tc>
          <w:tcPr>
            <w:tcW w:w="14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Class B</w:t>
            </w: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0"/>
              </w:rPr>
              <w:t>Accumulated</w:t>
            </w:r>
          </w:p>
        </w:tc>
        <w:tc>
          <w:tcPr>
            <w:tcW w:w="200" w:type="dxa"/>
            <w:vAlign w:val="bottom"/>
          </w:tcPr>
          <w:p>
            <w:pPr>
              <w:spacing w:after="0"/>
              <w:rPr>
                <w:sz w:val="12"/>
                <w:szCs w:val="12"/>
                <w:color w:val="auto"/>
              </w:rPr>
            </w:pPr>
          </w:p>
        </w:tc>
        <w:tc>
          <w:tcPr>
            <w:tcW w:w="10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7"/>
              </w:rPr>
              <w:t>Other</w:t>
            </w: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0"/>
              </w:rPr>
              <w:t>Noncontrolling</w:t>
            </w:r>
          </w:p>
        </w:tc>
        <w:tc>
          <w:tcPr>
            <w:tcW w:w="14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9"/>
        </w:trPr>
        <w:tc>
          <w:tcPr>
            <w:tcW w:w="210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Members’ Equity</w:t>
            </w:r>
          </w:p>
        </w:tc>
        <w:tc>
          <w:tcPr>
            <w:tcW w:w="120" w:type="dxa"/>
            <w:vAlign w:val="bottom"/>
            <w:vMerge w:val="restart"/>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86"/>
              </w:rPr>
              <w:t>Comprehensive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Stock</w:t>
            </w:r>
          </w:p>
        </w:tc>
        <w:tc>
          <w:tcPr>
            <w:tcW w:w="1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Stock</w:t>
            </w:r>
          </w:p>
        </w:tc>
        <w:tc>
          <w:tcPr>
            <w:tcW w:w="1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(Loss) Income</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Interests</w:t>
            </w:r>
          </w:p>
        </w:tc>
        <w:tc>
          <w:tcPr>
            <w:tcW w:w="1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1,195,694</w:t>
            </w: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(131)</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$1,195,563</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5"/>
                <w:szCs w:val="15"/>
                <w:color w:val="auto"/>
                <w:w w:val="98"/>
              </w:rPr>
              <w:t>Net loss prior to Reorganization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140"/>
              <w:spacing w:after="0"/>
              <w:rPr>
                <w:sz w:val="20"/>
                <w:szCs w:val="20"/>
                <w:color w:val="auto"/>
              </w:rPr>
            </w:pPr>
            <w:r>
              <w:rPr>
                <w:rFonts w:ascii="Arial" w:cs="Arial" w:eastAsia="Arial" w:hAnsi="Arial"/>
                <w:sz w:val="15"/>
                <w:szCs w:val="15"/>
                <w:color w:val="auto"/>
              </w:rPr>
              <w:t>Transactions</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(10,487)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(10,487)</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prior to Reorganization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Transactions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163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5"/>
                <w:szCs w:val="15"/>
                <w:color w:val="auto"/>
                <w:w w:val="94"/>
              </w:rPr>
              <w:t>Equity-based compensation prior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140"/>
              <w:spacing w:after="0"/>
              <w:rPr>
                <w:sz w:val="20"/>
                <w:szCs w:val="20"/>
                <w:color w:val="auto"/>
              </w:rPr>
            </w:pPr>
            <w:r>
              <w:rPr>
                <w:rFonts w:ascii="Arial" w:cs="Arial" w:eastAsia="Arial" w:hAnsi="Arial"/>
                <w:sz w:val="15"/>
                <w:szCs w:val="15"/>
                <w:color w:val="auto"/>
                <w:w w:val="93"/>
              </w:rPr>
              <w:t>to Reorganization Transactions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406</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March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1,185,613</w:t>
            </w: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1,185,645</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5"/>
                <w:szCs w:val="15"/>
                <w:color w:val="auto"/>
                <w:w w:val="98"/>
              </w:rPr>
              <w:t>Net loss prior to Reorganization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140"/>
              <w:spacing w:after="0"/>
              <w:rPr>
                <w:sz w:val="20"/>
                <w:szCs w:val="20"/>
                <w:color w:val="auto"/>
              </w:rPr>
            </w:pPr>
            <w:r>
              <w:rPr>
                <w:rFonts w:ascii="Arial" w:cs="Arial" w:eastAsia="Arial" w:hAnsi="Arial"/>
                <w:sz w:val="15"/>
                <w:szCs w:val="15"/>
                <w:color w:val="auto"/>
              </w:rPr>
              <w:t>Transactions</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(15,040)</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(15,040)</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prior to Reorganization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Transactions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5"/>
                <w:szCs w:val="15"/>
                <w:color w:val="auto"/>
                <w:w w:val="94"/>
              </w:rPr>
              <w:t>Equity-based compensation prior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140"/>
              <w:spacing w:after="0"/>
              <w:rPr>
                <w:sz w:val="20"/>
                <w:szCs w:val="20"/>
                <w:color w:val="auto"/>
              </w:rPr>
            </w:pPr>
            <w:r>
              <w:rPr>
                <w:rFonts w:ascii="Arial" w:cs="Arial" w:eastAsia="Arial" w:hAnsi="Arial"/>
                <w:sz w:val="15"/>
                <w:szCs w:val="15"/>
                <w:color w:val="auto"/>
                <w:w w:val="93"/>
              </w:rPr>
              <w:t>to Reorganization Transactions</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1,615</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1,615</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rPr>
              <w:t>Members’ contributions prior to</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Reorganization Transactions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5,500</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5,500</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5"/>
                <w:szCs w:val="15"/>
                <w:color w:val="auto"/>
                <w:w w:val="95"/>
              </w:rPr>
              <w:t>Distributions to members prior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140"/>
              <w:spacing w:after="0"/>
              <w:rPr>
                <w:sz w:val="20"/>
                <w:szCs w:val="20"/>
                <w:color w:val="auto"/>
              </w:rPr>
            </w:pPr>
            <w:r>
              <w:rPr>
                <w:rFonts w:ascii="Arial" w:cs="Arial" w:eastAsia="Arial" w:hAnsi="Arial"/>
                <w:sz w:val="15"/>
                <w:szCs w:val="15"/>
                <w:color w:val="auto"/>
              </w:rPr>
              <w:t>Reorganization Transactions</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(3,328)</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(3,328)</w:t>
            </w: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June 30,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1,174,360</w:t>
            </w: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1,174,373</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5"/>
                <w:szCs w:val="15"/>
                <w:color w:val="auto"/>
                <w:w w:val="98"/>
              </w:rPr>
              <w:t>Net loss prior to Reorganization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140"/>
              <w:spacing w:after="0"/>
              <w:rPr>
                <w:sz w:val="20"/>
                <w:szCs w:val="20"/>
                <w:color w:val="auto"/>
              </w:rPr>
            </w:pPr>
            <w:r>
              <w:rPr>
                <w:rFonts w:ascii="Arial" w:cs="Arial" w:eastAsia="Arial" w:hAnsi="Arial"/>
                <w:sz w:val="15"/>
                <w:szCs w:val="15"/>
                <w:color w:val="auto"/>
              </w:rPr>
              <w:t>Transactions</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(7,816)</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(7,816)</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w w:val="99"/>
              </w:rPr>
              <w:t>Other comprehensive loss prior</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to Reorganization Transactions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5"/>
                <w:szCs w:val="15"/>
                <w:color w:val="auto"/>
                <w:w w:val="94"/>
              </w:rPr>
              <w:t>Equity-based compensation prior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140"/>
              <w:spacing w:after="0"/>
              <w:rPr>
                <w:sz w:val="20"/>
                <w:szCs w:val="20"/>
                <w:color w:val="auto"/>
              </w:rPr>
            </w:pPr>
            <w:r>
              <w:rPr>
                <w:rFonts w:ascii="Arial" w:cs="Arial" w:eastAsia="Arial" w:hAnsi="Arial"/>
                <w:sz w:val="15"/>
                <w:szCs w:val="15"/>
                <w:color w:val="auto"/>
                <w:w w:val="93"/>
              </w:rPr>
              <w:t>to Reorganization Transactions</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(278)</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w w:val="95"/>
              </w:rPr>
              <w:t>Distributions to members prior to</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Reorganization Transactions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(3,811)</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(3,811)</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5"/>
                <w:szCs w:val="15"/>
                <w:b w:val="1"/>
                <w:bCs w:val="1"/>
                <w:color w:val="auto"/>
              </w:rPr>
              <w:t>Impacts of Reorganization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140"/>
              <w:spacing w:after="0"/>
              <w:rPr>
                <w:sz w:val="20"/>
                <w:szCs w:val="20"/>
                <w:color w:val="auto"/>
              </w:rPr>
            </w:pPr>
            <w:r>
              <w:rPr>
                <w:rFonts w:ascii="Arial" w:cs="Arial" w:eastAsia="Arial" w:hAnsi="Arial"/>
                <w:sz w:val="15"/>
                <w:szCs w:val="15"/>
                <w:b w:val="1"/>
                <w:bCs w:val="1"/>
                <w:color w:val="auto"/>
              </w:rPr>
              <w:t>Transactions and Intial</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140"/>
              <w:spacing w:after="0"/>
              <w:rPr>
                <w:sz w:val="20"/>
                <w:szCs w:val="20"/>
                <w:color w:val="auto"/>
              </w:rPr>
            </w:pPr>
            <w:r>
              <w:rPr>
                <w:rFonts w:ascii="Arial" w:cs="Arial" w:eastAsia="Arial" w:hAnsi="Arial"/>
                <w:sz w:val="15"/>
                <w:szCs w:val="15"/>
                <w:b w:val="1"/>
                <w:bCs w:val="1"/>
                <w:color w:val="auto"/>
              </w:rPr>
              <w:t>Public Offering IPO</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0800"/>
          </w:cols>
          <w:pgMar w:left="320" w:top="465" w:right="77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CHANGES IN MEMBERS’ EQUITY AND TOTAL EQUITY</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share and unit amounts)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31"/>
        </w:trPr>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9"/>
              </w:rPr>
              <w:t>AIDH TopCo,</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rPr>
              <w:t>LLC (Prior to</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11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3"/>
              </w:rPr>
              <w:t>Reorganization</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20" w:type="dxa"/>
            <w:vAlign w:val="bottom"/>
            <w:gridSpan w:val="7"/>
            <w:vMerge w:val="restart"/>
          </w:tcPr>
          <w:p>
            <w:pPr>
              <w:ind w:left="20"/>
              <w:spacing w:after="0"/>
              <w:rPr>
                <w:sz w:val="20"/>
                <w:szCs w:val="20"/>
                <w:color w:val="auto"/>
              </w:rPr>
            </w:pPr>
            <w:r>
              <w:rPr>
                <w:rFonts w:ascii="Arial" w:cs="Arial" w:eastAsia="Arial" w:hAnsi="Arial"/>
                <w:sz w:val="13"/>
                <w:szCs w:val="13"/>
                <w:b w:val="1"/>
                <w:bCs w:val="1"/>
                <w:color w:val="auto"/>
              </w:rPr>
              <w:t>Definitive Healthcare Corp.</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Transactions)</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gridSpan w:val="7"/>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4"/>
              </w:rPr>
              <w:t>Additional</w:t>
            </w: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3"/>
          </w:tcPr>
          <w:p>
            <w:pPr>
              <w:jc w:val="center"/>
              <w:ind w:right="40"/>
              <w:spacing w:after="0" w:line="112" w:lineRule="exact"/>
              <w:rPr>
                <w:sz w:val="20"/>
                <w:szCs w:val="20"/>
                <w:color w:val="auto"/>
              </w:rPr>
            </w:pPr>
            <w:r>
              <w:rPr>
                <w:rFonts w:ascii="Arial" w:cs="Arial" w:eastAsia="Arial" w:hAnsi="Arial"/>
                <w:sz w:val="12"/>
                <w:szCs w:val="12"/>
                <w:b w:val="1"/>
                <w:bCs w:val="1"/>
                <w:color w:val="auto"/>
              </w:rPr>
              <w:t>Accumulated</w:t>
            </w: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Class A</w:t>
            </w:r>
          </w:p>
        </w:tc>
        <w:tc>
          <w:tcPr>
            <w:tcW w:w="60" w:type="dxa"/>
            <w:vAlign w:val="bottom"/>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Class A</w:t>
            </w: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Class B</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Class B</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2"/>
                <w:szCs w:val="12"/>
                <w:color w:val="auto"/>
              </w:rPr>
            </w:pPr>
          </w:p>
        </w:tc>
        <w:tc>
          <w:tcPr>
            <w:tcW w:w="78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Noncontrolling</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Members’ Equity</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39"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6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2"/>
              </w:rPr>
              <w:t>Comprehensive</w:t>
            </w: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Stock</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(Loss) Income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15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Initial effect of the</w:t>
            </w: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Reorganization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Transactions and IPO</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on noncontrolling</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99"/>
              </w:rPr>
              <w:t>(1,162,455)</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72,871,733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61,262,052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351,075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593,861</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(217,446)</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Arial" w:cs="Arial" w:eastAsia="Arial" w:hAnsi="Arial"/>
                <w:sz w:val="15"/>
                <w:szCs w:val="15"/>
                <w:color w:val="auto"/>
              </w:rPr>
              <w:t>Issuance of Class A</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rPr>
              <w:t>Common Stock in</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rPr>
              <w:t>IPO, net of costs of</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140"/>
              <w:spacing w:after="0"/>
              <w:rPr>
                <w:sz w:val="20"/>
                <w:szCs w:val="20"/>
                <w:color w:val="auto"/>
              </w:rPr>
            </w:pPr>
            <w:r>
              <w:rPr>
                <w:rFonts w:ascii="Arial" w:cs="Arial" w:eastAsia="Arial" w:hAnsi="Arial"/>
                <w:sz w:val="15"/>
                <w:szCs w:val="15"/>
                <w:color w:val="auto"/>
              </w:rPr>
              <w:t>$11,394</w:t>
            </w:r>
          </w:p>
        </w:tc>
        <w:tc>
          <w:tcPr>
            <w:tcW w:w="8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17,888,888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18</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441,400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441,418</w:t>
            </w: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spacing w:after="0"/>
              <w:rPr>
                <w:sz w:val="20"/>
                <w:szCs w:val="20"/>
                <w:color w:val="auto"/>
              </w:rPr>
            </w:pPr>
            <w:r>
              <w:rPr>
                <w:rFonts w:ascii="Arial" w:cs="Arial" w:eastAsia="Arial" w:hAnsi="Arial"/>
                <w:sz w:val="15"/>
                <w:szCs w:val="15"/>
                <w:color w:val="auto"/>
              </w:rPr>
              <w:t>Repurchase of</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Definitive Healthcare</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Corp. shares in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connection with the</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IPO</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6"/>
              </w:rPr>
              <w:t>(2,497,288)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(63,209)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(63,212)</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Arial" w:cs="Arial" w:eastAsia="Arial" w:hAnsi="Arial"/>
                <w:sz w:val="15"/>
                <w:szCs w:val="15"/>
                <w:color w:val="auto"/>
              </w:rPr>
              <w:t>Repurchase of</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w w:val="99"/>
              </w:rPr>
              <w:t>Definitive OpCo units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rPr>
              <w:t>in connection with</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140"/>
              <w:spacing w:after="0"/>
              <w:rPr>
                <w:sz w:val="20"/>
                <w:szCs w:val="20"/>
                <w:color w:val="auto"/>
              </w:rPr>
            </w:pPr>
            <w:r>
              <w:rPr>
                <w:rFonts w:ascii="Arial" w:cs="Arial" w:eastAsia="Arial" w:hAnsi="Arial"/>
                <w:sz w:val="15"/>
                <w:szCs w:val="15"/>
                <w:color w:val="auto"/>
              </w:rPr>
              <w:t>IPO</w:t>
            </w:r>
          </w:p>
        </w:tc>
        <w:tc>
          <w:tcPr>
            <w:tcW w:w="8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w w:val="99"/>
              </w:rPr>
              <w:t>(1,169,378)</w:t>
            </w: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5"/>
                <w:szCs w:val="15"/>
                <w:color w:val="auto"/>
              </w:rPr>
              <w:t>(29,600)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(29,600)</w:t>
            </w: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spacing w:after="0"/>
              <w:rPr>
                <w:sz w:val="20"/>
                <w:szCs w:val="20"/>
                <w:color w:val="auto"/>
              </w:rPr>
            </w:pPr>
            <w:r>
              <w:rPr>
                <w:rFonts w:ascii="Arial" w:cs="Arial" w:eastAsia="Arial" w:hAnsi="Arial"/>
                <w:sz w:val="15"/>
                <w:szCs w:val="15"/>
                <w:color w:val="auto"/>
              </w:rPr>
              <w:t>Net loss subsequent to</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Reorganization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Transactions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65"/>
              <w:spacing w:after="0"/>
              <w:rPr>
                <w:sz w:val="20"/>
                <w:szCs w:val="20"/>
                <w:color w:val="auto"/>
              </w:rPr>
            </w:pPr>
            <w:r>
              <w:rPr>
                <w:rFonts w:ascii="Arial" w:cs="Arial" w:eastAsia="Arial" w:hAnsi="Arial"/>
                <w:sz w:val="15"/>
                <w:szCs w:val="15"/>
                <w:color w:val="auto"/>
                <w:w w:val="96"/>
              </w:rPr>
              <w:t>(7,978)</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(5,172)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(13,150)</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Arial" w:cs="Arial" w:eastAsia="Arial" w:hAnsi="Arial"/>
                <w:sz w:val="15"/>
                <w:szCs w:val="15"/>
                <w:color w:val="auto"/>
              </w:rPr>
              <w:t>Other comprehensive</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w w:val="95"/>
              </w:rPr>
              <w:t>income subsequent to</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tcPr>
          <w:p>
            <w:pPr>
              <w:ind w:left="140"/>
              <w:spacing w:after="0"/>
              <w:rPr>
                <w:sz w:val="20"/>
                <w:szCs w:val="20"/>
                <w:color w:val="auto"/>
              </w:rPr>
            </w:pPr>
            <w:r>
              <w:rPr>
                <w:rFonts w:ascii="Arial" w:cs="Arial" w:eastAsia="Arial" w:hAnsi="Arial"/>
                <w:sz w:val="15"/>
                <w:szCs w:val="15"/>
                <w:color w:val="auto"/>
              </w:rPr>
              <w:t>Reorganization</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140"/>
              <w:spacing w:after="0"/>
              <w:rPr>
                <w:sz w:val="20"/>
                <w:szCs w:val="20"/>
                <w:color w:val="auto"/>
              </w:rPr>
            </w:pPr>
            <w:r>
              <w:rPr>
                <w:rFonts w:ascii="Arial" w:cs="Arial" w:eastAsia="Arial" w:hAnsi="Arial"/>
                <w:sz w:val="15"/>
                <w:szCs w:val="15"/>
                <w:color w:val="auto"/>
                <w:w w:val="96"/>
              </w:rPr>
              <w:t>Transactions and IPO</w:t>
            </w:r>
          </w:p>
        </w:tc>
        <w:tc>
          <w:tcPr>
            <w:tcW w:w="8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780" w:type="dxa"/>
            <w:vAlign w:val="bottom"/>
            <w:gridSpan w:val="2"/>
          </w:tcPr>
          <w:p>
            <w:pPr>
              <w:ind w:left="580"/>
              <w:spacing w:after="0"/>
              <w:rPr>
                <w:sz w:val="20"/>
                <w:szCs w:val="20"/>
                <w:color w:val="auto"/>
              </w:rPr>
            </w:pPr>
            <w:r>
              <w:rPr>
                <w:rFonts w:ascii="Arial" w:cs="Arial" w:eastAsia="Arial" w:hAnsi="Arial"/>
                <w:sz w:val="15"/>
                <w:szCs w:val="15"/>
                <w:color w:val="auto"/>
              </w:rPr>
              <w:t>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spacing w:after="0"/>
              <w:rPr>
                <w:sz w:val="20"/>
                <w:szCs w:val="20"/>
                <w:color w:val="auto"/>
              </w:rPr>
            </w:pPr>
            <w:r>
              <w:rPr>
                <w:rFonts w:ascii="Arial" w:cs="Arial" w:eastAsia="Arial" w:hAnsi="Arial"/>
                <w:sz w:val="15"/>
                <w:szCs w:val="15"/>
                <w:color w:val="auto"/>
              </w:rPr>
              <w:t>Equity-based</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subsequent to</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Reorganization</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Transactions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1,574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2,595</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Arial" w:cs="Arial" w:eastAsia="Arial" w:hAnsi="Arial"/>
                <w:sz w:val="15"/>
                <w:szCs w:val="15"/>
                <w:color w:val="auto"/>
              </w:rPr>
              <w:t>Forfeited unvested</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140"/>
              <w:spacing w:after="0"/>
              <w:rPr>
                <w:sz w:val="20"/>
                <w:szCs w:val="20"/>
                <w:color w:val="auto"/>
              </w:rPr>
            </w:pPr>
            <w:r>
              <w:rPr>
                <w:rFonts w:ascii="Arial" w:cs="Arial" w:eastAsia="Arial" w:hAnsi="Arial"/>
                <w:sz w:val="15"/>
                <w:szCs w:val="15"/>
                <w:color w:val="auto"/>
              </w:rPr>
              <w:t>incentive units</w:t>
            </w:r>
          </w:p>
        </w:tc>
        <w:tc>
          <w:tcPr>
            <w:tcW w:w="8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(72,149)</w:t>
            </w: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1560" w:type="dxa"/>
            <w:vAlign w:val="bottom"/>
            <w:shd w:val="clear" w:color="auto" w:fill="CCEEFF"/>
          </w:tcPr>
          <w:p>
            <w:pPr>
              <w:spacing w:after="0"/>
              <w:rPr>
                <w:sz w:val="20"/>
                <w:szCs w:val="20"/>
                <w:color w:val="auto"/>
              </w:rPr>
            </w:pPr>
            <w:r>
              <w:rPr>
                <w:rFonts w:ascii="Arial" w:cs="Arial" w:eastAsia="Arial" w:hAnsi="Arial"/>
                <w:sz w:val="15"/>
                <w:szCs w:val="15"/>
                <w:color w:val="auto"/>
              </w:rPr>
              <w:t>Vested incentive units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(467)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5"/>
                <w:szCs w:val="15"/>
                <w:color w:val="auto"/>
                <w:w w:val="87"/>
              </w:rPr>
              <w:t>467</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1560" w:type="dxa"/>
            <w:vAlign w:val="bottom"/>
          </w:tcPr>
          <w:p>
            <w:pPr>
              <w:spacing w:after="0"/>
              <w:rPr>
                <w:sz w:val="20"/>
                <w:szCs w:val="20"/>
                <w:color w:val="auto"/>
              </w:rPr>
            </w:pPr>
            <w:r>
              <w:rPr>
                <w:rFonts w:ascii="Arial" w:cs="Arial" w:eastAsia="Arial" w:hAnsi="Arial"/>
                <w:sz w:val="15"/>
                <w:szCs w:val="15"/>
                <w:b w:val="1"/>
                <w:bCs w:val="1"/>
                <w:color w:val="auto"/>
              </w:rPr>
              <w:t>Balance at</w:t>
            </w: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560" w:type="dxa"/>
            <w:vAlign w:val="bottom"/>
          </w:tcPr>
          <w:p>
            <w:pPr>
              <w:ind w:left="140"/>
              <w:spacing w:after="0"/>
              <w:rPr>
                <w:sz w:val="20"/>
                <w:szCs w:val="20"/>
                <w:color w:val="auto"/>
              </w:rPr>
            </w:pPr>
            <w:r>
              <w:rPr>
                <w:rFonts w:ascii="Arial" w:cs="Arial" w:eastAsia="Arial" w:hAnsi="Arial"/>
                <w:sz w:val="15"/>
                <w:szCs w:val="15"/>
                <w:b w:val="1"/>
                <w:bCs w:val="1"/>
                <w:color w:val="auto"/>
                <w:w w:val="99"/>
              </w:rPr>
              <w:t>September 30, 2021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88,263,333</w:t>
            </w:r>
          </w:p>
        </w:tc>
        <w:tc>
          <w:tcPr>
            <w:tcW w:w="2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88</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3"/>
              </w:rPr>
              <w:t>60,020,525</w:t>
            </w:r>
          </w:p>
        </w:tc>
        <w:tc>
          <w:tcPr>
            <w:tcW w:w="16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$ 700,773</w:t>
            </w:r>
          </w:p>
        </w:tc>
        <w:tc>
          <w:tcPr>
            <w:tcW w:w="12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center"/>
              <w:ind w:left="65"/>
              <w:spacing w:after="0"/>
              <w:rPr>
                <w:sz w:val="20"/>
                <w:szCs w:val="20"/>
                <w:color w:val="auto"/>
              </w:rPr>
            </w:pPr>
            <w:r>
              <w:rPr>
                <w:rFonts w:ascii="Arial" w:cs="Arial" w:eastAsia="Arial" w:hAnsi="Arial"/>
                <w:sz w:val="15"/>
                <w:szCs w:val="15"/>
                <w:color w:val="auto"/>
                <w:w w:val="96"/>
              </w:rPr>
              <w:t>(7,978)</w:t>
            </w:r>
          </w:p>
        </w:tc>
        <w:tc>
          <w:tcPr>
            <w:tcW w:w="180" w:type="dxa"/>
            <w:vAlign w:val="bottom"/>
          </w:tcPr>
          <w:p>
            <w:pPr>
              <w:jc w:val="right"/>
              <w:ind w:right="32"/>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580"/>
              <w:spacing w:after="0"/>
              <w:rPr>
                <w:sz w:val="20"/>
                <w:szCs w:val="20"/>
                <w:color w:val="auto"/>
              </w:rPr>
            </w:pPr>
            <w:r>
              <w:rPr>
                <w:rFonts w:ascii="Arial" w:cs="Arial" w:eastAsia="Arial" w:hAnsi="Arial"/>
                <w:sz w:val="15"/>
                <w:szCs w:val="15"/>
                <w:color w:val="auto"/>
              </w:rPr>
              <w:t>24</w:t>
            </w:r>
          </w:p>
        </w:tc>
        <w:tc>
          <w:tcPr>
            <w:tcW w:w="2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590,177</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w w:val="87"/>
              </w:rPr>
              <w:t>$</w:t>
            </w:r>
            <w:r>
              <w:rPr>
                <w:rFonts w:ascii="Arial" w:cs="Arial" w:eastAsia="Arial" w:hAnsi="Arial"/>
                <w:sz w:val="15"/>
                <w:szCs w:val="15"/>
                <w:color w:val="auto"/>
                <w:w w:val="87"/>
              </w:rPr>
              <w:t>1,283,084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0800"/>
          </w:cols>
          <w:pgMar w:left="320" w:top="466" w:right="779" w:bottom="1440" w:gutter="0" w:footer="0" w:header="0"/>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CHANGES IN MEMBERS’ EQUITY (CONTINUED)</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 except number of shares)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9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Members’</w:t>
            </w:r>
          </w:p>
        </w:tc>
      </w:tr>
      <w:tr>
        <w:trPr>
          <w:trHeight w:val="160"/>
        </w:trPr>
        <w:tc>
          <w:tcPr>
            <w:tcW w:w="9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Equity</w:t>
            </w:r>
          </w:p>
        </w:tc>
      </w:tr>
      <w:tr>
        <w:trPr>
          <w:trHeight w:val="195"/>
        </w:trPr>
        <w:tc>
          <w:tcPr>
            <w:tcW w:w="94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December 31, 2019</w:t>
            </w:r>
          </w:p>
        </w:tc>
        <w:tc>
          <w:tcPr>
            <w:tcW w:w="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$ 1,216,240</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9400" w:type="dxa"/>
            <w:vAlign w:val="bottom"/>
          </w:tcPr>
          <w:p>
            <w:pPr>
              <w:spacing w:after="0"/>
              <w:rPr>
                <w:sz w:val="20"/>
                <w:szCs w:val="20"/>
                <w:color w:val="auto"/>
              </w:rPr>
            </w:pPr>
            <w:r>
              <w:rPr>
                <w:rFonts w:ascii="Arial" w:cs="Arial" w:eastAsia="Arial" w:hAnsi="Arial"/>
                <w:sz w:val="17"/>
                <w:szCs w:val="17"/>
                <w:color w:val="auto"/>
              </w:rPr>
              <w:t>Net loss</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(13,835)</w:t>
            </w:r>
          </w:p>
        </w:tc>
      </w:tr>
      <w:tr>
        <w:trPr>
          <w:trHeight w:val="203"/>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20" w:type="dxa"/>
            <w:vAlign w:val="bottom"/>
            <w:shd w:val="clear" w:color="auto" w:fill="CCEEFF"/>
          </w:tcPr>
          <w:p>
            <w:pPr>
              <w:spacing w:after="0"/>
              <w:rPr>
                <w:sz w:val="17"/>
                <w:szCs w:val="17"/>
                <w:color w:val="auto"/>
              </w:rPr>
            </w:pPr>
          </w:p>
        </w:tc>
      </w:tr>
      <w:tr>
        <w:trPr>
          <w:trHeight w:val="208"/>
        </w:trPr>
        <w:tc>
          <w:tcPr>
            <w:tcW w:w="9400" w:type="dxa"/>
            <w:vAlign w:val="bottom"/>
          </w:tcPr>
          <w:p>
            <w:pPr>
              <w:spacing w:after="0"/>
              <w:rPr>
                <w:sz w:val="20"/>
                <w:szCs w:val="20"/>
                <w:color w:val="auto"/>
              </w:rPr>
            </w:pPr>
            <w:r>
              <w:rPr>
                <w:rFonts w:ascii="Arial" w:cs="Arial" w:eastAsia="Arial" w:hAnsi="Arial"/>
                <w:sz w:val="17"/>
                <w:szCs w:val="17"/>
                <w:color w:val="auto"/>
              </w:rPr>
              <w:t>Balance at March 31, 2020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89"/>
              </w:rPr>
              <w:t>$ 1,202,835</w:t>
            </w:r>
          </w:p>
        </w:tc>
        <w:tc>
          <w:tcPr>
            <w:tcW w:w="12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9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94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(11,498)</w:t>
            </w:r>
          </w:p>
        </w:tc>
      </w:tr>
      <w:tr>
        <w:trPr>
          <w:trHeight w:val="203"/>
        </w:trPr>
        <w:tc>
          <w:tcPr>
            <w:tcW w:w="9400" w:type="dxa"/>
            <w:vAlign w:val="bottom"/>
          </w:tcPr>
          <w:p>
            <w:pPr>
              <w:spacing w:after="0"/>
              <w:rPr>
                <w:sz w:val="20"/>
                <w:szCs w:val="20"/>
                <w:color w:val="auto"/>
              </w:rPr>
            </w:pPr>
            <w:r>
              <w:rPr>
                <w:rFonts w:ascii="Arial" w:cs="Arial" w:eastAsia="Arial" w:hAnsi="Arial"/>
                <w:sz w:val="17"/>
                <w:szCs w:val="17"/>
                <w:color w:val="auto"/>
              </w:rPr>
              <w:t>Distributions to members</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(48)</w:t>
            </w:r>
          </w:p>
        </w:tc>
      </w:tr>
      <w:tr>
        <w:trPr>
          <w:trHeight w:val="203"/>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20" w:type="dxa"/>
            <w:vAlign w:val="bottom"/>
            <w:shd w:val="clear" w:color="auto" w:fill="CCEEFF"/>
          </w:tcPr>
          <w:p>
            <w:pPr>
              <w:spacing w:after="0"/>
              <w:rPr>
                <w:sz w:val="17"/>
                <w:szCs w:val="17"/>
                <w:color w:val="auto"/>
              </w:rPr>
            </w:pPr>
          </w:p>
        </w:tc>
      </w:tr>
      <w:tr>
        <w:trPr>
          <w:trHeight w:val="208"/>
        </w:trPr>
        <w:tc>
          <w:tcPr>
            <w:tcW w:w="9400" w:type="dxa"/>
            <w:vAlign w:val="bottom"/>
          </w:tcPr>
          <w:p>
            <w:pPr>
              <w:spacing w:after="0"/>
              <w:rPr>
                <w:sz w:val="20"/>
                <w:szCs w:val="20"/>
                <w:color w:val="auto"/>
              </w:rPr>
            </w:pPr>
            <w:r>
              <w:rPr>
                <w:rFonts w:ascii="Arial" w:cs="Arial" w:eastAsia="Arial" w:hAnsi="Arial"/>
                <w:sz w:val="17"/>
                <w:szCs w:val="17"/>
                <w:color w:val="auto"/>
              </w:rPr>
              <w:t>Balance at June 30, 2020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89"/>
              </w:rPr>
              <w:t>$ 1,191,731</w:t>
            </w:r>
          </w:p>
        </w:tc>
        <w:tc>
          <w:tcPr>
            <w:tcW w:w="12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9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94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(9,962)</w:t>
            </w:r>
          </w:p>
        </w:tc>
      </w:tr>
      <w:tr>
        <w:trPr>
          <w:trHeight w:val="203"/>
        </w:trPr>
        <w:tc>
          <w:tcPr>
            <w:tcW w:w="9400" w:type="dxa"/>
            <w:vAlign w:val="bottom"/>
          </w:tcPr>
          <w:p>
            <w:pPr>
              <w:spacing w:after="0"/>
              <w:rPr>
                <w:sz w:val="20"/>
                <w:szCs w:val="20"/>
                <w:color w:val="auto"/>
              </w:rPr>
            </w:pPr>
            <w:r>
              <w:rPr>
                <w:rFonts w:ascii="Arial" w:cs="Arial" w:eastAsia="Arial" w:hAnsi="Arial"/>
                <w:sz w:val="17"/>
                <w:szCs w:val="17"/>
                <w:color w:val="auto"/>
              </w:rPr>
              <w:t>Distributions to members</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(2,059)</w:t>
            </w:r>
          </w:p>
        </w:tc>
      </w:tr>
      <w:tr>
        <w:trPr>
          <w:trHeight w:val="203"/>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120" w:type="dxa"/>
            <w:vAlign w:val="bottom"/>
            <w:shd w:val="clear" w:color="auto" w:fill="CCEEFF"/>
          </w:tcPr>
          <w:p>
            <w:pPr>
              <w:spacing w:after="0"/>
              <w:rPr>
                <w:sz w:val="17"/>
                <w:szCs w:val="17"/>
                <w:color w:val="auto"/>
              </w:rPr>
            </w:pPr>
          </w:p>
        </w:tc>
      </w:tr>
      <w:tr>
        <w:trPr>
          <w:trHeight w:val="208"/>
        </w:trPr>
        <w:tc>
          <w:tcPr>
            <w:tcW w:w="9400" w:type="dxa"/>
            <w:vAlign w:val="bottom"/>
          </w:tcPr>
          <w:p>
            <w:pPr>
              <w:spacing w:after="0"/>
              <w:rPr>
                <w:sz w:val="20"/>
                <w:szCs w:val="20"/>
                <w:color w:val="auto"/>
              </w:rPr>
            </w:pPr>
            <w:r>
              <w:rPr>
                <w:rFonts w:ascii="Arial" w:cs="Arial" w:eastAsia="Arial" w:hAnsi="Arial"/>
                <w:sz w:val="17"/>
                <w:szCs w:val="17"/>
                <w:color w:val="auto"/>
              </w:rPr>
              <w:t>Balance at September 30, 2020</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$ 1,180,168</w:t>
            </w:r>
          </w:p>
        </w:tc>
        <w:tc>
          <w:tcPr>
            <w:tcW w:w="12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0800"/>
          </w:cols>
          <w:pgMar w:left="320" w:top="466" w:right="77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(amounts in thousands)</w:t>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auto"/>
        </w:rPr>
        <w:t>(Unaudited)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7"/>
              </w:rPr>
              <w:t>Nine Months Ended September 30,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6"/>
              <w:spacing w:after="0" w:line="145" w:lineRule="exact"/>
              <w:rPr>
                <w:sz w:val="20"/>
                <w:szCs w:val="20"/>
                <w:color w:val="auto"/>
              </w:rPr>
            </w:pPr>
            <w:r>
              <w:rPr>
                <w:rFonts w:ascii="Arial" w:cs="Arial" w:eastAsia="Arial" w:hAnsi="Arial"/>
                <w:sz w:val="13"/>
                <w:szCs w:val="13"/>
                <w:b w:val="1"/>
                <w:bCs w:val="1"/>
                <w:color w:val="auto"/>
              </w:rPr>
              <w:t>2021</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5"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provided by operating activities:</w:t>
            </w: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(46,493)</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(35,295)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(used in) operating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Depreciation and amortization</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1,193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Amortization of intangible assets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43,517</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Amortization of deferred contract costs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3,195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Equity-based compensation</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4,338</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Noncash paid in kind interest expense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Amortization of debt issuance costs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1,522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Provision for doubtful accounts receivable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76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Loss on extinguishment of debt</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9,843</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Changes in fair value of contingent consideration</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3,169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Accounts receivable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5,179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Prepaid expenses and other current assets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Deferred contract costs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(9,043)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payable, accrued expenses and other current liabilities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(3,965)</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660"/>
              <w:spacing w:after="0"/>
              <w:rPr>
                <w:sz w:val="20"/>
                <w:szCs w:val="20"/>
                <w:color w:val="auto"/>
              </w:rPr>
            </w:pPr>
            <w:r>
              <w:rPr>
                <w:rFonts w:ascii="Arial" w:cs="Arial" w:eastAsia="Arial" w:hAnsi="Arial"/>
                <w:sz w:val="17"/>
                <w:szCs w:val="17"/>
                <w:color w:val="auto"/>
              </w:rPr>
              <w:t>Deferred revenue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9,023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1,392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20,993</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14,544</w:t>
            </w:r>
          </w:p>
        </w:tc>
        <w:tc>
          <w:tcPr>
            <w:tcW w:w="0" w:type="dxa"/>
            <w:vAlign w:val="bottom"/>
          </w:tcPr>
          <w:p>
            <w:pPr>
              <w:spacing w:after="0"/>
              <w:rPr>
                <w:sz w:val="1"/>
                <w:szCs w:val="1"/>
                <w:color w:val="auto"/>
              </w:rPr>
            </w:pPr>
          </w:p>
        </w:tc>
      </w:tr>
      <w:tr>
        <w:trPr>
          <w:trHeight w:val="208"/>
        </w:trPr>
        <w:tc>
          <w:tcPr>
            <w:tcW w:w="6780" w:type="dxa"/>
            <w:vAlign w:val="bottom"/>
            <w:gridSpan w:val="2"/>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Purchases of property, equipment, and other assets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(5,662)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Cash paid for acquisitions, net of cash acquired</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(6,935)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(5,662)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(7,996)</w:t>
            </w:r>
          </w:p>
        </w:tc>
        <w:tc>
          <w:tcPr>
            <w:tcW w:w="0" w:type="dxa"/>
            <w:vAlign w:val="bottom"/>
          </w:tcPr>
          <w:p>
            <w:pPr>
              <w:spacing w:after="0"/>
              <w:rPr>
                <w:sz w:val="1"/>
                <w:szCs w:val="1"/>
                <w:color w:val="auto"/>
              </w:rPr>
            </w:pPr>
          </w:p>
        </w:tc>
      </w:tr>
      <w:tr>
        <w:trPr>
          <w:trHeight w:val="208"/>
        </w:trPr>
        <w:tc>
          <w:tcPr>
            <w:tcW w:w="6780" w:type="dxa"/>
            <w:vAlign w:val="bottom"/>
            <w:gridSpan w:val="2"/>
          </w:tcPr>
          <w:p>
            <w:pPr>
              <w:spacing w:after="0"/>
              <w:rPr>
                <w:sz w:val="20"/>
                <w:szCs w:val="20"/>
                <w:color w:val="auto"/>
              </w:rPr>
            </w:pPr>
            <w:r>
              <w:rPr>
                <w:rFonts w:ascii="Arial" w:cs="Arial" w:eastAsia="Arial" w:hAnsi="Arial"/>
                <w:sz w:val="17"/>
                <w:szCs w:val="17"/>
                <w:b w:val="1"/>
                <w:bCs w:val="1"/>
                <w:color w:val="auto"/>
              </w:rPr>
              <w:t>Cash flows provided by (used in) financing activities:</w:t>
            </w:r>
          </w:p>
        </w:tc>
        <w:tc>
          <w:tcPr>
            <w:tcW w:w="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term loan</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275,000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Repayments of term loans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(472,742)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revolving credit facility</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Payment of contingent consideration</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(1,500)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 of debt issuance costs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(3,511)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Proceeds from equity offering, net of underwriting discounts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452,812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Repurchase of outstanding equity / Definitive OpCo units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(92,812)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Payments of IPO issuance costs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(5,913)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 contributions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5,500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Member distributions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(7,139)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(2,109)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149,695</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19,516</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Net increase in cash and cash equivalents</w:t>
            </w: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165,026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26,064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(48)</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Cash and cash equivalents, beginning of period</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24,774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8,618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end of period</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189,752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34,682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cash flow disclosures:</w:t>
            </w: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8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paid for interest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27,587</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Cash paid for income taxes</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13</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investing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Net decrease in accrued capital expenditures, including purchases of data</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(3,020)</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financing activities: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7"/>
                <w:szCs w:val="17"/>
                <w:color w:val="auto"/>
              </w:rPr>
              <w:t>Increase in unpaid public offering costs</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5,481</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0800"/>
          </w:cols>
          <w:pgMar w:left="320" w:top="466" w:right="77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DEFINITIVE HEALTHCARE CORP.</w:t>
      </w:r>
    </w:p>
    <w:p>
      <w:pPr>
        <w:spacing w:after="0" w:line="210"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39" w:lineRule="exact"/>
        <w:rPr>
          <w:sz w:val="20"/>
          <w:szCs w:val="20"/>
          <w:color w:val="auto"/>
        </w:rPr>
      </w:pPr>
    </w:p>
    <w:p>
      <w:pPr>
        <w:ind w:left="860" w:hanging="403"/>
        <w:spacing w:after="0"/>
        <w:tabs>
          <w:tab w:leader="none" w:pos="860"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Description of Business</w:t>
      </w:r>
    </w:p>
    <w:p>
      <w:pPr>
        <w:spacing w:after="0" w:line="108" w:lineRule="exact"/>
        <w:rPr>
          <w:sz w:val="20"/>
          <w:szCs w:val="20"/>
          <w:color w:val="auto"/>
        </w:rPr>
      </w:pPr>
    </w:p>
    <w:p>
      <w:pPr>
        <w:ind w:left="460" w:right="80" w:firstLine="413"/>
        <w:spacing w:after="0" w:line="253" w:lineRule="auto"/>
        <w:rPr>
          <w:sz w:val="20"/>
          <w:szCs w:val="20"/>
          <w:color w:val="auto"/>
        </w:rPr>
      </w:pPr>
      <w:r>
        <w:rPr>
          <w:rFonts w:ascii="Arial" w:cs="Arial" w:eastAsia="Arial" w:hAnsi="Arial"/>
          <w:sz w:val="17"/>
          <w:szCs w:val="17"/>
          <w:color w:val="auto"/>
        </w:rPr>
        <w:t>Definitive Healthcare Corp. (together with its subsidiaries, “Definitive Healthcare” or the “Company”), through its operating subsidiary, AIDH TopCo, LLC (“Definitive OpCo”), provides comprehensive and up-to-date hospital and healthcare-related information and insight across the entire healthcare continuum via a multi-tenant database platform which combines proprietary and public sources to deliver insights. Unless otherwise stated, references to “we,” “us,” “our,” “Definitive Healthcare” and the “Company” refer (1) prior to the consummation of the Reorganization Transactions (as defined below), to Definitive OpCo and its consolidated subsidiaries, and (2) after the consummation of the Reorganization Transactions, to Definitive Healthcare Corp. and its consolidated subsidiaries.</w:t>
      </w:r>
    </w:p>
    <w:p>
      <w:pPr>
        <w:spacing w:after="0" w:line="182"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 xml:space="preserve">On October 27, 2020, Definitive OpCo completed the purchase of all of the outstanding shares of Monocl Holding Company (“Monocl”), a cloud-based platform with millions of expert profiles.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Organization</w:t>
      </w:r>
    </w:p>
    <w:p>
      <w:pPr>
        <w:spacing w:after="0" w:line="108" w:lineRule="exact"/>
        <w:rPr>
          <w:sz w:val="20"/>
          <w:szCs w:val="20"/>
          <w:color w:val="auto"/>
        </w:rPr>
      </w:pPr>
    </w:p>
    <w:p>
      <w:pPr>
        <w:ind w:left="460" w:right="500" w:firstLine="413"/>
        <w:spacing w:after="0" w:line="284" w:lineRule="auto"/>
        <w:rPr>
          <w:sz w:val="20"/>
          <w:szCs w:val="20"/>
          <w:color w:val="auto"/>
        </w:rPr>
      </w:pPr>
      <w:r>
        <w:rPr>
          <w:rFonts w:ascii="Arial" w:cs="Arial" w:eastAsia="Arial" w:hAnsi="Arial"/>
          <w:sz w:val="16"/>
          <w:szCs w:val="16"/>
          <w:color w:val="auto"/>
        </w:rPr>
        <w:t>Definitive Healthcare Corp. was formed on May 5, 2021 as a Delaware corporation for the purposes of facilitating an initial public offering (“IPO”) and other related transactions in order to carry on the business of Definitive OpCo, a Delaware limited liability company. Following consummation of the Reorganization Transactions, Definitive OpCo became an indirect subsidiary of Definitive Healthcare Corp.</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is headquartered in Framingham, MA, with three other offices in the United States and one in Sweden.</w:t>
      </w:r>
    </w:p>
    <w:p>
      <w:pPr>
        <w:spacing w:after="0" w:line="31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0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6"/>
          <w:szCs w:val="16"/>
          <w:color w:val="auto"/>
        </w:rPr>
        <w:t>On September 17, 2021, Definitive Healthcare completed its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 excluding other offering expenses and reimbursements). Definitive Healthcare used proceeds from the IPO to (i) acquire 14,222,222 newly issued limited liability company interests (“LLC Units”) from Definitive OpCo; (ii) purchase 1,169,378 LLC Units from certain holders of LLC Units prior to the IPO; and (iii) repurchase 2,497,288 shares of Class A Common Stock received by the former shareholders of certain Blocker Companies (as defined below).</w:t>
      </w:r>
    </w:p>
    <w:p>
      <w:pPr>
        <w:spacing w:after="0" w:line="26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Reorganization Transactions</w:t>
      </w:r>
    </w:p>
    <w:p>
      <w:pPr>
        <w:spacing w:after="0" w:line="108" w:lineRule="exact"/>
        <w:rPr>
          <w:sz w:val="20"/>
          <w:szCs w:val="20"/>
          <w:color w:val="auto"/>
        </w:rPr>
      </w:pPr>
    </w:p>
    <w:p>
      <w:pPr>
        <w:ind w:left="460" w:firstLine="413"/>
        <w:spacing w:after="0" w:line="284" w:lineRule="auto"/>
        <w:rPr>
          <w:sz w:val="20"/>
          <w:szCs w:val="20"/>
          <w:color w:val="auto"/>
        </w:rPr>
      </w:pPr>
      <w:r>
        <w:rPr>
          <w:rFonts w:ascii="Arial" w:cs="Arial" w:eastAsia="Arial" w:hAnsi="Arial"/>
          <w:sz w:val="15"/>
          <w:szCs w:val="15"/>
          <w:color w:val="auto"/>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 to hold LLC Units, have the right to require Definitive OpCo to exchange all or a portion of their LLC Units for newly issued shares of Class A Common Stock. Entities treated as corporations for U.S. tax purposes that hold LLC Units (individually, a “Blocker Company” and collectively, the “Blocker Companies”) each merged with a merger subsidiary and subsequently merged into Definitive Healthcare Corp. Except for AIDH Management Holdings, LLC, members of AIDH Management Holdings, LLC, received a number of shares of Definitive Healthcare Corp.</w:t>
      </w:r>
    </w:p>
    <w:p>
      <w:pPr>
        <w:spacing w:after="0" w:line="3" w:lineRule="exact"/>
        <w:rPr>
          <w:sz w:val="20"/>
          <w:szCs w:val="20"/>
          <w:color w:val="auto"/>
        </w:rPr>
      </w:pPr>
    </w:p>
    <w:p>
      <w:pPr>
        <w:ind w:left="460" w:right="520"/>
        <w:spacing w:after="0" w:line="257" w:lineRule="auto"/>
        <w:rPr>
          <w:sz w:val="20"/>
          <w:szCs w:val="20"/>
          <w:color w:val="auto"/>
        </w:rPr>
      </w:pPr>
      <w:r>
        <w:rPr>
          <w:rFonts w:ascii="Arial" w:cs="Arial" w:eastAsia="Arial" w:hAnsi="Arial"/>
          <w:sz w:val="17"/>
          <w:szCs w:val="17"/>
          <w:color w:val="auto"/>
        </w:rPr>
        <w:t>Class B Common Stock with no par value per share. The total shares of Class B Common Stock outstanding is equal to the number of LLC Units outstanding. AIDH Management Holdings, LLC is a special</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0780"/>
          </w:cols>
          <w:pgMar w:left="320" w:top="465" w:right="79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60" w:lineRule="auto"/>
        <w:rPr>
          <w:sz w:val="20"/>
          <w:szCs w:val="20"/>
          <w:color w:val="auto"/>
        </w:rPr>
      </w:pPr>
      <w:r>
        <w:rPr>
          <w:rFonts w:ascii="Arial" w:cs="Arial" w:eastAsia="Arial" w:hAnsi="Arial"/>
          <w:sz w:val="17"/>
          <w:szCs w:val="17"/>
          <w:color w:val="auto"/>
        </w:rPr>
        <w:t>purpose investment vehicle through which certain persons, primarily our employees and certain legacy investors, indirectly hold interests in Definitive OpCo; the holders of interests in AIDH Management Holdings, LLC received a number of shares of Definitive Healthcare Corp. Class B Common Stock.</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 connection with the Reorganization Transactions and the IPO, Definitive Healthcare Corp. entered into a tax receivable agreement. See Note</w:t>
      </w:r>
    </w:p>
    <w:p>
      <w:pPr>
        <w:spacing w:after="0" w:line="42" w:lineRule="exact"/>
        <w:rPr>
          <w:sz w:val="20"/>
          <w:szCs w:val="20"/>
          <w:color w:val="auto"/>
        </w:rPr>
      </w:pPr>
    </w:p>
    <w:p>
      <w:pPr>
        <w:ind w:left="720" w:hanging="263"/>
        <w:spacing w:after="0"/>
        <w:tabs>
          <w:tab w:leader="none" w:pos="720"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337" w:lineRule="exact"/>
        <w:rPr>
          <w:sz w:val="20"/>
          <w:szCs w:val="20"/>
          <w:color w:val="auto"/>
        </w:rPr>
      </w:pPr>
    </w:p>
    <w:p>
      <w:pPr>
        <w:ind w:left="880" w:right="6820" w:hanging="423"/>
        <w:spacing w:after="0" w:line="373" w:lineRule="auto"/>
        <w:tabs>
          <w:tab w:leader="none" w:pos="872"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Summary of Significant Accounting Policies Basis of Presentation</w:t>
      </w:r>
    </w:p>
    <w:p>
      <w:pPr>
        <w:ind w:left="460" w:right="20" w:firstLine="413"/>
        <w:spacing w:after="0" w:line="288"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(“GAAP”) and in conformity with rules applicable to quarterly financial information.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The condensed consolidated financial statements as of September 30, 2021 and for the nine months ended September 30, 2021 and 2020 are unaudited. Amounts for the period from January 1, 2020 through September 15, 2021 presented in the condensed consolidated financial statements and notes to the condensed consolidated financial statements herein represent the historical operations of Definitive OpCo. The amounts as of September 30, 2021 and for the period from September 16, 2021 reflect the consolidated operations of Definitive Healthcare Corp. and its consolidated subsidiaries.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159" w:lineRule="exact"/>
        <w:rPr>
          <w:sz w:val="20"/>
          <w:szCs w:val="20"/>
          <w:color w:val="auto"/>
        </w:rPr>
      </w:pPr>
    </w:p>
    <w:p>
      <w:pPr>
        <w:ind w:left="460" w:right="380" w:firstLine="413"/>
        <w:spacing w:after="0" w:line="284"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the Consolidated Financial Statements in the Company’s final prospectus dated September 14, 2021 filed with the Securities and Exchange Commission (“SEC”) pursuant to Rule 424(b) of the Securities Act of 1933, as amended, on September 16, 2021 (the “IPO Prospectus”) for the Company’s accounting policies and estimates.</w:t>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Adoption of Recently Issued Financial Accounting Standards</w:t>
      </w:r>
    </w:p>
    <w:p>
      <w:pPr>
        <w:spacing w:after="0" w:line="108" w:lineRule="exact"/>
        <w:rPr>
          <w:sz w:val="20"/>
          <w:szCs w:val="20"/>
          <w:color w:val="auto"/>
        </w:rPr>
      </w:pPr>
    </w:p>
    <w:p>
      <w:pPr>
        <w:ind w:left="460" w:firstLine="413"/>
        <w:spacing w:after="0" w:line="253" w:lineRule="auto"/>
        <w:rPr>
          <w:sz w:val="20"/>
          <w:szCs w:val="20"/>
          <w:color w:val="auto"/>
        </w:rPr>
      </w:pPr>
      <w:r>
        <w:rPr>
          <w:rFonts w:ascii="Arial" w:cs="Arial" w:eastAsia="Arial" w:hAnsi="Arial"/>
          <w:sz w:val="17"/>
          <w:szCs w:val="17"/>
          <w:color w:val="auto"/>
        </w:rPr>
        <w:t>In August 2018, the FASB issued ASU No. 2018-15—</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This standard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Company adopted the update effective January 1, 2021. The adoption did not have a material impact on the consolidated financial statements.</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Recently-Issued Accounting Pronouncements Not Yet Adopted</w:t>
      </w:r>
    </w:p>
    <w:p>
      <w:pPr>
        <w:spacing w:after="0" w:line="108" w:lineRule="exact"/>
        <w:rPr>
          <w:sz w:val="20"/>
          <w:szCs w:val="20"/>
          <w:color w:val="auto"/>
        </w:rPr>
      </w:pPr>
    </w:p>
    <w:p>
      <w:pPr>
        <w:ind w:left="460" w:right="60" w:firstLine="413"/>
        <w:spacing w:after="0" w:line="293" w:lineRule="auto"/>
        <w:rPr>
          <w:sz w:val="20"/>
          <w:szCs w:val="20"/>
          <w:color w:val="auto"/>
        </w:rPr>
      </w:pPr>
      <w:r>
        <w:rPr>
          <w:rFonts w:ascii="Arial" w:cs="Arial" w:eastAsia="Arial" w:hAnsi="Arial"/>
          <w:sz w:val="15"/>
          <w:szCs w:val="15"/>
          <w:color w:val="auto"/>
        </w:rPr>
        <w:t>In February 2016, the FASB issued ASU 2016-02—</w:t>
      </w:r>
      <w:r>
        <w:rPr>
          <w:rFonts w:ascii="Arial" w:cs="Arial" w:eastAsia="Arial" w:hAnsi="Arial"/>
          <w:sz w:val="15"/>
          <w:szCs w:val="15"/>
          <w:i w:val="1"/>
          <w:iCs w:val="1"/>
          <w:color w:val="auto"/>
        </w:rPr>
        <w:t>Leases</w:t>
      </w:r>
      <w:r>
        <w:rPr>
          <w:rFonts w:ascii="Arial" w:cs="Arial" w:eastAsia="Arial" w:hAnsi="Arial"/>
          <w:sz w:val="15"/>
          <w:szCs w:val="15"/>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FASB has subsequently issued supplemental and/or clarifying ASUs inclusive of ASU 2020-05, which updated the effective date for certain non-public companies to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0780"/>
          </w:cols>
          <w:pgMar w:left="320" w:top="466" w:right="79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20"/>
        <w:spacing w:after="0" w:line="284" w:lineRule="auto"/>
        <w:rPr>
          <w:sz w:val="20"/>
          <w:szCs w:val="20"/>
          <w:color w:val="auto"/>
        </w:rPr>
      </w:pPr>
      <w:r>
        <w:rPr>
          <w:rFonts w:ascii="Arial" w:cs="Arial" w:eastAsia="Arial" w:hAnsi="Arial"/>
          <w:sz w:val="16"/>
          <w:szCs w:val="16"/>
          <w:color w:val="auto"/>
        </w:rPr>
        <w:t>recording a cumulative effect adjustment as of the adoption date, with certain practical expedients available. The Company, as an Emerging Growth Company as defined by the Jumpstart Our Business Startups Act of 2012 (the “JOBS Act”), can elect to take the extended transition period and adopt the standard following guidance for non-public entities which are a part of the “all other” category.</w:t>
      </w:r>
    </w:p>
    <w:p>
      <w:pPr>
        <w:spacing w:after="0" w:line="157"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The Company will adopt ASU 2016-02 and all associated amendments on the first day of fiscal 2022 (January 1st, 2022) which includes, as allowed under ASU 2018-11, the ability to recognize a cumulative-effect adjustment through opening retained earnings as of the date of adoption. The Company will elect the package of practical expedients permitted under the transition guidance, which allows the Company to carryforward its historical assessments of: (1) whether contracts are or contain leases, (2) lease classification and (3) initial direct costs. The Company will not elect the hindsight practical expedient. The Company will elect to use the practical expedient that allows the combination of lease and non-lease contract components in all of its underlying asset categories. The Company will also elect a policy of not recording leases on its condensed consolidated balance sheets when the leases have a term of 12 months or less and the Company is not reasonably certain to elect an option to renew the leased asset. The Company is currently evaluating the impact the adoption of this standard will have on its consolidated financial statements.</w:t>
      </w:r>
    </w:p>
    <w:p>
      <w:pPr>
        <w:spacing w:after="0" w:line="156"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 </w:t>
      </w:r>
      <w:r>
        <w:rPr>
          <w:rFonts w:ascii="Arial" w:cs="Arial" w:eastAsia="Arial" w:hAnsi="Arial"/>
          <w:sz w:val="17"/>
          <w:szCs w:val="17"/>
          <w:i w:val="1"/>
          <w:iCs w:val="1"/>
          <w:color w:val="auto"/>
        </w:rPr>
        <w:t>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color w:val="auto"/>
        </w:rPr>
        <w:t>. This standard is intended to improve financial reporting by requiring earlier recognition of credit losses on financing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181" w:lineRule="exact"/>
        <w:rPr>
          <w:sz w:val="20"/>
          <w:szCs w:val="20"/>
          <w:color w:val="auto"/>
        </w:rPr>
      </w:pPr>
    </w:p>
    <w:p>
      <w:pPr>
        <w:ind w:left="460" w:right="120" w:firstLine="413"/>
        <w:spacing w:after="0" w:line="277" w:lineRule="auto"/>
        <w:rPr>
          <w:sz w:val="20"/>
          <w:szCs w:val="20"/>
          <w:color w:val="auto"/>
        </w:rPr>
      </w:pPr>
      <w:r>
        <w:rPr>
          <w:rFonts w:ascii="Arial" w:cs="Arial" w:eastAsia="Arial" w:hAnsi="Arial"/>
          <w:sz w:val="16"/>
          <w:szCs w:val="16"/>
          <w:color w:val="auto"/>
        </w:rPr>
        <w:t>In December 2019, the FASB issued ASU No. 2019-12—</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position or results of operation.</w:t>
      </w:r>
    </w:p>
    <w:p>
      <w:pPr>
        <w:spacing w:after="0" w:line="164" w:lineRule="exact"/>
        <w:rPr>
          <w:sz w:val="20"/>
          <w:szCs w:val="20"/>
          <w:color w:val="auto"/>
        </w:rPr>
      </w:pPr>
    </w:p>
    <w:p>
      <w:pPr>
        <w:ind w:left="460" w:right="40" w:firstLine="413"/>
        <w:spacing w:after="0" w:line="269"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its consolidated financial position or results of operations upon adoption.</w:t>
      </w:r>
    </w:p>
    <w:p>
      <w:pPr>
        <w:spacing w:after="0" w:line="310" w:lineRule="exact"/>
        <w:rPr>
          <w:sz w:val="20"/>
          <w:szCs w:val="20"/>
          <w:color w:val="auto"/>
        </w:rPr>
      </w:pPr>
    </w:p>
    <w:p>
      <w:pPr>
        <w:ind w:left="860" w:hanging="403"/>
        <w:spacing w:after="0"/>
        <w:tabs>
          <w:tab w:leader="none" w:pos="86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Business Combinations</w:t>
      </w:r>
    </w:p>
    <w:p>
      <w:pPr>
        <w:spacing w:after="0" w:line="108" w:lineRule="exact"/>
        <w:rPr>
          <w:sz w:val="20"/>
          <w:szCs w:val="20"/>
          <w:color w:val="auto"/>
        </w:rPr>
      </w:pPr>
    </w:p>
    <w:p>
      <w:pPr>
        <w:ind w:left="460" w:right="900" w:firstLine="413"/>
        <w:spacing w:after="0" w:line="272" w:lineRule="auto"/>
        <w:rPr>
          <w:sz w:val="20"/>
          <w:szCs w:val="20"/>
          <w:color w:val="auto"/>
        </w:rPr>
      </w:pPr>
      <w:r>
        <w:rPr>
          <w:rFonts w:ascii="Arial" w:cs="Arial" w:eastAsia="Arial" w:hAnsi="Arial"/>
          <w:sz w:val="17"/>
          <w:szCs w:val="17"/>
          <w:color w:val="auto"/>
        </w:rPr>
        <w:t>On October 27, 2020, the Company completed the purchase of all outstanding shares of Monocl for a total estimated consideration of $46.3 million, and up to $60 million, summarized as follows:</w:t>
      </w:r>
    </w:p>
    <w:p>
      <w:pPr>
        <w:spacing w:after="0" w:line="184" w:lineRule="exact"/>
        <w:rPr>
          <w:sz w:val="20"/>
          <w:szCs w:val="20"/>
          <w:color w:val="auto"/>
        </w:rPr>
      </w:pPr>
    </w:p>
    <w:tbl>
      <w:tblPr>
        <w:tblLayout w:type="fixed"/>
        <w:tblInd w:w="2120" w:type="dxa"/>
        <w:tblCellMar>
          <w:top w:w="0" w:type="dxa"/>
          <w:left w:w="0" w:type="dxa"/>
          <w:bottom w:w="0" w:type="dxa"/>
          <w:right w:w="0" w:type="dxa"/>
        </w:tblCellMar>
      </w:tblPr>
      <w:tr>
        <w:trPr>
          <w:trHeight w:val="158"/>
        </w:trPr>
        <w:tc>
          <w:tcPr>
            <w:tcW w:w="25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3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45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$ 18,307</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7"/>
                <w:szCs w:val="17"/>
                <w:color w:val="auto"/>
              </w:rPr>
              <w:t>Equity issuance</w:t>
            </w:r>
          </w:p>
        </w:tc>
        <w:tc>
          <w:tcPr>
            <w:tcW w:w="4500" w:type="dxa"/>
            <w:vAlign w:val="bottom"/>
            <w:gridSpan w:val="3"/>
          </w:tcPr>
          <w:p>
            <w:pPr>
              <w:jc w:val="right"/>
              <w:ind w:right="80"/>
              <w:spacing w:after="0"/>
              <w:rPr>
                <w:sz w:val="20"/>
                <w:szCs w:val="20"/>
                <w:color w:val="auto"/>
              </w:rPr>
            </w:pPr>
            <w:r>
              <w:rPr>
                <w:rFonts w:ascii="Arial" w:cs="Arial" w:eastAsia="Arial" w:hAnsi="Arial"/>
                <w:sz w:val="17"/>
                <w:szCs w:val="17"/>
                <w:color w:val="auto"/>
              </w:rPr>
              <w:t>25,439</w:t>
            </w: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38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2,600</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340"/>
              <w:spacing w:after="0"/>
              <w:rPr>
                <w:sz w:val="20"/>
                <w:szCs w:val="20"/>
                <w:color w:val="auto"/>
              </w:rPr>
            </w:pPr>
            <w:r>
              <w:rPr>
                <w:rFonts w:ascii="Arial" w:cs="Arial" w:eastAsia="Arial" w:hAnsi="Arial"/>
                <w:sz w:val="17"/>
                <w:szCs w:val="17"/>
                <w:color w:val="auto"/>
              </w:rPr>
              <w:t>Purchase price</w:t>
            </w:r>
          </w:p>
        </w:tc>
        <w:tc>
          <w:tcPr>
            <w:tcW w:w="3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520" w:type="dxa"/>
            <w:vAlign w:val="bottom"/>
            <w:vMerge w:val="continue"/>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$ 46,346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520" w:type="dxa"/>
            <w:vAlign w:val="bottom"/>
          </w:tcPr>
          <w:p>
            <w:pPr>
              <w:spacing w:after="0"/>
              <w:rPr>
                <w:sz w:val="24"/>
                <w:szCs w:val="24"/>
                <w:color w:val="auto"/>
              </w:rPr>
            </w:pPr>
          </w:p>
        </w:tc>
        <w:tc>
          <w:tcPr>
            <w:tcW w:w="4500" w:type="dxa"/>
            <w:vAlign w:val="bottom"/>
            <w:gridSpan w:val="3"/>
          </w:tcPr>
          <w:p>
            <w:pPr>
              <w:jc w:val="right"/>
              <w:ind w:right="3360"/>
              <w:spacing w:after="0"/>
              <w:rPr>
                <w:sz w:val="20"/>
                <w:szCs w:val="20"/>
                <w:color w:val="auto"/>
              </w:rPr>
            </w:pPr>
            <w:r>
              <w:rPr>
                <w:rFonts w:ascii="Arial" w:cs="Arial" w:eastAsia="Arial" w:hAnsi="Arial"/>
                <w:sz w:val="17"/>
                <w:szCs w:val="17"/>
                <w:color w:val="auto"/>
              </w:rPr>
              <w:t>F-57</w:t>
            </w:r>
          </w:p>
        </w:tc>
        <w:tc>
          <w:tcPr>
            <w:tcW w:w="0" w:type="dxa"/>
            <w:vAlign w:val="bottom"/>
          </w:tcPr>
          <w:p>
            <w:pPr>
              <w:spacing w:after="0"/>
              <w:rPr>
                <w:sz w:val="1"/>
                <w:szCs w:val="1"/>
                <w:color w:val="auto"/>
              </w:rPr>
            </w:pPr>
          </w:p>
        </w:tc>
      </w:tr>
    </w:tbl>
    <w:p>
      <w:pPr>
        <w:sectPr>
          <w:pgSz w:w="11900" w:h="16838" w:orient="portrait"/>
          <w:cols w:equalWidth="0" w:num="1">
            <w:col w:w="10780"/>
          </w:cols>
          <w:pgMar w:left="320" w:top="466" w:right="79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80" w:firstLine="413"/>
        <w:spacing w:after="0" w:line="272" w:lineRule="auto"/>
        <w:rPr>
          <w:sz w:val="20"/>
          <w:szCs w:val="20"/>
          <w:color w:val="auto"/>
        </w:rPr>
      </w:pPr>
      <w:r>
        <w:rPr>
          <w:rFonts w:ascii="Arial" w:cs="Arial" w:eastAsia="Arial" w:hAnsi="Arial"/>
          <w:sz w:val="17"/>
          <w:szCs w:val="17"/>
          <w:color w:val="auto"/>
        </w:rPr>
        <w:t>The assets acquired and liabilities assumed were recorded at their estimated fair values and the results of operations were included in the Company’s consolidated results as of the acquisition date.</w:t>
      </w:r>
    </w:p>
    <w:p>
      <w:pPr>
        <w:spacing w:after="0" w:line="165" w:lineRule="exact"/>
        <w:rPr>
          <w:sz w:val="20"/>
          <w:szCs w:val="20"/>
          <w:color w:val="auto"/>
        </w:rPr>
      </w:pPr>
    </w:p>
    <w:p>
      <w:pPr>
        <w:ind w:left="460" w:firstLine="413"/>
        <w:spacing w:after="0" w:line="290" w:lineRule="auto"/>
        <w:rPr>
          <w:sz w:val="20"/>
          <w:szCs w:val="20"/>
          <w:color w:val="auto"/>
        </w:rPr>
      </w:pPr>
      <w:r>
        <w:rPr>
          <w:rFonts w:ascii="Arial" w:cs="Arial" w:eastAsia="Arial" w:hAnsi="Arial"/>
          <w:sz w:val="15"/>
          <w:szCs w:val="15"/>
          <w:color w:val="auto"/>
        </w:rPr>
        <w:t>The contingent consideration performance targets for earnout payments are based on the contractual Annual Recurring Revenue (“ARR”) for each of the twelve-month periods ending December 31, 2020 and December 31, 2021. Potential payouts range from $0 to $5.0 million and $0 to</w:t>
      </w:r>
    </w:p>
    <w:p>
      <w:pPr>
        <w:ind w:left="460" w:right="320"/>
        <w:spacing w:after="0" w:line="257" w:lineRule="auto"/>
        <w:rPr>
          <w:sz w:val="20"/>
          <w:szCs w:val="20"/>
          <w:color w:val="auto"/>
        </w:rPr>
      </w:pPr>
      <w:r>
        <w:rPr>
          <w:rFonts w:ascii="Arial" w:cs="Arial" w:eastAsia="Arial" w:hAnsi="Arial"/>
          <w:sz w:val="17"/>
          <w:szCs w:val="17"/>
          <w:color w:val="auto"/>
        </w:rPr>
        <w:t>$10.0 million based on ARR of below $8.5 million to over $9.5 million and below $12.0 million to over $16.0 million for each of the twelve-month periods ending December 31, 2020 and 2021, respectively.</w:t>
      </w:r>
    </w:p>
    <w:p>
      <w:pPr>
        <w:spacing w:after="0" w:line="177" w:lineRule="exact"/>
        <w:rPr>
          <w:sz w:val="20"/>
          <w:szCs w:val="20"/>
          <w:color w:val="auto"/>
        </w:rPr>
      </w:pPr>
    </w:p>
    <w:p>
      <w:pPr>
        <w:ind w:left="460" w:right="180" w:firstLine="413"/>
        <w:spacing w:after="0" w:line="260" w:lineRule="auto"/>
        <w:rPr>
          <w:sz w:val="20"/>
          <w:szCs w:val="20"/>
          <w:color w:val="auto"/>
        </w:rPr>
      </w:pPr>
      <w:r>
        <w:rPr>
          <w:rFonts w:ascii="Arial" w:cs="Arial" w:eastAsia="Arial" w:hAnsi="Arial"/>
          <w:sz w:val="17"/>
          <w:szCs w:val="17"/>
          <w:color w:val="auto"/>
        </w:rPr>
        <w:t xml:space="preserve">The Company estimated the fair value of contingent consideration to be $6.9 million and $5.2 million at September 30, 2021 and December 31, 2020, respectively, based on the achievement of 2020 ARR targets and the probability of achieving the 2021 targets. Refer to Note 9.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for more detail.</w:t>
      </w:r>
    </w:p>
    <w:p>
      <w:pPr>
        <w:spacing w:after="0" w:line="175" w:lineRule="exact"/>
        <w:rPr>
          <w:sz w:val="20"/>
          <w:szCs w:val="20"/>
          <w:color w:val="auto"/>
        </w:rPr>
      </w:pPr>
    </w:p>
    <w:p>
      <w:pPr>
        <w:jc w:val="both"/>
        <w:ind w:left="460" w:right="180" w:firstLine="413"/>
        <w:spacing w:after="0" w:line="260" w:lineRule="auto"/>
        <w:rPr>
          <w:sz w:val="20"/>
          <w:szCs w:val="20"/>
          <w:color w:val="auto"/>
        </w:rPr>
      </w:pPr>
      <w:r>
        <w:rPr>
          <w:rFonts w:ascii="Arial" w:cs="Arial" w:eastAsia="Arial" w:hAnsi="Arial"/>
          <w:sz w:val="17"/>
          <w:szCs w:val="17"/>
          <w:color w:val="auto"/>
        </w:rPr>
        <w:t>The purchase accounting for the Monocl acquisition was finalized as of December 31, 2020. The fair values assigned to tangible and identified intangible assets acquired and liabilities assumed were based on management’s estimates and assumptions. The final allocation of the acquisition-date fair values of assets and liabilities as of December 31, 2020, was as follows:</w:t>
      </w:r>
    </w:p>
    <w:p>
      <w:pPr>
        <w:spacing w:after="0" w:line="195" w:lineRule="exact"/>
        <w:rPr>
          <w:sz w:val="20"/>
          <w:szCs w:val="20"/>
          <w:color w:val="auto"/>
        </w:rPr>
      </w:pPr>
    </w:p>
    <w:tbl>
      <w:tblPr>
        <w:tblLayout w:type="fixed"/>
        <w:tblInd w:w="2120" w:type="dxa"/>
        <w:tblCellMar>
          <w:top w:w="0" w:type="dxa"/>
          <w:left w:w="0" w:type="dxa"/>
          <w:bottom w:w="0" w:type="dxa"/>
          <w:right w:w="0" w:type="dxa"/>
        </w:tblCellMar>
      </w:tblPr>
      <w:tr>
        <w:trPr>
          <w:trHeight w:val="172"/>
        </w:trPr>
        <w:tc>
          <w:tcPr>
            <w:tcW w:w="62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20" w:type="dxa"/>
            <w:vAlign w:val="bottom"/>
          </w:tcPr>
          <w:p>
            <w:pPr>
              <w:spacing w:after="0"/>
              <w:rPr>
                <w:sz w:val="14"/>
                <w:szCs w:val="14"/>
                <w:color w:val="auto"/>
              </w:rPr>
            </w:pPr>
          </w:p>
        </w:tc>
        <w:tc>
          <w:tcPr>
            <w:tcW w:w="7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October 27,</w:t>
            </w:r>
          </w:p>
        </w:tc>
        <w:tc>
          <w:tcPr>
            <w:tcW w:w="0" w:type="dxa"/>
            <w:vAlign w:val="bottom"/>
          </w:tcPr>
          <w:p>
            <w:pPr>
              <w:spacing w:after="0"/>
              <w:rPr>
                <w:sz w:val="1"/>
                <w:szCs w:val="1"/>
                <w:color w:val="auto"/>
              </w:rPr>
            </w:pPr>
          </w:p>
        </w:tc>
      </w:tr>
      <w:tr>
        <w:trPr>
          <w:trHeight w:val="104"/>
        </w:trPr>
        <w:tc>
          <w:tcPr>
            <w:tcW w:w="6220" w:type="dxa"/>
            <w:vAlign w:val="bottom"/>
            <w:vMerge w:val="restart"/>
          </w:tcPr>
          <w:p>
            <w:pPr>
              <w:spacing w:after="0"/>
              <w:rPr>
                <w:sz w:val="20"/>
                <w:szCs w:val="20"/>
                <w:color w:val="auto"/>
              </w:rPr>
            </w:pPr>
            <w:r>
              <w:rPr>
                <w:rFonts w:ascii="Arial" w:cs="Arial" w:eastAsia="Arial" w:hAnsi="Arial"/>
                <w:sz w:val="13"/>
                <w:szCs w:val="13"/>
                <w:b w:val="1"/>
                <w:bCs w:val="1"/>
                <w:color w:val="auto"/>
              </w:rPr>
              <w:t>Preliminary allocation:</w:t>
            </w:r>
          </w:p>
        </w:tc>
        <w:tc>
          <w:tcPr>
            <w:tcW w:w="2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22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18,900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(2,137)</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(2,884)</w:t>
            </w:r>
          </w:p>
        </w:tc>
        <w:tc>
          <w:tcPr>
            <w:tcW w:w="0" w:type="dxa"/>
            <w:vAlign w:val="bottom"/>
          </w:tcPr>
          <w:p>
            <w:pPr>
              <w:spacing w:after="0"/>
              <w:rPr>
                <w:sz w:val="1"/>
                <w:szCs w:val="1"/>
                <w:color w:val="auto"/>
              </w:rPr>
            </w:pPr>
          </w:p>
        </w:tc>
      </w:tr>
      <w:tr>
        <w:trPr>
          <w:trHeight w:val="208"/>
        </w:trPr>
        <w:tc>
          <w:tcPr>
            <w:tcW w:w="6220" w:type="dxa"/>
            <w:vAlign w:val="bottom"/>
          </w:tcPr>
          <w:p>
            <w:pPr>
              <w:spacing w:after="0"/>
              <w:rPr>
                <w:sz w:val="20"/>
                <w:szCs w:val="20"/>
                <w:color w:val="auto"/>
              </w:rPr>
            </w:pPr>
            <w:r>
              <w:rPr>
                <w:rFonts w:ascii="Arial" w:cs="Arial" w:eastAsia="Arial" w:hAnsi="Arial"/>
                <w:sz w:val="17"/>
                <w:szCs w:val="17"/>
                <w:color w:val="auto"/>
              </w:rPr>
              <w:t>Total assets acquired and liabilities assumed</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18,075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28,271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2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9"/>
              </w:rPr>
              <w:t>46,346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recorded goodwill, customer relationships, data, technology, and trademark of $28.3 million, $11.9 million, $3.0 million,</w:t>
      </w:r>
    </w:p>
    <w:p>
      <w:pPr>
        <w:spacing w:after="0" w:line="30" w:lineRule="exact"/>
        <w:rPr>
          <w:sz w:val="20"/>
          <w:szCs w:val="20"/>
          <w:color w:val="auto"/>
        </w:rPr>
      </w:pPr>
    </w:p>
    <w:p>
      <w:pPr>
        <w:jc w:val="both"/>
        <w:ind w:left="460" w:right="160"/>
        <w:spacing w:after="0" w:line="253" w:lineRule="auto"/>
        <w:rPr>
          <w:sz w:val="20"/>
          <w:szCs w:val="20"/>
          <w:color w:val="auto"/>
        </w:rPr>
      </w:pPr>
      <w:r>
        <w:rPr>
          <w:rFonts w:ascii="Arial" w:cs="Arial" w:eastAsia="Arial" w:hAnsi="Arial"/>
          <w:sz w:val="17"/>
          <w:szCs w:val="17"/>
          <w:color w:val="auto"/>
        </w:rPr>
        <w:t>$2.6 million and $1.4 million, respectively, as of the acquisition date. The goodwill recognized includes the fair value of the assembled workforce and any expected synergies gained through the acquisition. The Company determined that the goodwill resulting from the acquisition is not deductible for tax purposes.</w:t>
      </w:r>
    </w:p>
    <w:p>
      <w:pPr>
        <w:spacing w:after="0" w:line="181" w:lineRule="exact"/>
        <w:rPr>
          <w:sz w:val="20"/>
          <w:szCs w:val="20"/>
          <w:color w:val="auto"/>
        </w:rPr>
      </w:pPr>
    </w:p>
    <w:p>
      <w:pPr>
        <w:ind w:left="460" w:right="300" w:firstLine="413"/>
        <w:spacing w:after="0" w:line="303" w:lineRule="auto"/>
        <w:rPr>
          <w:sz w:val="20"/>
          <w:szCs w:val="20"/>
          <w:color w:val="auto"/>
        </w:rPr>
      </w:pPr>
      <w:r>
        <w:rPr>
          <w:rFonts w:ascii="Arial" w:cs="Arial" w:eastAsia="Arial" w:hAnsi="Arial"/>
          <w:sz w:val="16"/>
          <w:szCs w:val="16"/>
          <w:color w:val="auto"/>
        </w:rPr>
        <w:t>Customer relationships represent the estimated fair value of the underlying relationships with the acquired entity’s business customers and are amortized using the annual pattern of cash flows (economic value method) over the estimated 14-year life of this asset.</w:t>
      </w:r>
    </w:p>
    <w:p>
      <w:pPr>
        <w:spacing w:after="0" w:line="143"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6"/>
          <w:szCs w:val="16"/>
          <w:color w:val="auto"/>
        </w:rPr>
        <w:t>Data includes proprietary data on medical and scientific expert personnel. 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trademark represents the estimated fair value of the registered trademarks, logo and domain names associated with the Monocl corporate brand. The data, technology, and trademark are amortized using the straight-line method over the estimated remaining useful life of 3 years, 8 years, and 19 years, respectively.</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0760"/>
          </w:cols>
          <w:pgMar w:left="320" w:top="466" w:right="81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360" w:firstLine="413"/>
        <w:spacing w:after="0" w:line="272" w:lineRule="auto"/>
        <w:rPr>
          <w:sz w:val="20"/>
          <w:szCs w:val="20"/>
          <w:color w:val="auto"/>
        </w:rPr>
      </w:pPr>
      <w:r>
        <w:rPr>
          <w:rFonts w:ascii="Arial" w:cs="Arial" w:eastAsia="Arial" w:hAnsi="Arial"/>
          <w:sz w:val="17"/>
          <w:szCs w:val="17"/>
          <w:color w:val="auto"/>
        </w:rPr>
        <w:t>In connection with the acquisition, the Company recognized acquisition related costs of $0.4 million which were recorded within transaction expenses in the accompanying consolidated statements of income (loss).</w:t>
      </w:r>
    </w:p>
    <w:p>
      <w:pPr>
        <w:spacing w:after="0" w:line="165" w:lineRule="exact"/>
        <w:rPr>
          <w:sz w:val="20"/>
          <w:szCs w:val="20"/>
          <w:color w:val="auto"/>
        </w:rPr>
      </w:pPr>
    </w:p>
    <w:p>
      <w:pPr>
        <w:ind w:left="460" w:right="80" w:firstLine="413"/>
        <w:spacing w:after="0" w:line="340" w:lineRule="auto"/>
        <w:rPr>
          <w:sz w:val="20"/>
          <w:szCs w:val="20"/>
          <w:color w:val="auto"/>
        </w:rPr>
      </w:pPr>
      <w:r>
        <w:rPr>
          <w:rFonts w:ascii="Arial" w:cs="Arial" w:eastAsia="Arial" w:hAnsi="Arial"/>
          <w:sz w:val="15"/>
          <w:szCs w:val="15"/>
          <w:color w:val="auto"/>
        </w:rPr>
        <w:t>The results of operations of Monocl are included in the Company’s consolidated results since the date of acquisition. The revenue and net loss of Monocl reflected in the consolidated statements of operations for the year ended December 31, 2020 were $1.2 million and $1.6 million, respectively.</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Unaudited Pro Forma Supplementary Data:</w:t>
      </w:r>
    </w:p>
    <w:p>
      <w:pPr>
        <w:spacing w:after="0" w:line="217"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0"/>
        </w:trPr>
        <w:tc>
          <w:tcPr>
            <w:tcW w:w="328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246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September 30, 2020</w:t>
            </w:r>
          </w:p>
        </w:tc>
        <w:tc>
          <w:tcPr>
            <w:tcW w:w="0" w:type="dxa"/>
            <w:vAlign w:val="bottom"/>
          </w:tcPr>
          <w:p>
            <w:pPr>
              <w:spacing w:after="0"/>
              <w:rPr>
                <w:sz w:val="1"/>
                <w:szCs w:val="1"/>
                <w:color w:val="auto"/>
              </w:rPr>
            </w:pPr>
          </w:p>
        </w:tc>
      </w:tr>
      <w:tr>
        <w:trPr>
          <w:trHeight w:val="132"/>
        </w:trPr>
        <w:tc>
          <w:tcPr>
            <w:tcW w:w="3280" w:type="dxa"/>
            <w:vAlign w:val="bottom"/>
            <w:vMerge w:val="continue"/>
          </w:tcPr>
          <w:p>
            <w:pPr>
              <w:spacing w:after="0"/>
              <w:rPr>
                <w:sz w:val="11"/>
                <w:szCs w:val="11"/>
                <w:color w:val="auto"/>
              </w:rPr>
            </w:pPr>
          </w:p>
        </w:tc>
        <w:tc>
          <w:tcPr>
            <w:tcW w:w="24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840" w:type="dxa"/>
            <w:vAlign w:val="bottom"/>
            <w:gridSpan w:val="2"/>
            <w:shd w:val="clear" w:color="auto" w:fill="CCEEFF"/>
          </w:tcPr>
          <w:p>
            <w:pPr>
              <w:ind w:left="24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91,750</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20"/>
                <w:szCs w:val="20"/>
                <w:color w:val="auto"/>
              </w:rPr>
            </w:pPr>
            <w:r>
              <w:rPr>
                <w:rFonts w:ascii="Arial" w:cs="Arial" w:eastAsia="Arial" w:hAnsi="Arial"/>
                <w:sz w:val="17"/>
                <w:szCs w:val="17"/>
                <w:color w:val="auto"/>
              </w:rPr>
              <w:t>Net loss</w:t>
            </w:r>
          </w:p>
        </w:tc>
        <w:tc>
          <w:tcPr>
            <w:tcW w:w="2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(43,763)</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60" w:right="280" w:firstLine="413"/>
        <w:spacing w:after="0" w:line="301" w:lineRule="auto"/>
        <w:rPr>
          <w:sz w:val="20"/>
          <w:szCs w:val="20"/>
          <w:color w:val="auto"/>
        </w:rPr>
      </w:pPr>
      <w:r>
        <w:rPr>
          <w:rFonts w:ascii="Arial" w:cs="Arial" w:eastAsia="Arial" w:hAnsi="Arial"/>
          <w:sz w:val="15"/>
          <w:szCs w:val="15"/>
          <w:color w:val="auto"/>
        </w:rPr>
        <w:t>The pro forma net loss includes adjustments to amortization expense for the valuation of other intangible assets of $0.6 million and interest expense related to incremental borrowings used to finance the transaction of $0.8 million and for the nine months ended September 30,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87" w:lineRule="exact"/>
        <w:rPr>
          <w:sz w:val="20"/>
          <w:szCs w:val="20"/>
          <w:color w:val="auto"/>
        </w:rPr>
      </w:pPr>
    </w:p>
    <w:p>
      <w:pPr>
        <w:ind w:left="860" w:hanging="403"/>
        <w:spacing w:after="0"/>
        <w:tabs>
          <w:tab w:leader="none" w:pos="860"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w:t>
      </w:r>
    </w:p>
    <w:p>
      <w:pPr>
        <w:spacing w:after="0" w:line="108" w:lineRule="exact"/>
        <w:rPr>
          <w:sz w:val="20"/>
          <w:szCs w:val="20"/>
          <w:color w:val="auto"/>
        </w:rPr>
      </w:pPr>
    </w:p>
    <w:p>
      <w:pPr>
        <w:ind w:left="460" w:right="140" w:firstLine="413"/>
        <w:spacing w:after="0" w:line="272" w:lineRule="auto"/>
        <w:rPr>
          <w:sz w:val="20"/>
          <w:szCs w:val="20"/>
          <w:color w:val="auto"/>
        </w:rPr>
      </w:pPr>
      <w:r>
        <w:rPr>
          <w:rFonts w:ascii="Arial" w:cs="Arial" w:eastAsia="Arial" w:hAnsi="Arial"/>
          <w:sz w:val="17"/>
          <w:szCs w:val="17"/>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65"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The following table represents a disaggregation of revenue from arrangements with customers for the nine months ended September 30, 2021 and 2020, respectively:</w:t>
      </w:r>
    </w:p>
    <w:p>
      <w:pPr>
        <w:spacing w:after="0" w:line="172"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176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0"/>
        </w:trPr>
        <w:tc>
          <w:tcPr>
            <w:tcW w:w="526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76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45"/>
        </w:trPr>
        <w:tc>
          <w:tcPr>
            <w:tcW w:w="5260" w:type="dxa"/>
            <w:vAlign w:val="bottom"/>
            <w:tcBorders>
              <w:bottom w:val="single" w:sz="8" w:color="CCEEFF"/>
            </w:tcBorders>
            <w:vMerge w:val="continue"/>
          </w:tcPr>
          <w:p>
            <w:pPr>
              <w:spacing w:after="0"/>
              <w:rPr>
                <w:sz w:val="12"/>
                <w:szCs w:val="12"/>
                <w:color w:val="auto"/>
              </w:rPr>
            </w:pPr>
          </w:p>
        </w:tc>
        <w:tc>
          <w:tcPr>
            <w:tcW w:w="640" w:type="dxa"/>
            <w:vAlign w:val="bottom"/>
            <w:tcBorders>
              <w:top w:val="single" w:sz="8" w:color="auto"/>
              <w:bottom w:val="single" w:sz="8" w:color="auto"/>
            </w:tcBorders>
          </w:tcPr>
          <w:p>
            <w:pPr>
              <w:jc w:val="right"/>
              <w:ind w:right="124"/>
              <w:spacing w:after="0" w:line="145" w:lineRule="exact"/>
              <w:rPr>
                <w:sz w:val="20"/>
                <w:szCs w:val="20"/>
                <w:color w:val="auto"/>
              </w:rPr>
            </w:pPr>
            <w:r>
              <w:rPr>
                <w:rFonts w:ascii="Arial" w:cs="Arial" w:eastAsia="Arial" w:hAnsi="Arial"/>
                <w:sz w:val="13"/>
                <w:szCs w:val="13"/>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line="145"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Platform subscriptions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1"/>
              </w:rPr>
              <w:t>$ 118,545</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$ 83,814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7"/>
                <w:szCs w:val="17"/>
                <w:color w:val="auto"/>
              </w:rPr>
              <w:t>Professional services</w:t>
            </w:r>
          </w:p>
        </w:tc>
        <w:tc>
          <w:tcPr>
            <w:tcW w:w="640" w:type="dxa"/>
            <w:vAlign w:val="bottom"/>
          </w:tcPr>
          <w:p>
            <w:pPr>
              <w:jc w:val="right"/>
              <w:spacing w:after="0"/>
              <w:rPr>
                <w:sz w:val="20"/>
                <w:szCs w:val="20"/>
                <w:color w:val="auto"/>
              </w:rPr>
            </w:pPr>
            <w:r>
              <w:rPr>
                <w:rFonts w:ascii="Arial" w:cs="Arial" w:eastAsia="Arial" w:hAnsi="Arial"/>
                <w:sz w:val="17"/>
                <w:szCs w:val="17"/>
                <w:color w:val="auto"/>
              </w:rPr>
              <w:t>1,296</w:t>
            </w:r>
          </w:p>
        </w:tc>
        <w:tc>
          <w:tcPr>
            <w:tcW w:w="46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845</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119,841</w:t>
            </w:r>
          </w:p>
        </w:tc>
        <w:tc>
          <w:tcPr>
            <w:tcW w:w="4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$ 84,659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7"/>
          <w:szCs w:val="17"/>
          <w:color w:val="auto"/>
        </w:rPr>
        <w:t>The opening and closing balances of the Company’s receivables, deferred contract costs and contract liabilities from contracts with customers are as follows:</w:t>
      </w:r>
    </w:p>
    <w:p>
      <w:pPr>
        <w:spacing w:after="0" w:line="172"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282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780" w:type="dxa"/>
            <w:vAlign w:val="bottom"/>
          </w:tcPr>
          <w:p>
            <w:pPr>
              <w:spacing w:after="0"/>
              <w:rPr>
                <w:sz w:val="12"/>
                <w:szCs w:val="12"/>
                <w:color w:val="auto"/>
              </w:rPr>
            </w:pPr>
          </w:p>
        </w:tc>
        <w:tc>
          <w:tcPr>
            <w:tcW w:w="158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60"/>
        </w:trPr>
        <w:tc>
          <w:tcPr>
            <w:tcW w:w="2820" w:type="dxa"/>
            <w:vAlign w:val="bottom"/>
            <w:tcBorders>
              <w:bottom w:val="single" w:sz="8" w:color="CCEEFF"/>
            </w:tcBorders>
            <w:vMerge w:val="continue"/>
          </w:tcPr>
          <w:p>
            <w:pPr>
              <w:spacing w:after="0"/>
              <w:rPr>
                <w:sz w:val="13"/>
                <w:szCs w:val="13"/>
                <w:color w:val="auto"/>
              </w:rPr>
            </w:pPr>
          </w:p>
        </w:tc>
        <w:tc>
          <w:tcPr>
            <w:tcW w:w="17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Accounts receivable, net</w:t>
            </w:r>
          </w:p>
        </w:tc>
        <w:tc>
          <w:tcPr>
            <w:tcW w:w="1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27,886</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5,359</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2,947</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contract costs</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9,388</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5,952</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20"/>
                <w:szCs w:val="20"/>
                <w:color w:val="auto"/>
              </w:rPr>
            </w:pPr>
            <w:r>
              <w:rPr>
                <w:rFonts w:ascii="Arial" w:cs="Arial" w:eastAsia="Arial" w:hAnsi="Arial"/>
                <w:sz w:val="17"/>
                <w:szCs w:val="17"/>
                <w:color w:val="auto"/>
              </w:rPr>
              <w:t>Deferred revenues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7"/>
                <w:szCs w:val="17"/>
                <w:color w:val="auto"/>
              </w:rPr>
              <w:t>70,179</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61,200</w:t>
            </w:r>
          </w:p>
        </w:tc>
        <w:tc>
          <w:tcPr>
            <w:tcW w:w="0" w:type="dxa"/>
            <w:vAlign w:val="bottom"/>
          </w:tcPr>
          <w:p>
            <w:pPr>
              <w:spacing w:after="0"/>
              <w:rPr>
                <w:sz w:val="1"/>
                <w:szCs w:val="1"/>
                <w:color w:val="auto"/>
              </w:rPr>
            </w:pPr>
          </w:p>
        </w:tc>
      </w:tr>
      <w:tr>
        <w:trPr>
          <w:trHeight w:val="329"/>
        </w:trPr>
        <w:tc>
          <w:tcPr>
            <w:tcW w:w="2820" w:type="dxa"/>
            <w:vAlign w:val="bottom"/>
          </w:tcPr>
          <w:p>
            <w:pPr>
              <w:spacing w:after="0"/>
              <w:rPr>
                <w:sz w:val="24"/>
                <w:szCs w:val="24"/>
                <w:color w:val="auto"/>
              </w:rPr>
            </w:pPr>
          </w:p>
        </w:tc>
        <w:tc>
          <w:tcPr>
            <w:tcW w:w="1960" w:type="dxa"/>
            <w:vAlign w:val="bottom"/>
            <w:gridSpan w:val="2"/>
          </w:tcPr>
          <w:p>
            <w:pPr>
              <w:ind w:left="520"/>
              <w:spacing w:after="0"/>
              <w:rPr>
                <w:sz w:val="20"/>
                <w:szCs w:val="20"/>
                <w:color w:val="auto"/>
              </w:rPr>
            </w:pPr>
            <w:r>
              <w:rPr>
                <w:rFonts w:ascii="Arial" w:cs="Arial" w:eastAsia="Arial" w:hAnsi="Arial"/>
                <w:sz w:val="17"/>
                <w:szCs w:val="17"/>
                <w:color w:val="auto"/>
              </w:rPr>
              <w:t>F-59</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465" w:right="85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 summary of the activity impacting the deferred contract costs for the nine months ended September 30, 2021 and the year ended December 31,</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2020 is presented below:</w:t>
      </w:r>
    </w:p>
    <w:p>
      <w:pPr>
        <w:spacing w:after="0" w:line="205"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442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20" w:type="dxa"/>
            <w:vAlign w:val="bottom"/>
          </w:tcPr>
          <w:p>
            <w:pPr>
              <w:spacing w:after="0"/>
              <w:rPr>
                <w:sz w:val="13"/>
                <w:szCs w:val="13"/>
                <w:color w:val="auto"/>
              </w:rPr>
            </w:pPr>
          </w:p>
        </w:tc>
        <w:tc>
          <w:tcPr>
            <w:tcW w:w="1680" w:type="dxa"/>
            <w:vAlign w:val="bottom"/>
            <w:gridSpan w:val="4"/>
          </w:tcPr>
          <w:p>
            <w:pPr>
              <w:spacing w:after="0"/>
              <w:rPr>
                <w:sz w:val="20"/>
                <w:szCs w:val="20"/>
                <w:color w:val="auto"/>
              </w:rPr>
            </w:pPr>
            <w:r>
              <w:rPr>
                <w:rFonts w:ascii="Arial" w:cs="Arial" w:eastAsia="Arial" w:hAnsi="Arial"/>
                <w:sz w:val="13"/>
                <w:szCs w:val="13"/>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442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8,899</w:t>
            </w: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40"/>
              <w:spacing w:after="0"/>
              <w:rPr>
                <w:sz w:val="20"/>
                <w:szCs w:val="20"/>
                <w:color w:val="auto"/>
              </w:rPr>
            </w:pPr>
            <w:r>
              <w:rPr>
                <w:rFonts w:ascii="Arial" w:cs="Arial" w:eastAsia="Arial" w:hAnsi="Arial"/>
                <w:sz w:val="17"/>
                <w:szCs w:val="17"/>
                <w:color w:val="auto"/>
              </w:rPr>
              <w:t>Costs amortized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jc w:val="right"/>
              <w:ind w:right="820"/>
              <w:spacing w:after="0"/>
              <w:rPr>
                <w:sz w:val="20"/>
                <w:szCs w:val="20"/>
                <w:color w:val="auto"/>
              </w:rPr>
            </w:pPr>
            <w:r>
              <w:rPr>
                <w:rFonts w:ascii="Arial" w:cs="Arial" w:eastAsia="Arial" w:hAnsi="Arial"/>
                <w:sz w:val="17"/>
                <w:szCs w:val="17"/>
                <w:color w:val="auto"/>
              </w:rPr>
              <w:t>(3,195)</w:t>
            </w:r>
          </w:p>
        </w:tc>
        <w:tc>
          <w:tcPr>
            <w:tcW w:w="1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(1,670)</w:t>
            </w: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amounts deferred</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9,043</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7"/>
                <w:szCs w:val="17"/>
                <w:color w:val="auto"/>
              </w:rPr>
              <w:t>Balance at end of period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14,747</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8,899</w:t>
            </w: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Classified as:</w:t>
            </w: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40"/>
              <w:spacing w:after="0"/>
              <w:rPr>
                <w:sz w:val="20"/>
                <w:szCs w:val="20"/>
                <w:color w:val="auto"/>
              </w:rPr>
            </w:pPr>
            <w:r>
              <w:rPr>
                <w:rFonts w:ascii="Arial" w:cs="Arial" w:eastAsia="Arial" w:hAnsi="Arial"/>
                <w:sz w:val="17"/>
                <w:szCs w:val="17"/>
                <w:color w:val="auto"/>
              </w:rPr>
              <w:t>Current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5,359</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2,947</w:t>
            </w: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9,388</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tcPr>
          <w:p>
            <w:pPr>
              <w:spacing w:after="0"/>
              <w:rPr>
                <w:sz w:val="20"/>
                <w:szCs w:val="20"/>
                <w:color w:val="auto"/>
              </w:rPr>
            </w:pPr>
            <w:r>
              <w:rPr>
                <w:rFonts w:ascii="Arial" w:cs="Arial" w:eastAsia="Arial" w:hAnsi="Arial"/>
                <w:sz w:val="17"/>
                <w:szCs w:val="17"/>
                <w:color w:val="auto"/>
              </w:rPr>
              <w:t>Total deferred contract costs (deferred commissions)</w:t>
            </w: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14,747</w:t>
            </w:r>
          </w:p>
        </w:tc>
        <w:tc>
          <w:tcPr>
            <w:tcW w:w="8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8,899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summary of the activity impacting deferred revenue balances during the nine months ended September 30, 2021 and for the year ended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December 31, 2020 is presented below:</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4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220" w:type="dxa"/>
            <w:vAlign w:val="bottom"/>
            <w:gridSpan w:val="4"/>
          </w:tcPr>
          <w:p>
            <w:pPr>
              <w:spacing w:after="0"/>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540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61,200</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46,125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7"/>
                <w:szCs w:val="17"/>
                <w:color w:val="auto"/>
              </w:rPr>
              <w:t>Revenue recognized</w:t>
            </w:r>
          </w:p>
        </w:tc>
        <w:tc>
          <w:tcPr>
            <w:tcW w:w="140" w:type="dxa"/>
            <w:vAlign w:val="bottom"/>
          </w:tcPr>
          <w:p>
            <w:pPr>
              <w:spacing w:after="0"/>
              <w:rPr>
                <w:sz w:val="17"/>
                <w:szCs w:val="17"/>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7"/>
                <w:szCs w:val="17"/>
                <w:color w:val="auto"/>
                <w:w w:val="98"/>
              </w:rPr>
              <w:t>(119,841)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(118,317)</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128,820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133,392</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70,179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61,200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08" w:lineRule="exact"/>
        <w:rPr>
          <w:sz w:val="20"/>
          <w:szCs w:val="20"/>
          <w:color w:val="auto"/>
        </w:rPr>
      </w:pPr>
    </w:p>
    <w:p>
      <w:pPr>
        <w:ind w:left="460" w:firstLine="413"/>
        <w:spacing w:after="0" w:line="270"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remaining performance obligations consisted of the following:</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3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3060" w:type="dxa"/>
            <w:vAlign w:val="bottom"/>
          </w:tcPr>
          <w:p>
            <w:pPr>
              <w:spacing w:after="0"/>
              <w:rPr>
                <w:sz w:val="12"/>
                <w:szCs w:val="12"/>
                <w:color w:val="auto"/>
              </w:rPr>
            </w:pPr>
          </w:p>
        </w:tc>
        <w:tc>
          <w:tcPr>
            <w:tcW w:w="166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300" w:type="dxa"/>
            <w:vAlign w:val="bottom"/>
            <w:tcBorders>
              <w:bottom w:val="single" w:sz="8" w:color="CCEEFF"/>
            </w:tcBorders>
            <w:vMerge w:val="continue"/>
          </w:tcPr>
          <w:p>
            <w:pPr>
              <w:spacing w:after="0"/>
              <w:rPr>
                <w:sz w:val="13"/>
                <w:szCs w:val="13"/>
                <w:color w:val="auto"/>
              </w:rPr>
            </w:pPr>
          </w:p>
        </w:tc>
        <w:tc>
          <w:tcPr>
            <w:tcW w:w="30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Current</w:t>
            </w:r>
          </w:p>
        </w:tc>
        <w:tc>
          <w:tcPr>
            <w:tcW w:w="3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128,653</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114,284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20"/>
                <w:szCs w:val="20"/>
                <w:color w:val="auto"/>
              </w:rPr>
            </w:pPr>
            <w:r>
              <w:rPr>
                <w:rFonts w:ascii="Arial" w:cs="Arial" w:eastAsia="Arial" w:hAnsi="Arial"/>
                <w:sz w:val="17"/>
                <w:szCs w:val="17"/>
                <w:color w:val="auto"/>
              </w:rPr>
              <w:t>Non-current</w:t>
            </w:r>
          </w:p>
        </w:tc>
        <w:tc>
          <w:tcPr>
            <w:tcW w:w="3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78,900</w:t>
            </w:r>
          </w:p>
        </w:tc>
        <w:tc>
          <w:tcPr>
            <w:tcW w:w="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207,553</w:t>
            </w:r>
          </w:p>
        </w:tc>
        <w:tc>
          <w:tcPr>
            <w:tcW w:w="8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172,534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300" w:type="dxa"/>
            <w:vAlign w:val="bottom"/>
          </w:tcPr>
          <w:p>
            <w:pPr>
              <w:spacing w:after="0"/>
              <w:rPr>
                <w:sz w:val="24"/>
                <w:szCs w:val="24"/>
                <w:color w:val="auto"/>
              </w:rPr>
            </w:pPr>
          </w:p>
        </w:tc>
        <w:tc>
          <w:tcPr>
            <w:tcW w:w="3240" w:type="dxa"/>
            <w:vAlign w:val="bottom"/>
            <w:gridSpan w:val="2"/>
          </w:tcPr>
          <w:p>
            <w:pPr>
              <w:ind w:left="1460"/>
              <w:spacing w:after="0"/>
              <w:rPr>
                <w:sz w:val="20"/>
                <w:szCs w:val="20"/>
                <w:color w:val="auto"/>
              </w:rPr>
            </w:pPr>
            <w:r>
              <w:rPr>
                <w:rFonts w:ascii="Arial" w:cs="Arial" w:eastAsia="Arial" w:hAnsi="Arial"/>
                <w:sz w:val="17"/>
                <w:szCs w:val="17"/>
                <w:color w:val="auto"/>
              </w:rPr>
              <w:t>F-60</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66" w:right="81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Accounts Receivable</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Accounts receivable consisted of the following:</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60" w:type="dxa"/>
            <w:vAlign w:val="bottom"/>
          </w:tcPr>
          <w:p>
            <w:pPr>
              <w:spacing w:after="0"/>
              <w:rPr>
                <w:sz w:val="13"/>
                <w:szCs w:val="13"/>
                <w:color w:val="auto"/>
              </w:rPr>
            </w:pPr>
          </w:p>
        </w:tc>
        <w:tc>
          <w:tcPr>
            <w:tcW w:w="5440" w:type="dxa"/>
            <w:vAlign w:val="bottom"/>
            <w:gridSpan w:val="2"/>
            <w:vMerge w:val="restart"/>
          </w:tcPr>
          <w:p>
            <w:pPr>
              <w:ind w:left="980"/>
              <w:spacing w:after="0"/>
              <w:rPr>
                <w:sz w:val="20"/>
                <w:szCs w:val="20"/>
                <w:color w:val="auto"/>
              </w:rPr>
            </w:pPr>
            <w:r>
              <w:rPr>
                <w:rFonts w:ascii="Arial" w:cs="Arial" w:eastAsia="Arial" w:hAnsi="Arial"/>
                <w:sz w:val="13"/>
                <w:szCs w:val="13"/>
                <w:b w:val="1"/>
                <w:bCs w:val="1"/>
                <w:i w:val="1"/>
                <w:iCs w:val="1"/>
                <w:color w:val="auto"/>
              </w:rPr>
              <w:t>(in thousands)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5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Accounts receivable</w:t>
            </w: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28,243</w:t>
            </w:r>
          </w:p>
        </w:tc>
        <w:tc>
          <w:tcPr>
            <w:tcW w:w="4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33,635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Unbilled receivable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7"/>
                <w:szCs w:val="17"/>
                <w:color w:val="auto"/>
              </w:rPr>
              <w:t>496</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28,739</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33,964</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ind w:left="340"/>
              <w:spacing w:after="0"/>
              <w:rPr>
                <w:sz w:val="20"/>
                <w:szCs w:val="20"/>
                <w:color w:val="auto"/>
              </w:rPr>
            </w:pPr>
            <w:r>
              <w:rPr>
                <w:rFonts w:ascii="Arial" w:cs="Arial" w:eastAsia="Arial" w:hAnsi="Arial"/>
                <w:sz w:val="17"/>
                <w:szCs w:val="17"/>
                <w:color w:val="auto"/>
              </w:rPr>
              <w:t>Less: allowance for doubtful accounts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7"/>
                <w:szCs w:val="17"/>
                <w:color w:val="auto"/>
              </w:rPr>
              <w:t>(853)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9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27,886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33,108</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auto"/>
                <w:w w:val="70"/>
              </w:rPr>
              <w:t>6.</w:t>
            </w:r>
          </w:p>
        </w:tc>
        <w:tc>
          <w:tcPr>
            <w:tcW w:w="5440" w:type="dxa"/>
            <w:vAlign w:val="bottom"/>
            <w:gridSpan w:val="2"/>
            <w:vMerge w:val="restart"/>
          </w:tcPr>
          <w:p>
            <w:pPr>
              <w:ind w:left="140"/>
              <w:spacing w:after="0"/>
              <w:rPr>
                <w:sz w:val="20"/>
                <w:szCs w:val="20"/>
                <w:color w:val="auto"/>
              </w:rPr>
            </w:pPr>
            <w:r>
              <w:rPr>
                <w:rFonts w:ascii="Arial" w:cs="Arial" w:eastAsia="Arial" w:hAnsi="Arial"/>
                <w:sz w:val="17"/>
                <w:szCs w:val="17"/>
                <w:b w:val="1"/>
                <w:bCs w:val="1"/>
                <w:i w:val="1"/>
                <w:iCs w:val="1"/>
                <w:color w:val="auto"/>
              </w:rPr>
              <w:t>Property and Equipment</w:t>
            </w: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60" w:type="dxa"/>
            <w:vAlign w:val="bottom"/>
            <w:vMerge w:val="continue"/>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5440" w:type="dxa"/>
            <w:vAlign w:val="bottom"/>
            <w:gridSpan w:val="2"/>
          </w:tcPr>
          <w:p>
            <w:pPr>
              <w:ind w:left="160"/>
              <w:spacing w:after="0"/>
              <w:rPr>
                <w:sz w:val="20"/>
                <w:szCs w:val="20"/>
                <w:color w:val="auto"/>
              </w:rPr>
            </w:pPr>
            <w:r>
              <w:rPr>
                <w:rFonts w:ascii="Arial" w:cs="Arial" w:eastAsia="Arial" w:hAnsi="Arial"/>
                <w:sz w:val="17"/>
                <w:szCs w:val="17"/>
                <w:color w:val="auto"/>
              </w:rPr>
              <w:t>Property and equipment consisted of the following:</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0" w:type="dxa"/>
            <w:vAlign w:val="bottom"/>
          </w:tcPr>
          <w:p>
            <w:pPr>
              <w:spacing w:after="0"/>
              <w:rPr>
                <w:sz w:val="24"/>
                <w:szCs w:val="24"/>
                <w:color w:val="auto"/>
              </w:rPr>
            </w:pPr>
          </w:p>
        </w:tc>
        <w:tc>
          <w:tcPr>
            <w:tcW w:w="5440" w:type="dxa"/>
            <w:vAlign w:val="bottom"/>
            <w:gridSpan w:val="2"/>
            <w:vMerge w:val="restart"/>
          </w:tcPr>
          <w:p>
            <w:pPr>
              <w:ind w:left="980"/>
              <w:spacing w:after="0"/>
              <w:rPr>
                <w:sz w:val="20"/>
                <w:szCs w:val="20"/>
                <w:color w:val="auto"/>
              </w:rPr>
            </w:pPr>
            <w:r>
              <w:rPr>
                <w:rFonts w:ascii="Arial" w:cs="Arial" w:eastAsia="Arial" w:hAnsi="Arial"/>
                <w:sz w:val="13"/>
                <w:szCs w:val="13"/>
                <w:b w:val="1"/>
                <w:bCs w:val="1"/>
                <w:i w:val="1"/>
                <w:iCs w:val="1"/>
                <w:color w:val="auto"/>
              </w:rPr>
              <w:t>(in thousands)</w:t>
            </w:r>
          </w:p>
        </w:tc>
        <w:tc>
          <w:tcPr>
            <w:tcW w:w="820" w:type="dxa"/>
            <w:vAlign w:val="bottom"/>
          </w:tcPr>
          <w:p>
            <w:pPr>
              <w:spacing w:after="0"/>
              <w:rPr>
                <w:sz w:val="24"/>
                <w:szCs w:val="24"/>
                <w:color w:val="auto"/>
              </w:rPr>
            </w:pPr>
          </w:p>
        </w:tc>
        <w:tc>
          <w:tcPr>
            <w:tcW w:w="1340" w:type="dxa"/>
            <w:vAlign w:val="bottom"/>
            <w:gridSpan w:val="5"/>
          </w:tcPr>
          <w:p>
            <w:pPr>
              <w:spacing w:after="0"/>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98"/>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5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Computers and software</w:t>
            </w: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4,455</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1,580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2,766</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1,781</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Construction and software development in process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8,801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6,159</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ind w:left="340"/>
              <w:spacing w:after="0"/>
              <w:rPr>
                <w:sz w:val="20"/>
                <w:szCs w:val="20"/>
                <w:color w:val="auto"/>
              </w:rPr>
            </w:pPr>
            <w:r>
              <w:rPr>
                <w:rFonts w:ascii="Arial" w:cs="Arial" w:eastAsia="Arial" w:hAnsi="Arial"/>
                <w:sz w:val="17"/>
                <w:szCs w:val="17"/>
                <w:color w:val="auto"/>
              </w:rPr>
              <w:t>Less: accumulated depreciation and amortization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(4,104)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(2,911)</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4,697</w:t>
            </w:r>
          </w:p>
        </w:tc>
        <w:tc>
          <w:tcPr>
            <w:tcW w:w="4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Depreciation and amortization expense associated with property and equipment was $1.2 million and $0.8 million for the nine months ended September 30, 2021 and 2020, respectively.</w:t>
      </w:r>
    </w:p>
    <w:p>
      <w:pPr>
        <w:spacing w:after="0" w:line="304" w:lineRule="exact"/>
        <w:rPr>
          <w:sz w:val="20"/>
          <w:szCs w:val="20"/>
          <w:color w:val="auto"/>
        </w:rPr>
      </w:pPr>
    </w:p>
    <w:p>
      <w:pPr>
        <w:ind w:left="860" w:hanging="403"/>
        <w:spacing w:after="0"/>
        <w:tabs>
          <w:tab w:leader="none" w:pos="86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Goodwill and Intangible Assets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6"/>
          <w:szCs w:val="16"/>
          <w:color w:val="auto"/>
        </w:rPr>
        <w:t>The carrying amounts of goodwill and intangible assets, as of September 30, 2021 and December 31, 2020, consist of the following:</w:t>
      </w:r>
    </w:p>
    <w:p>
      <w:pPr>
        <w:spacing w:after="0" w:line="251"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September 30, 2021</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21"/>
              <w:spacing w:after="0" w:line="112" w:lineRule="exact"/>
              <w:rPr>
                <w:sz w:val="20"/>
                <w:szCs w:val="20"/>
                <w:color w:val="auto"/>
              </w:rPr>
            </w:pPr>
            <w:r>
              <w:rPr>
                <w:rFonts w:ascii="Arial" w:cs="Arial" w:eastAsia="Arial" w:hAnsi="Arial"/>
                <w:sz w:val="12"/>
                <w:szCs w:val="12"/>
                <w:b w:val="1"/>
                <w:bCs w:val="1"/>
                <w:color w:val="auto"/>
                <w:w w:val="97"/>
              </w:rPr>
              <w:t>Gross</w:t>
            </w:r>
          </w:p>
        </w:tc>
        <w:tc>
          <w:tcPr>
            <w:tcW w:w="162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39"/>
        </w:trPr>
        <w:tc>
          <w:tcPr>
            <w:tcW w:w="332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1"/>
              <w:spacing w:after="0" w:line="139" w:lineRule="exact"/>
              <w:rPr>
                <w:sz w:val="20"/>
                <w:szCs w:val="20"/>
                <w:color w:val="auto"/>
              </w:rPr>
            </w:pPr>
            <w:r>
              <w:rPr>
                <w:rFonts w:ascii="Arial" w:cs="Arial" w:eastAsia="Arial" w:hAnsi="Arial"/>
                <w:sz w:val="13"/>
                <w:szCs w:val="13"/>
                <w:b w:val="1"/>
                <w:bCs w:val="1"/>
                <w:color w:val="auto"/>
              </w:rPr>
              <w:t>Carrying</w:t>
            </w:r>
          </w:p>
        </w:tc>
        <w:tc>
          <w:tcPr>
            <w:tcW w:w="1620" w:type="dxa"/>
            <w:vAlign w:val="bottom"/>
            <w:gridSpan w:val="4"/>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20" w:type="dxa"/>
            <w:vAlign w:val="bottom"/>
            <w:gridSpan w:val="2"/>
            <w:vMerge w:val="continue"/>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1"/>
              <w:spacing w:after="0"/>
              <w:rPr>
                <w:sz w:val="20"/>
                <w:szCs w:val="20"/>
                <w:color w:val="auto"/>
              </w:rPr>
            </w:pPr>
            <w:r>
              <w:rPr>
                <w:rFonts w:ascii="Arial" w:cs="Arial" w:eastAsia="Arial" w:hAnsi="Arial"/>
                <w:sz w:val="13"/>
                <w:szCs w:val="13"/>
                <w:b w:val="1"/>
                <w:bCs w:val="1"/>
                <w:color w:val="auto"/>
                <w:w w:val="93"/>
              </w:rPr>
              <w:t>Amount</w:t>
            </w:r>
          </w:p>
        </w:tc>
        <w:tc>
          <w:tcPr>
            <w:tcW w:w="1620" w:type="dxa"/>
            <w:vAlign w:val="bottom"/>
            <w:gridSpan w:val="4"/>
          </w:tcPr>
          <w:p>
            <w:pPr>
              <w:ind w:left="480"/>
              <w:spacing w:after="0"/>
              <w:rPr>
                <w:sz w:val="20"/>
                <w:szCs w:val="20"/>
                <w:color w:val="auto"/>
              </w:rPr>
            </w:pPr>
            <w:r>
              <w:rPr>
                <w:rFonts w:ascii="Arial" w:cs="Arial" w:eastAsia="Arial" w:hAnsi="Arial"/>
                <w:sz w:val="13"/>
                <w:szCs w:val="13"/>
                <w:b w:val="1"/>
                <w:bCs w:val="1"/>
                <w:color w:val="auto"/>
              </w:rPr>
              <w:t>Amortization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Finite-lived intangible assets:</w:t>
            </w:r>
          </w:p>
        </w:tc>
        <w:tc>
          <w:tcPr>
            <w:tcW w:w="19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370,030</w:t>
            </w:r>
          </w:p>
        </w:tc>
        <w:tc>
          <w:tcPr>
            <w:tcW w:w="6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(84,159)</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285,871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1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(15,648)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(4,510)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30,990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Database</w:t>
            </w:r>
          </w:p>
        </w:tc>
        <w:tc>
          <w:tcPr>
            <w:tcW w:w="1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(28,246)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2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w w:val="93"/>
              </w:rPr>
              <w:t>(132,563)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366,723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19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20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1,760,730</w:t>
            </w:r>
          </w:p>
        </w:tc>
        <w:tc>
          <w:tcPr>
            <w:tcW w:w="6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w w:val="93"/>
              </w:rPr>
              <w:t>(132,563)</w:t>
            </w:r>
          </w:p>
        </w:tc>
        <w:tc>
          <w:tcPr>
            <w:tcW w:w="260" w:type="dxa"/>
            <w:vAlign w:val="bottom"/>
            <w:gridSpan w:val="2"/>
          </w:tcPr>
          <w:p>
            <w:pPr>
              <w:ind w:left="160"/>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1,628,167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60" w:type="dxa"/>
            <w:vAlign w:val="bottom"/>
            <w:gridSpan w:val="2"/>
          </w:tcPr>
          <w:p>
            <w:pPr>
              <w:jc w:val="right"/>
              <w:ind w:right="880"/>
              <w:spacing w:after="0"/>
              <w:rPr>
                <w:sz w:val="20"/>
                <w:szCs w:val="20"/>
                <w:color w:val="auto"/>
              </w:rPr>
            </w:pPr>
            <w:r>
              <w:rPr>
                <w:rFonts w:ascii="Arial" w:cs="Arial" w:eastAsia="Arial" w:hAnsi="Arial"/>
                <w:sz w:val="17"/>
                <w:szCs w:val="17"/>
                <w:color w:val="auto"/>
              </w:rPr>
              <w:t>F-61</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66" w:right="119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December 31, 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21"/>
              <w:spacing w:after="0" w:line="112" w:lineRule="exact"/>
              <w:rPr>
                <w:sz w:val="20"/>
                <w:szCs w:val="20"/>
                <w:color w:val="auto"/>
              </w:rPr>
            </w:pPr>
            <w:r>
              <w:rPr>
                <w:rFonts w:ascii="Arial" w:cs="Arial" w:eastAsia="Arial" w:hAnsi="Arial"/>
                <w:sz w:val="12"/>
                <w:szCs w:val="12"/>
                <w:b w:val="1"/>
                <w:bCs w:val="1"/>
                <w:color w:val="auto"/>
                <w:w w:val="97"/>
              </w:rPr>
              <w:t>Gross</w:t>
            </w:r>
          </w:p>
        </w:tc>
        <w:tc>
          <w:tcPr>
            <w:tcW w:w="1740" w:type="dxa"/>
            <w:vAlign w:val="bottom"/>
            <w:gridSpan w:val="4"/>
            <w:vMerge w:val="restart"/>
          </w:tcPr>
          <w:p>
            <w:pPr>
              <w:ind w:left="560"/>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39"/>
        </w:trPr>
        <w:tc>
          <w:tcPr>
            <w:tcW w:w="512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00" w:type="dxa"/>
            <w:vAlign w:val="bottom"/>
          </w:tcPr>
          <w:p>
            <w:pPr>
              <w:spacing w:after="0"/>
              <w:rPr>
                <w:sz w:val="12"/>
                <w:szCs w:val="12"/>
                <w:color w:val="auto"/>
              </w:rPr>
            </w:pPr>
          </w:p>
        </w:tc>
        <w:tc>
          <w:tcPr>
            <w:tcW w:w="680" w:type="dxa"/>
            <w:vAlign w:val="bottom"/>
          </w:tcPr>
          <w:p>
            <w:pPr>
              <w:jc w:val="center"/>
              <w:ind w:right="21"/>
              <w:spacing w:after="0" w:line="139" w:lineRule="exact"/>
              <w:rPr>
                <w:sz w:val="20"/>
                <w:szCs w:val="20"/>
                <w:color w:val="auto"/>
              </w:rPr>
            </w:pPr>
            <w:r>
              <w:rPr>
                <w:rFonts w:ascii="Arial" w:cs="Arial" w:eastAsia="Arial" w:hAnsi="Arial"/>
                <w:sz w:val="13"/>
                <w:szCs w:val="13"/>
                <w:b w:val="1"/>
                <w:bCs w:val="1"/>
                <w:color w:val="auto"/>
              </w:rPr>
              <w:t>Carrying</w:t>
            </w:r>
          </w:p>
        </w:tc>
        <w:tc>
          <w:tcPr>
            <w:tcW w:w="1740" w:type="dxa"/>
            <w:vAlign w:val="bottom"/>
            <w:gridSpan w:val="4"/>
            <w:vMerge w:val="continue"/>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21"/>
              <w:spacing w:after="0"/>
              <w:rPr>
                <w:sz w:val="20"/>
                <w:szCs w:val="20"/>
                <w:color w:val="auto"/>
              </w:rPr>
            </w:pPr>
            <w:r>
              <w:rPr>
                <w:rFonts w:ascii="Arial" w:cs="Arial" w:eastAsia="Arial" w:hAnsi="Arial"/>
                <w:sz w:val="13"/>
                <w:szCs w:val="13"/>
                <w:b w:val="1"/>
                <w:bCs w:val="1"/>
                <w:color w:val="auto"/>
                <w:w w:val="93"/>
              </w:rPr>
              <w:t>Amount</w:t>
            </w:r>
          </w:p>
        </w:tc>
        <w:tc>
          <w:tcPr>
            <w:tcW w:w="1740" w:type="dxa"/>
            <w:vAlign w:val="bottom"/>
            <w:gridSpan w:val="4"/>
          </w:tcPr>
          <w:p>
            <w:pPr>
              <w:ind w:left="560"/>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Finite-lived intangible assets:</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370,030</w:t>
            </w:r>
          </w:p>
        </w:tc>
        <w:tc>
          <w:tcPr>
            <w:tcW w:w="7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(58,097)</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311,933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(10,218)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35,500</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(2,952)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Database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(17,782)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499,286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(89,049)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1,760,730</w:t>
            </w:r>
          </w:p>
        </w:tc>
        <w:tc>
          <w:tcPr>
            <w:tcW w:w="7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(89,049)</w:t>
            </w:r>
          </w:p>
        </w:tc>
        <w:tc>
          <w:tcPr>
            <w:tcW w:w="300" w:type="dxa"/>
            <w:vAlign w:val="bottom"/>
            <w:gridSpan w:val="2"/>
          </w:tcPr>
          <w:p>
            <w:pPr>
              <w:ind w:left="22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1,671,681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220" w:firstLine="413"/>
        <w:spacing w:after="0" w:line="272" w:lineRule="auto"/>
        <w:rPr>
          <w:sz w:val="20"/>
          <w:szCs w:val="20"/>
          <w:color w:val="auto"/>
        </w:rPr>
      </w:pPr>
      <w:r>
        <w:rPr>
          <w:rFonts w:ascii="Arial" w:cs="Arial" w:eastAsia="Arial" w:hAnsi="Arial"/>
          <w:sz w:val="17"/>
          <w:szCs w:val="17"/>
          <w:color w:val="auto"/>
        </w:rPr>
        <w:t>Amortization expense associated with finite-lived intangible assets was $43.5 million for both the nine months ended September 30, 2021 and 2020, of which $15.9 million and $14.3 million was included in cost of revenue for the respective periods.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There were no changes to the carrying amount of goodwill in the nine months ended September 30, 2021.</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Company determined it had one reporting unit. There was no impairment of goodwill in the nine months ended September 30, 2021 or 2020.</w:t>
      </w:r>
    </w:p>
    <w:p>
      <w:pPr>
        <w:spacing w:after="0" w:line="372" w:lineRule="exact"/>
        <w:rPr>
          <w:sz w:val="20"/>
          <w:szCs w:val="20"/>
          <w:color w:val="auto"/>
        </w:rPr>
      </w:pPr>
    </w:p>
    <w:p>
      <w:pPr>
        <w:ind w:left="860" w:hanging="403"/>
        <w:spacing w:after="0"/>
        <w:tabs>
          <w:tab w:leader="none" w:pos="860"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Long-Term Debt</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Long-term debt consisted of the following as of September 30, 2021 and December 31, 2020, respectively:</w:t>
      </w:r>
    </w:p>
    <w:p>
      <w:pPr>
        <w:spacing w:after="0" w:line="240" w:lineRule="exact"/>
        <w:rPr>
          <w:sz w:val="20"/>
          <w:szCs w:val="20"/>
          <w:color w:val="auto"/>
        </w:rPr>
      </w:pPr>
    </w:p>
    <w:tbl>
      <w:tblPr>
        <w:tblLayout w:type="fixed"/>
        <w:tblInd w:w="12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September 30, 2021</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300" w:type="dxa"/>
            <w:vAlign w:val="bottom"/>
            <w:gridSpan w:val="4"/>
          </w:tcPr>
          <w:p>
            <w:pPr>
              <w:ind w:left="600"/>
              <w:spacing w:after="0" w:line="112" w:lineRule="exact"/>
              <w:rPr>
                <w:sz w:val="20"/>
                <w:szCs w:val="20"/>
                <w:color w:val="auto"/>
              </w:rPr>
            </w:pPr>
            <w:r>
              <w:rPr>
                <w:rFonts w:ascii="Arial" w:cs="Arial" w:eastAsia="Arial" w:hAnsi="Arial"/>
                <w:sz w:val="12"/>
                <w:szCs w:val="12"/>
                <w:b w:val="1"/>
                <w:bCs w:val="1"/>
                <w:color w:val="auto"/>
              </w:rPr>
              <w:t>Unamortized debt</w:t>
            </w:r>
          </w:p>
        </w:tc>
        <w:tc>
          <w:tcPr>
            <w:tcW w:w="20" w:type="dxa"/>
            <w:vAlign w:val="bottom"/>
          </w:tcPr>
          <w:p>
            <w:pPr>
              <w:spacing w:after="0"/>
              <w:rPr>
                <w:sz w:val="9"/>
                <w:szCs w:val="9"/>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4"/>
              </w:rPr>
              <w:t>Total debt,</w:t>
            </w:r>
          </w:p>
        </w:tc>
        <w:tc>
          <w:tcPr>
            <w:tcW w:w="0" w:type="dxa"/>
            <w:vAlign w:val="bottom"/>
          </w:tcPr>
          <w:p>
            <w:pPr>
              <w:spacing w:after="0"/>
              <w:rPr>
                <w:sz w:val="1"/>
                <w:szCs w:val="1"/>
                <w:color w:val="auto"/>
              </w:rPr>
            </w:pPr>
          </w:p>
        </w:tc>
      </w:tr>
      <w:tr>
        <w:trPr>
          <w:trHeight w:val="139"/>
        </w:trPr>
        <w:tc>
          <w:tcPr>
            <w:tcW w:w="388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Principal</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right"/>
              <w:ind w:right="740"/>
              <w:spacing w:after="0" w:line="139" w:lineRule="exact"/>
              <w:rPr>
                <w:sz w:val="20"/>
                <w:szCs w:val="20"/>
                <w:color w:val="auto"/>
              </w:rPr>
            </w:pPr>
            <w:r>
              <w:rPr>
                <w:rFonts w:ascii="Arial" w:cs="Arial" w:eastAsia="Arial" w:hAnsi="Arial"/>
                <w:sz w:val="13"/>
                <w:szCs w:val="13"/>
                <w:b w:val="1"/>
                <w:bCs w:val="1"/>
                <w:color w:val="auto"/>
                <w:w w:val="85"/>
              </w:rPr>
              <w:t>issuance costs /</w:t>
            </w: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w w:val="88"/>
              </w:rPr>
              <w:t>financing costs</w:t>
            </w:r>
          </w:p>
        </w:tc>
        <w:tc>
          <w:tcPr>
            <w:tcW w:w="2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2021 Term Loan</w:t>
            </w:r>
          </w:p>
        </w:tc>
        <w:tc>
          <w:tcPr>
            <w:tcW w:w="1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$275,000</w:t>
            </w: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(2,737)</w:t>
            </w: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$272,263</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Less: current portion of long-term debt</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Long-term debt</w:t>
            </w: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265,388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300" w:type="dxa"/>
            <w:vAlign w:val="bottom"/>
            <w:gridSpan w:val="4"/>
          </w:tcPr>
          <w:p>
            <w:pPr>
              <w:ind w:left="600"/>
              <w:spacing w:after="0" w:line="112" w:lineRule="exact"/>
              <w:rPr>
                <w:sz w:val="20"/>
                <w:szCs w:val="20"/>
                <w:color w:val="auto"/>
              </w:rPr>
            </w:pPr>
            <w:r>
              <w:rPr>
                <w:rFonts w:ascii="Arial" w:cs="Arial" w:eastAsia="Arial" w:hAnsi="Arial"/>
                <w:sz w:val="12"/>
                <w:szCs w:val="12"/>
                <w:b w:val="1"/>
                <w:bCs w:val="1"/>
                <w:color w:val="auto"/>
              </w:rPr>
              <w:t>Unamortized debt</w:t>
            </w:r>
          </w:p>
        </w:tc>
        <w:tc>
          <w:tcPr>
            <w:tcW w:w="20" w:type="dxa"/>
            <w:vAlign w:val="bottom"/>
          </w:tcPr>
          <w:p>
            <w:pPr>
              <w:spacing w:after="0"/>
              <w:rPr>
                <w:sz w:val="9"/>
                <w:szCs w:val="9"/>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4"/>
              </w:rPr>
              <w:t>Total debt,</w:t>
            </w:r>
          </w:p>
        </w:tc>
        <w:tc>
          <w:tcPr>
            <w:tcW w:w="0" w:type="dxa"/>
            <w:vAlign w:val="bottom"/>
          </w:tcPr>
          <w:p>
            <w:pPr>
              <w:spacing w:after="0"/>
              <w:rPr>
                <w:sz w:val="1"/>
                <w:szCs w:val="1"/>
                <w:color w:val="auto"/>
              </w:rPr>
            </w:pPr>
          </w:p>
        </w:tc>
      </w:tr>
      <w:tr>
        <w:trPr>
          <w:trHeight w:val="139"/>
        </w:trPr>
        <w:tc>
          <w:tcPr>
            <w:tcW w:w="388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Principal</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right"/>
              <w:ind w:right="740"/>
              <w:spacing w:after="0" w:line="139" w:lineRule="exact"/>
              <w:rPr>
                <w:sz w:val="20"/>
                <w:szCs w:val="20"/>
                <w:color w:val="auto"/>
              </w:rPr>
            </w:pPr>
            <w:r>
              <w:rPr>
                <w:rFonts w:ascii="Arial" w:cs="Arial" w:eastAsia="Arial" w:hAnsi="Arial"/>
                <w:sz w:val="13"/>
                <w:szCs w:val="13"/>
                <w:b w:val="1"/>
                <w:bCs w:val="1"/>
                <w:color w:val="auto"/>
                <w:w w:val="85"/>
              </w:rPr>
              <w:t>issuance costs /</w:t>
            </w: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w w:val="88"/>
              </w:rPr>
              <w:t>financing costs</w:t>
            </w:r>
          </w:p>
        </w:tc>
        <w:tc>
          <w:tcPr>
            <w:tcW w:w="2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2019 Term Loan</w:t>
            </w:r>
          </w:p>
        </w:tc>
        <w:tc>
          <w:tcPr>
            <w:tcW w:w="1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$444,375</w:t>
            </w: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(10,865)</w:t>
            </w: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$433,510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Paid in kind interest on 2019 Term Loan</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Loan</w:t>
            </w:r>
          </w:p>
        </w:tc>
        <w:tc>
          <w:tcPr>
            <w:tcW w:w="1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6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280"/>
              <w:spacing w:after="0"/>
              <w:rPr>
                <w:sz w:val="20"/>
                <w:szCs w:val="20"/>
                <w:color w:val="auto"/>
              </w:rPr>
            </w:pPr>
            <w:r>
              <w:rPr>
                <w:rFonts w:ascii="Arial" w:cs="Arial" w:eastAsia="Arial" w:hAnsi="Arial"/>
                <w:sz w:val="17"/>
                <w:szCs w:val="17"/>
                <w:color w:val="auto"/>
              </w:rPr>
              <w:t>Total debt</w:t>
            </w:r>
          </w:p>
        </w:tc>
        <w:tc>
          <w:tcPr>
            <w:tcW w:w="18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472,742</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00"/>
              <w:spacing w:after="0"/>
              <w:rPr>
                <w:sz w:val="20"/>
                <w:szCs w:val="20"/>
                <w:color w:val="auto"/>
              </w:rPr>
            </w:pPr>
            <w:r>
              <w:rPr>
                <w:rFonts w:ascii="Arial" w:cs="Arial" w:eastAsia="Arial" w:hAnsi="Arial"/>
                <w:sz w:val="17"/>
                <w:szCs w:val="17"/>
                <w:color w:val="auto"/>
              </w:rPr>
              <w:t>(10,865)</w:t>
            </w:r>
          </w:p>
        </w:tc>
        <w:tc>
          <w:tcPr>
            <w:tcW w:w="6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461,877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Less: current portion of long-term debt</w:t>
            </w:r>
          </w:p>
        </w:tc>
        <w:tc>
          <w:tcPr>
            <w:tcW w:w="1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8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457,197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160" w:firstLine="413"/>
        <w:spacing w:after="0" w:line="277" w:lineRule="auto"/>
        <w:rPr>
          <w:sz w:val="20"/>
          <w:szCs w:val="20"/>
          <w:color w:val="auto"/>
        </w:rPr>
      </w:pPr>
      <w:r>
        <w:rPr>
          <w:rFonts w:ascii="Arial" w:cs="Arial" w:eastAsia="Arial" w:hAnsi="Arial"/>
          <w:sz w:val="16"/>
          <w:szCs w:val="16"/>
          <w:color w:val="auto"/>
        </w:rPr>
        <w:t>On September 17, 2021, the Company repaid the outstanding principal balances of the 2019 Term Loan, as described below, of $442.1 million, paid in kind interest, as described below, of $10.4 million, 2019 Delayed Draw Term Loan, as described below, of $17.9 million and related accrued interest payable of $4.2 million totaling $474.6 million using the proceeds from the 2021 Term Loan, as described below, of $275.0 million and net proceeds of the IPO of $199.6 million, inclusive of accrued interest expense. The effective interest rate for</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0680"/>
          </w:cols>
          <w:pgMar w:left="320" w:top="466" w:right="89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these loans under the 2019 Credit Agreement, as described below, was 6.25% as of the repayment date. The Company recognized a $9.9 million loss on the extinguishment of debt relating to the write off of unamortized debt issuance costs.</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2021 Credit Agreement</w:t>
      </w:r>
    </w:p>
    <w:p>
      <w:pPr>
        <w:spacing w:after="0" w:line="108" w:lineRule="exact"/>
        <w:rPr>
          <w:sz w:val="20"/>
          <w:szCs w:val="20"/>
          <w:color w:val="auto"/>
        </w:rPr>
      </w:pPr>
    </w:p>
    <w:p>
      <w:pPr>
        <w:ind w:left="460" w:right="60" w:firstLine="413"/>
        <w:spacing w:after="0" w:line="268" w:lineRule="auto"/>
        <w:rPr>
          <w:sz w:val="20"/>
          <w:szCs w:val="20"/>
          <w:color w:val="auto"/>
        </w:rPr>
      </w:pPr>
      <w:r>
        <w:rPr>
          <w:rFonts w:ascii="Arial" w:cs="Arial" w:eastAsia="Arial" w:hAnsi="Arial"/>
          <w:sz w:val="16"/>
          <w:szCs w:val="16"/>
          <w:color w:val="auto"/>
        </w:rPr>
        <w:t>On September 17, 2021, Definitive Healthcare Holdings, LLC, a Delaware limited liability company (“DH Holdings”), an indirect subsidiary of Definitive Healthcare Corp.,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the 2019 Credit Agreement (as described below). Both the 2021 Term Loan and the 2021 Revolving Line of Credit mature on September 17, 2026. The 2021 Credit Facilities include customary affirmative, negative and financial covenants. The 2021 Credit Facilities are guaranteed by all of DH Holdings’s wholly-owned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174"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$275.0 million outstanding on the 2021 Term Loan at September 30, 2021.</w:t>
      </w:r>
    </w:p>
    <w:p>
      <w:pPr>
        <w:spacing w:after="0" w:line="165" w:lineRule="exact"/>
        <w:rPr>
          <w:sz w:val="20"/>
          <w:szCs w:val="20"/>
          <w:color w:val="auto"/>
        </w:rPr>
      </w:pPr>
    </w:p>
    <w:p>
      <w:pPr>
        <w:ind w:left="460" w:right="20" w:firstLine="413"/>
        <w:spacing w:after="0" w:line="256" w:lineRule="auto"/>
        <w:rPr>
          <w:sz w:val="20"/>
          <w:szCs w:val="20"/>
          <w:color w:val="auto"/>
        </w:rPr>
      </w:pPr>
      <w:r>
        <w:rPr>
          <w:rFonts w:ascii="Arial" w:cs="Arial" w:eastAsia="Arial" w:hAnsi="Arial"/>
          <w:sz w:val="17"/>
          <w:szCs w:val="17"/>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September 30, 2021.</w:t>
      </w:r>
    </w:p>
    <w:p>
      <w:pPr>
        <w:spacing w:after="0" w:line="179"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For both the 2021 Term Loan and 2021 Revolving Line of Credit, DH Holdings may elect from several interest rate options based on the LIBO Rate or the Base Rate plus an applicable margin. The applicable margin will be based on the total leverage ratio beginning in the fiscal year ended December 31, 2022. As of September 30, 2021, the effective interest rate was 2.37%.</w:t>
      </w:r>
    </w:p>
    <w:p>
      <w:pPr>
        <w:spacing w:after="0" w:line="175" w:lineRule="exact"/>
        <w:rPr>
          <w:sz w:val="20"/>
          <w:szCs w:val="20"/>
          <w:color w:val="auto"/>
        </w:rPr>
      </w:pPr>
    </w:p>
    <w:p>
      <w:pPr>
        <w:ind w:left="460" w:right="80" w:firstLine="413"/>
        <w:spacing w:after="0" w:line="254" w:lineRule="auto"/>
        <w:rPr>
          <w:sz w:val="20"/>
          <w:szCs w:val="20"/>
          <w:color w:val="auto"/>
        </w:rPr>
      </w:pPr>
      <w:r>
        <w:rPr>
          <w:rFonts w:ascii="Arial" w:cs="Arial" w:eastAsia="Arial" w:hAnsi="Arial"/>
          <w:sz w:val="17"/>
          <w:szCs w:val="17"/>
          <w:color w:val="auto"/>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amortized over the life of the arrangement.</w:t>
      </w:r>
    </w:p>
    <w:p>
      <w:pPr>
        <w:spacing w:after="0" w:line="283"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2019 Credit Agreement</w:t>
      </w:r>
    </w:p>
    <w:p>
      <w:pPr>
        <w:spacing w:after="0" w:line="210" w:lineRule="exact"/>
        <w:rPr>
          <w:sz w:val="20"/>
          <w:szCs w:val="20"/>
          <w:color w:val="auto"/>
        </w:rPr>
      </w:pPr>
    </w:p>
    <w:p>
      <w:pPr>
        <w:jc w:val="both"/>
        <w:ind w:left="460" w:right="240" w:firstLine="413"/>
        <w:spacing w:after="0" w:line="253" w:lineRule="auto"/>
        <w:rPr>
          <w:sz w:val="20"/>
          <w:szCs w:val="20"/>
          <w:color w:val="auto"/>
        </w:rPr>
      </w:pPr>
      <w:r>
        <w:rPr>
          <w:rFonts w:ascii="Arial" w:cs="Arial" w:eastAsia="Arial" w:hAnsi="Arial"/>
          <w:sz w:val="17"/>
          <w:szCs w:val="17"/>
          <w:color w:val="auto"/>
        </w:rPr>
        <w:t>On July 16, 2019, DH Holdings entered into a credit agreement (the “2019 Credit Agreement”) by and among DH Holdings, the lenders party thereto and Owl Rock Capital Corporation, as administrative agent. Under the 2019 Credit Agreement, a $450.0 million term loan facility (the “2019 Term Loan”), a $100.0 million delayed draw term</w:t>
      </w:r>
    </w:p>
    <w:p>
      <w:pPr>
        <w:spacing w:after="0" w:line="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3876040</wp:posOffset>
            </wp:positionV>
            <wp:extent cx="7182485" cy="654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2485" cy="65405"/>
                    </a:xfrm>
                    <a:prstGeom prst="rect">
                      <a:avLst/>
                    </a:prstGeom>
                    <a:noFill/>
                  </pic:spPr>
                </pic:pic>
              </a:graphicData>
            </a:graphic>
          </wp:anchor>
        </w:drawing>
      </w:r>
    </w:p>
    <w:p>
      <w:pPr>
        <w:sectPr>
          <w:pgSz w:w="11900" w:h="16838" w:orient="portrait"/>
          <w:cols w:equalWidth="0" w:num="1">
            <w:col w:w="10760"/>
          </w:cols>
          <w:pgMar w:left="320" w:top="465" w:right="8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760"/>
          </w:cols>
          <w:pgMar w:left="320" w:top="465" w:right="819" w:bottom="0" w:gutter="0" w:footer="0" w:header="0"/>
          <w:type w:val="continuous"/>
        </w:sectPr>
      </w:pPr>
    </w:p>
    <w:bookmarkStart w:id="271" w:name="page272"/>
    <w:bookmarkEnd w:id="271"/>
    <w:p>
      <w:pPr>
        <w:ind w:right="180"/>
        <w:spacing w:after="0" w:line="253" w:lineRule="auto"/>
        <w:rPr>
          <w:sz w:val="20"/>
          <w:szCs w:val="20"/>
          <w:color w:val="auto"/>
        </w:rPr>
      </w:pPr>
      <w:r>
        <w:rPr>
          <w:rFonts w:ascii="Arial" w:cs="Arial" w:eastAsia="Arial" w:hAnsi="Arial"/>
          <w:sz w:val="17"/>
          <w:szCs w:val="17"/>
          <w:color w:val="auto"/>
        </w:rPr>
        <w:t>loan facility (the “2019 Delayed Draw Term Loan”) and a $25.0 million revolving line of credit (the “2019 Revolving Line of Credit”) were made available to DH Holdings. The 2019 Credit Agreement included customary affirmative, negative and financial covenants. All facilities under the 2019 Credit Agreement were guaranteed, by DH Holdings’s wholly-owned domestic restricted subsidiary, Definitive Healthcare LLC, a Massachusetts limited liability company and AIDH Buyer, LLC, a Delaware limited liability company and the direct parent company of DH Holdings, and were secured by a lien on substantially all of the assets of DH Holdings and the guarantors, including a pledge of the equity of DH Holdings, in each case, subject to customary exceptions.</w:t>
      </w:r>
    </w:p>
    <w:p>
      <w:pPr>
        <w:spacing w:after="0" w:line="182" w:lineRule="exact"/>
        <w:rPr>
          <w:sz w:val="20"/>
          <w:szCs w:val="20"/>
          <w:color w:val="auto"/>
        </w:rPr>
      </w:pPr>
    </w:p>
    <w:p>
      <w:pPr>
        <w:ind w:firstLine="413"/>
        <w:spacing w:after="0" w:line="269" w:lineRule="auto"/>
        <w:rPr>
          <w:sz w:val="20"/>
          <w:szCs w:val="20"/>
          <w:color w:val="auto"/>
        </w:rPr>
      </w:pPr>
      <w:r>
        <w:rPr>
          <w:rFonts w:ascii="Arial" w:cs="Arial" w:eastAsia="Arial" w:hAnsi="Arial"/>
          <w:sz w:val="16"/>
          <w:szCs w:val="16"/>
          <w:color w:val="auto"/>
        </w:rPr>
        <w:t>The 2019 Term Loan had a maturity date of July 16, 2026 and was issued with an original issue discount of $11.3 million and amortized to interest expense over the term of the agreement using the effective interest method. Interest on a portion of the loan ($100.0 million of the $450.0 million principal amount) was treated as paid in kind and added to the principal balance to be paid off at maturity. DH Holdings could elect from several interest rate options based on the Eurodollar Rate or the Base Rate plus an applicable margin. Quarterly principal payments of $1.1 million began in December 2019 and were required through the 2019 Term Loan’s maturity, at which time a balloon payment of $419.6 million, excluding the paid in kind portion, was due. The paid in kind interest was payable on the maturity date. 2019 Term Loan was subject to excess cash flow payments annually beginning in the fiscal year ended December 31, 2020 based on the total leverage ratio. There was $454.8 million outstanding on the 2019 Term Loan at December 31, 2020, including $10.4 million of paid in kind interest. The effective interest rate for the 2019 Term Loan and paid in kind effective interest was 6.50% at December 31, 2020.</w:t>
      </w:r>
    </w:p>
    <w:p>
      <w:pPr>
        <w:spacing w:after="0" w:line="170" w:lineRule="exact"/>
        <w:rPr>
          <w:sz w:val="20"/>
          <w:szCs w:val="20"/>
          <w:color w:val="auto"/>
        </w:rPr>
      </w:pPr>
    </w:p>
    <w:p>
      <w:pPr>
        <w:ind w:right="40" w:firstLine="413"/>
        <w:spacing w:after="0" w:line="269" w:lineRule="auto"/>
        <w:rPr>
          <w:sz w:val="20"/>
          <w:szCs w:val="20"/>
          <w:color w:val="auto"/>
        </w:rPr>
      </w:pPr>
      <w:r>
        <w:rPr>
          <w:rFonts w:ascii="Arial" w:cs="Arial" w:eastAsia="Arial" w:hAnsi="Arial"/>
          <w:sz w:val="16"/>
          <w:szCs w:val="16"/>
          <w:color w:val="auto"/>
        </w:rPr>
        <w:t>The 2019 Delayed Draw Term Loan had a maturity of July 16, 2026. The 2019 Delayed Draw Term Loan was issued with an original issue discount of $1.3 million. DH Holdings could draw down funds under the 2019 Delayed Draw Term Loan until July 16, 2021. As of December 31, 2020, DH Holdings drew $18.0 million on the 2019 Delayed Draw Term Loan, in connection with the Monocl acquisition. DH Holdings could elect from several interest rate options based on the Eurodollar Rate or the Base Rate plus an applicable margin. Quarterly in arrears through July 16, 2021, DH Holdings was required to pay the bank a fee equal to 1% per annum of the amount of the 2019 Delayed Draw Term Loan unused capacity. Quarterly principal payments began in December 2020 in quarterly installments equal to 0.25% of the aggregate amount outstanding on the 2019 Delayed Draw Term Loan, and are required through the note’s maturity, at which time a payment of the entire outstanding principal balance will be due. The outstanding balance on the 2019 Delayed Draw Term Loan was $18.0 million at December 31, 2020. The effective interest rate for the 2019 Delayed Draw Term Loan was 6.50% at December 31, 2020.</w:t>
      </w:r>
    </w:p>
    <w:p>
      <w:pPr>
        <w:spacing w:after="0" w:line="170" w:lineRule="exact"/>
        <w:rPr>
          <w:sz w:val="20"/>
          <w:szCs w:val="20"/>
          <w:color w:val="auto"/>
        </w:rPr>
      </w:pPr>
    </w:p>
    <w:p>
      <w:pPr>
        <w:ind w:right="120" w:firstLine="413"/>
        <w:spacing w:after="0" w:line="277" w:lineRule="auto"/>
        <w:rPr>
          <w:sz w:val="20"/>
          <w:szCs w:val="20"/>
          <w:color w:val="auto"/>
        </w:rPr>
      </w:pPr>
      <w:r>
        <w:rPr>
          <w:rFonts w:ascii="Arial" w:cs="Arial" w:eastAsia="Arial" w:hAnsi="Arial"/>
          <w:sz w:val="16"/>
          <w:szCs w:val="16"/>
          <w:color w:val="auto"/>
        </w:rPr>
        <w:t>The 2019 Revolving Line of Credit had a maturity of July 16, 2024. DH Holdings could elect from several interest rate options based on the Eurodollar Rate or the Base Rate plus an applicable margin. During 2020, $25.0 million was drawn on the 2019 Revolving Line of Credit and subsequently paid back in 2020. There was no outstanding balance on the 2019 Revolving Line of Credit at December 31, 2020. No draws on the 2019 Revolving Line of Credit were made in 2021 and the 2019 Credit Agreement was terminated on September 17, 2021.</w:t>
      </w:r>
    </w:p>
    <w:p>
      <w:pPr>
        <w:spacing w:after="0" w:line="164" w:lineRule="exact"/>
        <w:rPr>
          <w:sz w:val="20"/>
          <w:szCs w:val="20"/>
          <w:color w:val="auto"/>
        </w:rPr>
      </w:pPr>
    </w:p>
    <w:p>
      <w:pPr>
        <w:ind w:right="220" w:firstLine="413"/>
        <w:spacing w:after="0" w:line="270" w:lineRule="auto"/>
        <w:rPr>
          <w:sz w:val="20"/>
          <w:szCs w:val="20"/>
          <w:color w:val="auto"/>
        </w:rPr>
      </w:pPr>
      <w:r>
        <w:rPr>
          <w:rFonts w:ascii="Arial" w:cs="Arial" w:eastAsia="Arial" w:hAnsi="Arial"/>
          <w:sz w:val="16"/>
          <w:szCs w:val="16"/>
          <w:color w:val="auto"/>
        </w:rPr>
        <w:t>In connection with the 2019 Credit Agreement, the Company originally capitalized financing costs totaling $14.1 million, $13.4 million for the 2019 Term Loan and $0.7 million for the 2019 Revolving Line of Credit. In October 2020, the Company capitalized an additional $0.2 million in financing costs associated with the 2019 Delayed Draw Term Loan borrowing. These financing costs were recorded as deferred financing costs in the condensed consolidated balance sheets and amortized over the remaining lives of the respective borrowing using the effective interest method. The Company expensed capitalized financing costs for the 2019 Credit Agreement through interest expense of $1.5 million for the nine months ended September 30, 2021 and 2020, respectively. At December 31, 2020, the unamortized financing costs for the 2019 Revolving Line of Credit of $0.5 million was classified in other assets in the consolidated balance sheet.</w:t>
      </w:r>
    </w:p>
    <w:p>
      <w:pPr>
        <w:spacing w:after="0" w:line="109"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0320"/>
          </w:cols>
          <w:pgMar w:left="780" w:top="127" w:right="79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 Measurements</w:t>
      </w:r>
    </w:p>
    <w:p>
      <w:pPr>
        <w:spacing w:after="0" w:line="108" w:lineRule="exact"/>
        <w:rPr>
          <w:sz w:val="20"/>
          <w:szCs w:val="20"/>
          <w:color w:val="auto"/>
        </w:rPr>
      </w:pPr>
    </w:p>
    <w:p>
      <w:pPr>
        <w:ind w:left="460" w:right="120" w:firstLine="413"/>
        <w:spacing w:after="0" w:line="260"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75" w:lineRule="exact"/>
        <w:rPr>
          <w:sz w:val="20"/>
          <w:szCs w:val="20"/>
          <w:color w:val="auto"/>
        </w:rPr>
      </w:pPr>
    </w:p>
    <w:p>
      <w:pPr>
        <w:ind w:left="460" w:right="180" w:firstLine="413"/>
        <w:spacing w:after="0" w:line="311" w:lineRule="auto"/>
        <w:rPr>
          <w:sz w:val="20"/>
          <w:szCs w:val="20"/>
          <w:color w:val="auto"/>
        </w:rPr>
      </w:pPr>
      <w:r>
        <w:rPr>
          <w:rFonts w:ascii="Arial" w:cs="Arial" w:eastAsia="Arial" w:hAnsi="Arial"/>
          <w:sz w:val="15"/>
          <w:szCs w:val="15"/>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0" w:lineRule="exact"/>
        <w:rPr>
          <w:sz w:val="20"/>
          <w:szCs w:val="20"/>
          <w:color w:val="auto"/>
        </w:rPr>
      </w:pPr>
    </w:p>
    <w:p>
      <w:pPr>
        <w:ind w:left="460" w:right="80" w:firstLine="413"/>
        <w:spacing w:after="0" w:line="284" w:lineRule="auto"/>
        <w:rPr>
          <w:sz w:val="20"/>
          <w:szCs w:val="20"/>
          <w:color w:val="auto"/>
        </w:rPr>
      </w:pPr>
      <w:r>
        <w:rPr>
          <w:rFonts w:ascii="Arial" w:cs="Arial" w:eastAsia="Arial" w:hAnsi="Arial"/>
          <w:sz w:val="16"/>
          <w:szCs w:val="16"/>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contingent consideration, which resulted from the earn-outs associated with the Monocl acquisition, is measured at fair value on a recurring</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basis. The fair value was estimated using a variation of the income approach, known as the real options method, where ARR was simulated in a risk-</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neutral framework using Geometric Brownian Motion, a well-accepted model of stock price behavior that is used in option pricing models such as the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Black-Scholes option pricing model. The risk-neutral expected (probability-weighted) earnout payments were then calculated based on simulation</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results. An increase to a probability of achievement would result in a higher fair value measurement. At September 30, 2021 and December 31, 2020,</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the contingent consideration was estimated at $6.9 million and $5.2 million, respectively. The current portion of the earn-out liability</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($6.9 million and $1.5 million at September 30, 2021 and December 31, 2020, respectively) is included in accrued expenses and other current liabilities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the consolidated balance sheets, and the non-current portion (nil at September 30, 2021 and $3.7 million at December 31, 2020) in other long-term</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liabilities. A payment of $1.5 million was made in April 2021.</w:t>
      </w:r>
    </w:p>
    <w:p>
      <w:pPr>
        <w:spacing w:after="0" w:line="198" w:lineRule="exact"/>
        <w:rPr>
          <w:sz w:val="20"/>
          <w:szCs w:val="20"/>
          <w:color w:val="auto"/>
        </w:rPr>
      </w:pPr>
    </w:p>
    <w:p>
      <w:pPr>
        <w:ind w:left="460" w:right="140" w:firstLine="413"/>
        <w:spacing w:after="0" w:line="284" w:lineRule="auto"/>
        <w:rPr>
          <w:sz w:val="20"/>
          <w:szCs w:val="20"/>
          <w:color w:val="auto"/>
        </w:rPr>
      </w:pPr>
      <w:r>
        <w:rPr>
          <w:rFonts w:ascii="Arial" w:cs="Arial" w:eastAsia="Arial" w:hAnsi="Arial"/>
          <w:sz w:val="16"/>
          <w:szCs w:val="16"/>
          <w:color w:val="auto"/>
        </w:rPr>
        <w:t>Earn-out liabilities are classified within Level 3 in the fair value hierarchy because the methodology used to develop the estimated fair value includes significant unobservable inputs reflecting management’s own assumptions. The valuation techniques and significant unobservable inputs used in recurring Level 3 fair value measurements were as follows as of September 30, 2021 and December 31, 2020:</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34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4060" w:type="dxa"/>
            <w:vAlign w:val="bottom"/>
            <w:gridSpan w:val="2"/>
          </w:tcPr>
          <w:p>
            <w:pPr>
              <w:ind w:left="1220"/>
              <w:spacing w:after="0"/>
              <w:rPr>
                <w:sz w:val="20"/>
                <w:szCs w:val="20"/>
                <w:color w:val="auto"/>
              </w:rPr>
            </w:pPr>
            <w:r>
              <w:rPr>
                <w:rFonts w:ascii="Arial" w:cs="Arial" w:eastAsia="Arial" w:hAnsi="Arial"/>
                <w:sz w:val="13"/>
                <w:szCs w:val="13"/>
                <w:b w:val="1"/>
                <w:bCs w:val="1"/>
                <w:color w:val="auto"/>
              </w:rPr>
              <w:t>Valuation Technique</w:t>
            </w:r>
          </w:p>
        </w:tc>
        <w:tc>
          <w:tcPr>
            <w:tcW w:w="18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1"/>
              </w:rPr>
              <w:t>Unobservable Inputs</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1"/>
              </w:rPr>
              <w:t>Discount Rate</w:t>
            </w:r>
          </w:p>
        </w:tc>
        <w:tc>
          <w:tcPr>
            <w:tcW w:w="0" w:type="dxa"/>
            <w:vAlign w:val="bottom"/>
          </w:tcPr>
          <w:p>
            <w:pPr>
              <w:spacing w:after="0"/>
              <w:rPr>
                <w:sz w:val="1"/>
                <w:szCs w:val="1"/>
                <w:color w:val="auto"/>
              </w:rPr>
            </w:pPr>
          </w:p>
        </w:tc>
      </w:tr>
      <w:tr>
        <w:trPr>
          <w:trHeight w:val="20"/>
        </w:trPr>
        <w:tc>
          <w:tcPr>
            <w:tcW w:w="23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4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7"/>
                <w:szCs w:val="17"/>
                <w:color w:val="auto"/>
                <w:w w:val="94"/>
              </w:rPr>
              <w:t>$  6,905</w:t>
            </w:r>
          </w:p>
        </w:tc>
        <w:tc>
          <w:tcPr>
            <w:tcW w:w="500" w:type="dxa"/>
            <w:vAlign w:val="bottom"/>
            <w:vMerge w:val="continue"/>
            <w:shd w:val="clear" w:color="auto" w:fill="CCEEFF"/>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 (Real Option Method)</w:t>
            </w:r>
          </w:p>
        </w:tc>
        <w:tc>
          <w:tcPr>
            <w:tcW w:w="440" w:type="dxa"/>
            <w:vAlign w:val="bottom"/>
            <w:vMerge w:val="continue"/>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Discount rate</w:t>
            </w:r>
          </w:p>
        </w:tc>
        <w:tc>
          <w:tcPr>
            <w:tcW w:w="620" w:type="dxa"/>
            <w:vAlign w:val="bottom"/>
            <w:vMerge w:val="continue"/>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60" w:right="300" w:firstLine="413"/>
        <w:spacing w:after="0" w:line="272" w:lineRule="auto"/>
        <w:rPr>
          <w:sz w:val="20"/>
          <w:szCs w:val="20"/>
          <w:color w:val="auto"/>
        </w:rPr>
      </w:pPr>
      <w:r>
        <w:rPr>
          <w:rFonts w:ascii="Arial" w:cs="Arial" w:eastAsia="Arial" w:hAnsi="Arial"/>
          <w:sz w:val="17"/>
          <w:szCs w:val="17"/>
          <w:color w:val="auto"/>
        </w:rPr>
        <w:t>The table below presents a reconciliation of earnout liabilities measured at fair value on a recurring basis using significant unobservable inputs (Level 3):</w:t>
      </w:r>
    </w:p>
    <w:p>
      <w:pPr>
        <w:spacing w:after="0" w:line="172"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260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September 30,</w:t>
            </w:r>
          </w:p>
        </w:tc>
        <w:tc>
          <w:tcPr>
            <w:tcW w:w="134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474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8"/>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8"/>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beginning of period</w:t>
            </w:r>
          </w:p>
        </w:tc>
        <w:tc>
          <w:tcPr>
            <w:tcW w:w="1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5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fair value and other adjustments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w:t>
            </w: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320"/>
              <w:spacing w:after="0"/>
              <w:rPr>
                <w:sz w:val="20"/>
                <w:szCs w:val="20"/>
                <w:color w:val="auto"/>
              </w:rPr>
            </w:pPr>
            <w:r>
              <w:rPr>
                <w:rFonts w:ascii="Arial" w:cs="Arial" w:eastAsia="Arial" w:hAnsi="Arial"/>
                <w:sz w:val="17"/>
                <w:szCs w:val="17"/>
                <w:color w:val="auto"/>
              </w:rPr>
              <w:t>Payments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color w:val="auto"/>
              </w:rPr>
              <w:t>(1,500)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42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w:t>
            </w:r>
          </w:p>
        </w:tc>
        <w:tc>
          <w:tcPr>
            <w:tcW w:w="5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380" w:firstLine="413"/>
        <w:spacing w:after="0" w:line="260" w:lineRule="auto"/>
        <w:rPr>
          <w:sz w:val="20"/>
          <w:szCs w:val="20"/>
          <w:color w:val="auto"/>
        </w:rPr>
      </w:pPr>
      <w:r>
        <w:rPr>
          <w:rFonts w:ascii="Arial" w:cs="Arial" w:eastAsia="Arial" w:hAnsi="Arial"/>
          <w:sz w:val="17"/>
          <w:szCs w:val="17"/>
          <w:color w:val="auto"/>
        </w:rPr>
        <w:t>Adjustments to the earn-out liabilities in periods subsequent to the completion of acquisitions were made using scenario-based modeling to estimate the probability of achievement and are reflected within transaction expenses in the condensed consolidated statements of operations. As of September 30, 2021, the Company had</w:t>
      </w:r>
    </w:p>
    <w:p>
      <w:pPr>
        <w:spacing w:after="0" w:line="11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0800"/>
          </w:cols>
          <w:pgMar w:left="320" w:top="466" w:right="77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160"/>
        <w:spacing w:after="0" w:line="272" w:lineRule="auto"/>
        <w:rPr>
          <w:sz w:val="20"/>
          <w:szCs w:val="20"/>
          <w:color w:val="auto"/>
        </w:rPr>
      </w:pPr>
      <w:r>
        <w:rPr>
          <w:rFonts w:ascii="Arial" w:cs="Arial" w:eastAsia="Arial" w:hAnsi="Arial"/>
          <w:sz w:val="17"/>
          <w:szCs w:val="17"/>
          <w:color w:val="auto"/>
        </w:rPr>
        <w:t>the potential to make a maximum of $10.0 million and a minimum of $0.0 million (undiscounted) in earn-out payments. Assuming the achievement of the applicable performance criteria, these earn-out payments will be made in April 2022.</w:t>
      </w:r>
    </w:p>
    <w:p>
      <w:pPr>
        <w:spacing w:after="0" w:line="165" w:lineRule="exact"/>
        <w:rPr>
          <w:sz w:val="20"/>
          <w:szCs w:val="20"/>
          <w:color w:val="auto"/>
        </w:rPr>
      </w:pPr>
    </w:p>
    <w:p>
      <w:pPr>
        <w:ind w:left="460" w:firstLine="413"/>
        <w:spacing w:after="0" w:line="274" w:lineRule="auto"/>
        <w:rPr>
          <w:sz w:val="20"/>
          <w:szCs w:val="20"/>
          <w:color w:val="auto"/>
        </w:rPr>
      </w:pPr>
      <w:r>
        <w:rPr>
          <w:rFonts w:ascii="Arial" w:cs="Arial" w:eastAsia="Arial" w:hAnsi="Arial"/>
          <w:sz w:val="16"/>
          <w:szCs w:val="16"/>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the Consolidated Financial Statements in the Company’s IPO Prospectus.</w:t>
      </w:r>
    </w:p>
    <w:p>
      <w:pPr>
        <w:spacing w:after="0" w:line="305" w:lineRule="exact"/>
        <w:rPr>
          <w:sz w:val="20"/>
          <w:szCs w:val="20"/>
          <w:color w:val="auto"/>
        </w:rPr>
      </w:pPr>
    </w:p>
    <w:p>
      <w:pPr>
        <w:ind w:left="860" w:hanging="403"/>
        <w:spacing w:after="0"/>
        <w:tabs>
          <w:tab w:leader="none" w:pos="86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Accrued Expenses and Other Current Liabilities</w:t>
      </w:r>
    </w:p>
    <w:p>
      <w:pPr>
        <w:spacing w:after="0" w:line="108"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w:t>
      </w:r>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70"/>
        </w:trPr>
        <w:tc>
          <w:tcPr>
            <w:tcW w:w="42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2280" w:type="dxa"/>
            <w:vAlign w:val="bottom"/>
            <w:gridSpan w:val="3"/>
          </w:tcPr>
          <w:p>
            <w:pPr>
              <w:ind w:left="1160"/>
              <w:spacing w:after="0"/>
              <w:rPr>
                <w:sz w:val="20"/>
                <w:szCs w:val="20"/>
                <w:color w:val="auto"/>
              </w:rPr>
            </w:pPr>
            <w:r>
              <w:rPr>
                <w:rFonts w:ascii="Arial" w:cs="Arial" w:eastAsia="Arial" w:hAnsi="Arial"/>
                <w:sz w:val="13"/>
                <w:szCs w:val="13"/>
                <w:b w:val="1"/>
                <w:bCs w:val="1"/>
                <w:color w:val="auto"/>
                <w:w w:val="90"/>
              </w:rPr>
              <w:t>September 30, 2021</w:t>
            </w:r>
          </w:p>
        </w:tc>
        <w:tc>
          <w:tcPr>
            <w:tcW w:w="2140" w:type="dxa"/>
            <w:vAlign w:val="bottom"/>
            <w:gridSpan w:val="4"/>
          </w:tcPr>
          <w:p>
            <w:pPr>
              <w:ind w:left="1000"/>
              <w:spacing w:after="0"/>
              <w:rPr>
                <w:sz w:val="20"/>
                <w:szCs w:val="20"/>
                <w:color w:val="auto"/>
              </w:rPr>
            </w:pPr>
            <w:r>
              <w:rPr>
                <w:rFonts w:ascii="Arial" w:cs="Arial" w:eastAsia="Arial" w:hAnsi="Arial"/>
                <w:sz w:val="13"/>
                <w:szCs w:val="13"/>
                <w:b w:val="1"/>
                <w:bCs w:val="1"/>
                <w:color w:val="auto"/>
                <w:w w:val="95"/>
              </w:rPr>
              <w:t>December 31, 2020</w:t>
            </w:r>
          </w:p>
        </w:tc>
      </w:tr>
      <w:tr>
        <w:trPr>
          <w:trHeight w:val="195"/>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Payroll and payroll-related</w:t>
            </w:r>
          </w:p>
        </w:tc>
        <w:tc>
          <w:tcPr>
            <w:tcW w:w="1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7,246</w:t>
            </w:r>
          </w:p>
        </w:tc>
        <w:tc>
          <w:tcPr>
            <w:tcW w:w="10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Accrued interest</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233</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5,365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 current</w:t>
            </w: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Sales taxes</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1,146</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649</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4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Other</w:t>
            </w:r>
          </w:p>
        </w:tc>
        <w:tc>
          <w:tcPr>
            <w:tcW w:w="1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3,654</w:t>
            </w:r>
          </w:p>
        </w:tc>
        <w:tc>
          <w:tcPr>
            <w:tcW w:w="1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19,296</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17,321</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2" w:lineRule="exact"/>
        <w:rPr>
          <w:sz w:val="20"/>
          <w:szCs w:val="20"/>
          <w:color w:val="auto"/>
        </w:rPr>
      </w:pPr>
    </w:p>
    <w:p>
      <w:pPr>
        <w:ind w:left="860" w:hanging="403"/>
        <w:spacing w:after="0"/>
        <w:tabs>
          <w:tab w:leader="none" w:pos="86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08" w:lineRule="exact"/>
        <w:rPr>
          <w:sz w:val="20"/>
          <w:szCs w:val="20"/>
          <w:color w:val="auto"/>
        </w:rPr>
      </w:pPr>
    </w:p>
    <w:p>
      <w:pPr>
        <w:ind w:left="460" w:right="60" w:firstLine="413"/>
        <w:spacing w:after="0" w:line="272" w:lineRule="auto"/>
        <w:rPr>
          <w:sz w:val="20"/>
          <w:szCs w:val="20"/>
          <w:color w:val="auto"/>
        </w:rPr>
      </w:pPr>
      <w:r>
        <w:rPr>
          <w:rFonts w:ascii="Arial" w:cs="Arial" w:eastAsia="Arial" w:hAnsi="Arial"/>
          <w:sz w:val="17"/>
          <w:szCs w:val="17"/>
          <w:color w:val="auto"/>
        </w:rPr>
        <w:t>The Company leases office facilities in Massachusetts, Vermont and Sweden, the terms of which expire at various times through the year 2030. In 2019, the Company signed a new office lease agreement which commenced in 2020 and will continue through 2027.</w:t>
      </w:r>
    </w:p>
    <w:p>
      <w:pPr>
        <w:spacing w:after="0" w:line="165" w:lineRule="exact"/>
        <w:rPr>
          <w:sz w:val="20"/>
          <w:szCs w:val="20"/>
          <w:color w:val="auto"/>
        </w:rPr>
      </w:pPr>
    </w:p>
    <w:p>
      <w:pPr>
        <w:ind w:left="460" w:right="380" w:firstLine="413"/>
        <w:spacing w:after="0" w:line="260" w:lineRule="auto"/>
        <w:rPr>
          <w:sz w:val="20"/>
          <w:szCs w:val="20"/>
          <w:color w:val="auto"/>
        </w:rPr>
      </w:pPr>
      <w:r>
        <w:rPr>
          <w:rFonts w:ascii="Arial" w:cs="Arial" w:eastAsia="Arial" w:hAnsi="Arial"/>
          <w:sz w:val="17"/>
          <w:szCs w:val="17"/>
          <w:color w:val="auto"/>
        </w:rPr>
        <w:t>Total rent expense for the nine months ended September 30, 2021 was $2.1 million, respectively, and rent expense for the nine months ended September 30, 2020 was $1.4 million, respectively. Rent expense was classified in selling, general, and administrative expense in the condensed consolidated statements of operations for all periods presented.</w:t>
      </w:r>
    </w:p>
    <w:p>
      <w:pPr>
        <w:spacing w:after="0" w:line="314" w:lineRule="exact"/>
        <w:rPr>
          <w:sz w:val="20"/>
          <w:szCs w:val="20"/>
          <w:color w:val="auto"/>
        </w:rPr>
      </w:pPr>
    </w:p>
    <w:p>
      <w:pPr>
        <w:ind w:left="860" w:hanging="403"/>
        <w:spacing w:after="0"/>
        <w:tabs>
          <w:tab w:leader="none" w:pos="860"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Stockholders’ Equity and Members’ Equity</w:t>
      </w:r>
    </w:p>
    <w:p>
      <w:pPr>
        <w:spacing w:after="0" w:line="108"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Company has Class A Common Stock, Class B Common Stock and Preferred Stock. Holders of outstanding shares of Class A Common Stock and Class B Common Stock will vote as a single class on all matters on which stockholders are entitled to vote generally, except as otherwise required by law. Class B Common Stock issued to holders of Definitive OpCo Units that are unvested shall have no vote per share until such time as such Units have vested.</w:t>
      </w:r>
    </w:p>
    <w:p>
      <w:pPr>
        <w:spacing w:after="0" w:line="179" w:lineRule="exact"/>
        <w:rPr>
          <w:sz w:val="20"/>
          <w:szCs w:val="20"/>
          <w:color w:val="auto"/>
        </w:rPr>
      </w:pPr>
    </w:p>
    <w:p>
      <w:pPr>
        <w:ind w:left="460" w:right="340" w:firstLine="413"/>
        <w:spacing w:after="0" w:line="256" w:lineRule="auto"/>
        <w:rPr>
          <w:sz w:val="20"/>
          <w:szCs w:val="20"/>
          <w:color w:val="auto"/>
        </w:rPr>
      </w:pPr>
      <w:r>
        <w:rPr>
          <w:rFonts w:ascii="Arial" w:cs="Arial" w:eastAsia="Arial" w:hAnsi="Arial"/>
          <w:sz w:val="17"/>
          <w:szCs w:val="17"/>
          <w:color w:val="auto"/>
        </w:rPr>
        <w:t>Class A Common Stockholders are entitled to receive dividends, if declared by our board of directors out of legally available funds. 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79" w:lineRule="exact"/>
        <w:rPr>
          <w:sz w:val="20"/>
          <w:szCs w:val="20"/>
          <w:color w:val="auto"/>
        </w:rPr>
      </w:pPr>
    </w:p>
    <w:p>
      <w:pPr>
        <w:ind w:left="460" w:firstLine="413"/>
        <w:spacing w:after="0" w:line="272" w:lineRule="auto"/>
        <w:rPr>
          <w:sz w:val="20"/>
          <w:szCs w:val="20"/>
          <w:color w:val="auto"/>
        </w:rPr>
      </w:pPr>
      <w:r>
        <w:rPr>
          <w:rFonts w:ascii="Arial" w:cs="Arial" w:eastAsia="Arial" w:hAnsi="Arial"/>
          <w:sz w:val="17"/>
          <w:szCs w:val="17"/>
          <w:color w:val="auto"/>
        </w:rPr>
        <w:t>Class B Common Stockholders are not entitled to economic interests in Definitive Healthcare Corp. and do not have any right to receive dividends or to receive a distribution upon a liquidation or winding up of Definitive Healthcare Corp.</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0780"/>
          </w:cols>
          <w:pgMar w:left="320" w:top="466" w:right="79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both"/>
        <w:ind w:left="460" w:firstLine="413"/>
        <w:spacing w:after="0" w:line="260" w:lineRule="auto"/>
        <w:rPr>
          <w:sz w:val="20"/>
          <w:szCs w:val="20"/>
          <w:color w:val="auto"/>
        </w:rPr>
      </w:pPr>
      <w:r>
        <w:rPr>
          <w:rFonts w:ascii="Arial" w:cs="Arial" w:eastAsia="Arial" w:hAnsi="Arial"/>
          <w:sz w:val="17"/>
          <w:szCs w:val="17"/>
          <w:color w:val="auto"/>
        </w:rPr>
        <w:t>Shares of Preferred Stock have not been issued at September 30, 2021. The board of directors may authorize one or more series of Preferred Stock (including convertible Preferred Stock) and will determine, with respect to any series of Preferred Stock, the voting rights, preferences, participation, or other special rights and limitations.</w:t>
      </w:r>
    </w:p>
    <w:p>
      <w:pPr>
        <w:spacing w:after="0" w:line="175" w:lineRule="exact"/>
        <w:rPr>
          <w:sz w:val="20"/>
          <w:szCs w:val="20"/>
          <w:color w:val="auto"/>
        </w:rPr>
      </w:pPr>
    </w:p>
    <w:p>
      <w:pPr>
        <w:ind w:left="460" w:right="20" w:firstLine="413"/>
        <w:spacing w:after="0" w:line="277" w:lineRule="auto"/>
        <w:rPr>
          <w:sz w:val="20"/>
          <w:szCs w:val="20"/>
          <w:color w:val="auto"/>
        </w:rPr>
      </w:pPr>
      <w:r>
        <w:rPr>
          <w:rFonts w:ascii="Arial" w:cs="Arial" w:eastAsia="Arial" w:hAnsi="Arial"/>
          <w:sz w:val="16"/>
          <w:szCs w:val="16"/>
          <w:color w:val="auto"/>
        </w:rPr>
        <w:t>Under the Amended Definitive OpCo LLC Agreement, the holders of LLC Units have the right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Shares of Class B Common Stock and their corresponding LLC Units will be canceled on a one-for-one basis once an exchange has been completed.</w:t>
      </w:r>
    </w:p>
    <w:p>
      <w:pPr>
        <w:spacing w:after="0" w:line="164"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Description of Business</w:t>
      </w:r>
      <w:r>
        <w:rPr>
          <w:rFonts w:ascii="Arial" w:cs="Arial" w:eastAsia="Arial" w:hAnsi="Arial"/>
          <w:sz w:val="17"/>
          <w:szCs w:val="17"/>
          <w:color w:val="auto"/>
        </w:rPr>
        <w:t>, the Company was formed by Advent International (“Advent”) for the purpose of acquiring Definitive Holdco. Upon formation of the Company, two classes of units were established: Class A Units (“Class A Units”) and Class B Units (“Class B Units”), collectively “the Units”.</w:t>
      </w:r>
    </w:p>
    <w:p>
      <w:pPr>
        <w:spacing w:after="0" w:line="175"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The table below provides a summary of the number of Class A and Class B units authorized, issued and outstanding as of December 31, 2020, respectively.</w:t>
      </w:r>
    </w:p>
    <w:p>
      <w:pPr>
        <w:spacing w:after="0" w:line="195" w:lineRule="exact"/>
        <w:rPr>
          <w:sz w:val="20"/>
          <w:szCs w:val="20"/>
          <w:color w:val="auto"/>
        </w:rPr>
      </w:pPr>
    </w:p>
    <w:tbl>
      <w:tblPr>
        <w:tblLayout w:type="fixed"/>
        <w:tblInd w:w="2120" w:type="dxa"/>
        <w:tblCellMar>
          <w:top w:w="0" w:type="dxa"/>
          <w:left w:w="0" w:type="dxa"/>
          <w:bottom w:w="0" w:type="dxa"/>
          <w:right w:w="0" w:type="dxa"/>
        </w:tblCellMar>
      </w:tblPr>
      <w:tr>
        <w:trPr>
          <w:trHeight w:val="160"/>
        </w:trPr>
        <w:tc>
          <w:tcPr>
            <w:tcW w:w="58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0"/>
              </w:rPr>
              <w:t>December 31, 2020</w:t>
            </w:r>
          </w:p>
        </w:tc>
      </w:tr>
      <w:tr>
        <w:trPr>
          <w:trHeight w:val="195"/>
        </w:trPr>
        <w:tc>
          <w:tcPr>
            <w:tcW w:w="58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Class A units:</w:t>
            </w: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5880" w:type="dxa"/>
            <w:vAlign w:val="bottom"/>
          </w:tcPr>
          <w:p>
            <w:pPr>
              <w:ind w:left="340"/>
              <w:spacing w:after="0"/>
              <w:rPr>
                <w:sz w:val="20"/>
                <w:szCs w:val="20"/>
                <w:color w:val="auto"/>
              </w:rPr>
            </w:pPr>
            <w:r>
              <w:rPr>
                <w:rFonts w:ascii="Arial" w:cs="Arial" w:eastAsia="Arial" w:hAnsi="Arial"/>
                <w:sz w:val="17"/>
                <w:szCs w:val="17"/>
                <w:color w:val="auto"/>
              </w:rPr>
              <w:t>Authorized, issued and outstanding Class A units</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130,245,990</w:t>
            </w: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Class B units:</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880" w:type="dxa"/>
            <w:vAlign w:val="bottom"/>
          </w:tcPr>
          <w:p>
            <w:pPr>
              <w:ind w:left="340"/>
              <w:spacing w:after="0"/>
              <w:rPr>
                <w:sz w:val="20"/>
                <w:szCs w:val="20"/>
                <w:color w:val="auto"/>
              </w:rPr>
            </w:pPr>
            <w:r>
              <w:rPr>
                <w:rFonts w:ascii="Arial" w:cs="Arial" w:eastAsia="Arial" w:hAnsi="Arial"/>
                <w:sz w:val="17"/>
                <w:szCs w:val="17"/>
                <w:color w:val="auto"/>
              </w:rPr>
              <w:t>Authorized Class B units</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8,088,877</w:t>
            </w:r>
          </w:p>
        </w:tc>
      </w:tr>
      <w:tr>
        <w:trPr>
          <w:trHeight w:val="203"/>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Class B units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3,720,063</w:t>
            </w:r>
          </w:p>
        </w:tc>
      </w:tr>
      <w:tr>
        <w:trPr>
          <w:trHeight w:val="214"/>
        </w:trPr>
        <w:tc>
          <w:tcPr>
            <w:tcW w:w="5880" w:type="dxa"/>
            <w:vAlign w:val="bottom"/>
          </w:tcPr>
          <w:p>
            <w:pPr>
              <w:ind w:left="340"/>
              <w:spacing w:after="0"/>
              <w:rPr>
                <w:sz w:val="20"/>
                <w:szCs w:val="20"/>
                <w:color w:val="auto"/>
              </w:rPr>
            </w:pPr>
            <w:r>
              <w:rPr>
                <w:rFonts w:ascii="Arial" w:cs="Arial" w:eastAsia="Arial" w:hAnsi="Arial"/>
                <w:sz w:val="17"/>
                <w:szCs w:val="17"/>
                <w:color w:val="auto"/>
              </w:rPr>
              <w:t>Outstanding Class B units (Vested Class B units)</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474,920</w:t>
            </w:r>
          </w:p>
        </w:tc>
      </w:tr>
    </w:tbl>
    <w:p>
      <w:pPr>
        <w:spacing w:after="0" w:line="178" w:lineRule="exact"/>
        <w:rPr>
          <w:sz w:val="20"/>
          <w:szCs w:val="20"/>
          <w:color w:val="auto"/>
        </w:rPr>
      </w:pPr>
    </w:p>
    <w:p>
      <w:pPr>
        <w:ind w:left="460" w:right="140" w:firstLine="413"/>
        <w:spacing w:after="0" w:line="303" w:lineRule="auto"/>
        <w:rPr>
          <w:sz w:val="20"/>
          <w:szCs w:val="20"/>
          <w:color w:val="auto"/>
        </w:rPr>
      </w:pPr>
      <w:r>
        <w:rPr>
          <w:rFonts w:ascii="Arial" w:cs="Arial" w:eastAsia="Arial" w:hAnsi="Arial"/>
          <w:sz w:val="16"/>
          <w:szCs w:val="16"/>
          <w:color w:val="auto"/>
        </w:rPr>
        <w:t xml:space="preserve">During 2021, the Company issued 363,516 new Class A units worth $5.8 million, consisting of a capital contribution of $5.5 million and equity-based compensation expense of $0.3 million. Refer to Note 13. </w:t>
      </w:r>
      <w:r>
        <w:rPr>
          <w:rFonts w:ascii="Arial" w:cs="Arial" w:eastAsia="Arial" w:hAnsi="Arial"/>
          <w:sz w:val="16"/>
          <w:szCs w:val="16"/>
          <w:i w:val="1"/>
          <w:iCs w:val="1"/>
          <w:color w:val="auto"/>
        </w:rPr>
        <w:t>Equity-Based Compensation</w:t>
      </w:r>
      <w:r>
        <w:rPr>
          <w:rFonts w:ascii="Arial" w:cs="Arial" w:eastAsia="Arial" w:hAnsi="Arial"/>
          <w:sz w:val="16"/>
          <w:szCs w:val="16"/>
          <w:color w:val="auto"/>
        </w:rPr>
        <w:t xml:space="preserve"> for more detail on Class B units.</w:t>
      </w:r>
    </w:p>
    <w:p>
      <w:pPr>
        <w:spacing w:after="0" w:line="283" w:lineRule="exact"/>
        <w:rPr>
          <w:sz w:val="20"/>
          <w:szCs w:val="20"/>
          <w:color w:val="auto"/>
        </w:rPr>
      </w:pPr>
    </w:p>
    <w:p>
      <w:pPr>
        <w:ind w:left="860" w:hanging="403"/>
        <w:spacing w:after="0"/>
        <w:tabs>
          <w:tab w:leader="none" w:pos="86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Equity-Based Compensation</w:t>
      </w:r>
    </w:p>
    <w:p>
      <w:pPr>
        <w:spacing w:after="0" w:line="108" w:lineRule="exact"/>
        <w:rPr>
          <w:sz w:val="20"/>
          <w:szCs w:val="20"/>
          <w:color w:val="auto"/>
        </w:rPr>
      </w:pPr>
    </w:p>
    <w:p>
      <w:pPr>
        <w:jc w:val="both"/>
        <w:ind w:left="460" w:right="160" w:firstLine="413"/>
        <w:spacing w:after="0" w:line="260" w:lineRule="auto"/>
        <w:rPr>
          <w:sz w:val="20"/>
          <w:szCs w:val="20"/>
          <w:color w:val="auto"/>
        </w:rPr>
      </w:pPr>
      <w:r>
        <w:rPr>
          <w:rFonts w:ascii="Arial" w:cs="Arial" w:eastAsia="Arial" w:hAnsi="Arial"/>
          <w:sz w:val="17"/>
          <w:szCs w:val="17"/>
          <w:color w:val="auto"/>
        </w:rPr>
        <w:t>Equity-based compensation expense is allocated to all departments in the accompanying condensed consolidated statements of operations based on the recipients of the compensation. A summary of the expense by line item in the consolidated statements of operations for the nine months ended September 30, 2021 and 2020, respectively, is provided in the following table.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ind w:left="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0"/>
        </w:trPr>
        <w:tc>
          <w:tcPr>
            <w:tcW w:w="642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80" w:type="dxa"/>
            <w:vAlign w:val="bottom"/>
          </w:tcPr>
          <w:p>
            <w:pPr>
              <w:spacing w:after="0"/>
              <w:rPr>
                <w:sz w:val="13"/>
                <w:szCs w:val="13"/>
                <w:color w:val="auto"/>
              </w:rPr>
            </w:pPr>
          </w:p>
        </w:tc>
        <w:tc>
          <w:tcPr>
            <w:tcW w:w="1340" w:type="dxa"/>
            <w:vAlign w:val="bottom"/>
            <w:gridSpan w:val="5"/>
          </w:tcPr>
          <w:p>
            <w:pPr>
              <w:ind w:left="20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45"/>
        </w:trPr>
        <w:tc>
          <w:tcPr>
            <w:tcW w:w="6420" w:type="dxa"/>
            <w:vAlign w:val="bottom"/>
            <w:gridSpan w:val="2"/>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20"/>
              <w:spacing w:after="0" w:line="145" w:lineRule="exact"/>
              <w:rPr>
                <w:sz w:val="20"/>
                <w:szCs w:val="20"/>
                <w:color w:val="auto"/>
              </w:rPr>
            </w:pPr>
            <w:r>
              <w:rPr>
                <w:rFonts w:ascii="Arial" w:cs="Arial" w:eastAsia="Arial" w:hAnsi="Arial"/>
                <w:sz w:val="13"/>
                <w:szCs w:val="13"/>
                <w:b w:val="1"/>
                <w:bCs w:val="1"/>
                <w:color w:val="auto"/>
              </w:rPr>
              <w:t>2021</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8"/>
              <w:spacing w:after="0" w:line="145" w:lineRule="exact"/>
              <w:rPr>
                <w:sz w:val="20"/>
                <w:szCs w:val="20"/>
                <w:color w:val="auto"/>
              </w:rPr>
            </w:pPr>
            <w:r>
              <w:rPr>
                <w:rFonts w:ascii="Arial" w:cs="Arial" w:eastAsia="Arial" w:hAnsi="Arial"/>
                <w:sz w:val="13"/>
                <w:szCs w:val="13"/>
                <w:b w:val="1"/>
                <w:bCs w:val="1"/>
                <w:color w:val="auto"/>
                <w:w w:val="89"/>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Sales and marketing</w:t>
            </w:r>
          </w:p>
        </w:tc>
        <w:tc>
          <w:tcPr>
            <w:tcW w:w="8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7"/>
                <w:szCs w:val="17"/>
                <w:color w:val="auto"/>
              </w:rPr>
              <w:t>567</w:t>
            </w: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341</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7"/>
                <w:szCs w:val="17"/>
                <w:color w:val="auto"/>
                <w:w w:val="84"/>
              </w:rPr>
              <w:t>3,351</w:t>
            </w: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84"/>
              </w:rPr>
              <w:t>4,338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1,330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2021 Equity Incentive Plan</w:t>
      </w:r>
    </w:p>
    <w:p>
      <w:pPr>
        <w:spacing w:after="0" w:line="108" w:lineRule="exact"/>
        <w:rPr>
          <w:sz w:val="20"/>
          <w:szCs w:val="20"/>
          <w:color w:val="auto"/>
        </w:rPr>
      </w:pPr>
    </w:p>
    <w:p>
      <w:pPr>
        <w:jc w:val="both"/>
        <w:ind w:left="460" w:right="340" w:firstLine="413"/>
        <w:spacing w:after="0" w:line="284" w:lineRule="auto"/>
        <w:rPr>
          <w:sz w:val="20"/>
          <w:szCs w:val="20"/>
          <w:color w:val="auto"/>
        </w:rPr>
      </w:pPr>
      <w:r>
        <w:rPr>
          <w:rFonts w:ascii="Arial" w:cs="Arial" w:eastAsia="Arial" w:hAnsi="Arial"/>
          <w:sz w:val="16"/>
          <w:szCs w:val="16"/>
          <w:color w:val="auto"/>
        </w:rPr>
        <w:t>As of September 15, 2021, in connection with its IPO, the Company adopted the Definitive Healthcare Corp. 2021 Equity Incentive Plan (the “2021 Plan”). The types of grants available under the 2021 Plan include stock options (both incentive and non-qualified), stock appreciation rights (“SARs”), restricted stock awards (“RSAs”), restricted stock units (“RSUs”), and stock-based awards.</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F-67</w:t>
      </w:r>
    </w:p>
    <w:p>
      <w:pPr>
        <w:sectPr>
          <w:pgSz w:w="11900" w:h="16838" w:orient="portrait"/>
          <w:cols w:equalWidth="0" w:num="1">
            <w:col w:w="10760"/>
          </w:cols>
          <w:pgMar w:left="320" w:top="465" w:right="81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0" w:firstLine="413"/>
        <w:spacing w:after="0" w:line="272" w:lineRule="auto"/>
        <w:rPr>
          <w:sz w:val="20"/>
          <w:szCs w:val="20"/>
          <w:color w:val="auto"/>
        </w:rPr>
      </w:pPr>
      <w:r>
        <w:rPr>
          <w:rFonts w:ascii="Arial" w:cs="Arial" w:eastAsia="Arial" w:hAnsi="Arial"/>
          <w:sz w:val="16"/>
          <w:szCs w:val="16"/>
          <w:color w:val="auto"/>
        </w:rPr>
        <w:t>The aggregate number of shares of Class A Common Stock available for grant under the 2021 Plan was 8,989,039 shares at September 30, 2021. As of September 30, 2021, 1,464,681 RSUs have been granted under the 2021 Plan. The outstanding RSUs have time-based and/or performance-based vesting criteria. Outstanding time-based RSUs generally vest partially on the one year anniversary of each grant and quarterly over the subsequent two- or three-year period. Outstanding performance-based RSUs vest annually over three years upon the achievement of certain performance targets and continued service, the measurement period for which begins January 1, 2022. As such, no stock-based compensation expense associated with performance-based RSUs was recorded in the third quarter of 2021.</w:t>
      </w:r>
    </w:p>
    <w:p>
      <w:pPr>
        <w:spacing w:after="0" w:line="167" w:lineRule="exact"/>
        <w:rPr>
          <w:sz w:val="20"/>
          <w:szCs w:val="20"/>
          <w:color w:val="auto"/>
        </w:rPr>
      </w:pPr>
    </w:p>
    <w:p>
      <w:pPr>
        <w:ind w:left="460" w:right="900" w:firstLine="413"/>
        <w:spacing w:after="0" w:line="272" w:lineRule="auto"/>
        <w:rPr>
          <w:sz w:val="20"/>
          <w:szCs w:val="20"/>
          <w:color w:val="auto"/>
        </w:rPr>
      </w:pPr>
      <w:r>
        <w:rPr>
          <w:rFonts w:ascii="Arial" w:cs="Arial" w:eastAsia="Arial" w:hAnsi="Arial"/>
          <w:sz w:val="17"/>
          <w:szCs w:val="17"/>
          <w:color w:val="auto"/>
        </w:rPr>
        <w:t>The following table summarizes the Company’s unvested time-based and performance-based RSU activity for the nine months ended September 30, 2021.</w:t>
      </w:r>
    </w:p>
    <w:p>
      <w:pPr>
        <w:spacing w:after="0" w:line="195"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Time-Based</w:t>
            </w: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8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Performance-Based</w:t>
            </w:r>
          </w:p>
        </w:tc>
        <w:tc>
          <w:tcPr>
            <w:tcW w:w="0" w:type="dxa"/>
            <w:vAlign w:val="bottom"/>
          </w:tcPr>
          <w:p>
            <w:pPr>
              <w:spacing w:after="0"/>
              <w:rPr>
                <w:sz w:val="1"/>
                <w:szCs w:val="1"/>
                <w:color w:val="auto"/>
              </w:rPr>
            </w:pPr>
          </w:p>
        </w:tc>
      </w:tr>
      <w:tr>
        <w:trPr>
          <w:trHeight w:val="112"/>
        </w:trPr>
        <w:tc>
          <w:tcPr>
            <w:tcW w:w="426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Restricted</w:t>
            </w: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59"/>
              <w:spacing w:after="0" w:line="112" w:lineRule="exact"/>
              <w:rPr>
                <w:sz w:val="20"/>
                <w:szCs w:val="20"/>
                <w:color w:val="auto"/>
              </w:rPr>
            </w:pPr>
            <w:r>
              <w:rPr>
                <w:rFonts w:ascii="Arial" w:cs="Arial" w:eastAsia="Arial" w:hAnsi="Arial"/>
                <w:sz w:val="12"/>
                <w:szCs w:val="12"/>
                <w:b w:val="1"/>
                <w:bCs w:val="1"/>
                <w:color w:val="auto"/>
              </w:rPr>
              <w:t>Weighted</w:t>
            </w:r>
          </w:p>
        </w:tc>
        <w:tc>
          <w:tcPr>
            <w:tcW w:w="620" w:type="dxa"/>
            <w:vAlign w:val="bottom"/>
          </w:tcPr>
          <w:p>
            <w:pPr>
              <w:spacing w:after="0"/>
              <w:rPr>
                <w:sz w:val="9"/>
                <w:szCs w:val="9"/>
                <w:color w:val="auto"/>
              </w:rPr>
            </w:pPr>
          </w:p>
        </w:tc>
        <w:tc>
          <w:tcPr>
            <w:tcW w:w="10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Restricted</w:t>
            </w: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99"/>
              <w:spacing w:after="0" w:line="112" w:lineRule="exact"/>
              <w:rPr>
                <w:sz w:val="20"/>
                <w:szCs w:val="20"/>
                <w:color w:val="auto"/>
              </w:rPr>
            </w:pPr>
            <w:r>
              <w:rPr>
                <w:rFonts w:ascii="Arial" w:cs="Arial" w:eastAsia="Arial" w:hAnsi="Arial"/>
                <w:sz w:val="12"/>
                <w:szCs w:val="12"/>
                <w:b w:val="1"/>
                <w:bCs w:val="1"/>
                <w:color w:val="auto"/>
              </w:rPr>
              <w:t>Weighted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3"/>
          </w:tcPr>
          <w:p>
            <w:pPr>
              <w:jc w:val="center"/>
              <w:ind w:right="640"/>
              <w:spacing w:after="0" w:line="139" w:lineRule="exact"/>
              <w:rPr>
                <w:sz w:val="20"/>
                <w:szCs w:val="20"/>
                <w:color w:val="auto"/>
              </w:rPr>
            </w:pPr>
            <w:r>
              <w:rPr>
                <w:rFonts w:ascii="Arial" w:cs="Arial" w:eastAsia="Arial" w:hAnsi="Arial"/>
                <w:sz w:val="13"/>
                <w:szCs w:val="13"/>
                <w:b w:val="1"/>
                <w:bCs w:val="1"/>
                <w:color w:val="auto"/>
                <w:w w:val="95"/>
              </w:rPr>
              <w:t>Average Grant</w:t>
            </w:r>
          </w:p>
        </w:tc>
        <w:tc>
          <w:tcPr>
            <w:tcW w:w="1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right"/>
              <w:ind w:right="80"/>
              <w:spacing w:after="0" w:line="139" w:lineRule="exact"/>
              <w:rPr>
                <w:sz w:val="20"/>
                <w:szCs w:val="20"/>
                <w:color w:val="auto"/>
              </w:rPr>
            </w:pPr>
            <w:r>
              <w:rPr>
                <w:rFonts w:ascii="Arial" w:cs="Arial" w:eastAsia="Arial" w:hAnsi="Arial"/>
                <w:sz w:val="13"/>
                <w:szCs w:val="13"/>
                <w:b w:val="1"/>
                <w:bCs w:val="1"/>
                <w:color w:val="auto"/>
                <w:w w:val="95"/>
              </w:rPr>
              <w:t>Average Grant</w:t>
            </w: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5"/>
              </w:rPr>
              <w:t>Stock Units</w:t>
            </w:r>
          </w:p>
        </w:tc>
        <w:tc>
          <w:tcPr>
            <w:tcW w:w="620" w:type="dxa"/>
            <w:vAlign w:val="bottom"/>
          </w:tcPr>
          <w:p>
            <w:pPr>
              <w:spacing w:after="0"/>
              <w:rPr>
                <w:sz w:val="13"/>
                <w:szCs w:val="13"/>
                <w:color w:val="auto"/>
              </w:rPr>
            </w:pPr>
          </w:p>
        </w:tc>
        <w:tc>
          <w:tcPr>
            <w:tcW w:w="154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5"/>
              </w:rPr>
              <w:t>Date Fair Value</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Stock Units</w:t>
            </w:r>
          </w:p>
        </w:tc>
        <w:tc>
          <w:tcPr>
            <w:tcW w:w="320" w:type="dxa"/>
            <w:vAlign w:val="bottom"/>
          </w:tcPr>
          <w:p>
            <w:pPr>
              <w:spacing w:after="0"/>
              <w:rPr>
                <w:sz w:val="13"/>
                <w:szCs w:val="1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3"/>
              </w:rPr>
              <w:t>Date Fair Value</w:t>
            </w:r>
          </w:p>
        </w:tc>
        <w:tc>
          <w:tcPr>
            <w:tcW w:w="0" w:type="dxa"/>
            <w:vAlign w:val="bottom"/>
          </w:tcPr>
          <w:p>
            <w:pPr>
              <w:spacing w:after="0"/>
              <w:rPr>
                <w:sz w:val="1"/>
                <w:szCs w:val="1"/>
                <w:color w:val="auto"/>
              </w:rPr>
            </w:pPr>
          </w:p>
        </w:tc>
      </w:tr>
      <w:tr>
        <w:trPr>
          <w:trHeight w:val="195"/>
        </w:trPr>
        <w:tc>
          <w:tcPr>
            <w:tcW w:w="42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Unvested at beginning of period</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center"/>
              <w:ind w:left="339"/>
              <w:spacing w:after="0"/>
              <w:rPr>
                <w:sz w:val="20"/>
                <w:szCs w:val="20"/>
                <w:color w:val="auto"/>
              </w:rPr>
            </w:pPr>
            <w:r>
              <w:rPr>
                <w:rFonts w:ascii="Arial" w:cs="Arial" w:eastAsia="Arial" w:hAnsi="Arial"/>
                <w:sz w:val="17"/>
                <w:szCs w:val="17"/>
                <w:color w:val="auto"/>
                <w:w w:val="93"/>
              </w:rPr>
              <w:t>—</w:t>
            </w:r>
          </w:p>
        </w:tc>
        <w:tc>
          <w:tcPr>
            <w:tcW w:w="6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7"/>
                <w:szCs w:val="17"/>
                <w:color w:val="auto"/>
              </w:rPr>
              <w:t>Granted</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1,300,328</w:t>
            </w:r>
          </w:p>
        </w:tc>
        <w:tc>
          <w:tcPr>
            <w:tcW w:w="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27.00</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164,353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3"/>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7"/>
                <w:szCs w:val="17"/>
                <w:color w:val="auto"/>
              </w:rPr>
              <w:t>Forfeited</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(2,656)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27.00</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Unvested at end of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1,297,672</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center"/>
              <w:ind w:left="319"/>
              <w:spacing w:after="0"/>
              <w:rPr>
                <w:sz w:val="20"/>
                <w:szCs w:val="20"/>
                <w:color w:val="auto"/>
              </w:rPr>
            </w:pPr>
            <w:r>
              <w:rPr>
                <w:rFonts w:ascii="Arial" w:cs="Arial" w:eastAsia="Arial" w:hAnsi="Arial"/>
                <w:sz w:val="17"/>
                <w:szCs w:val="17"/>
                <w:color w:val="auto"/>
                <w:w w:val="89"/>
              </w:rPr>
              <w:t>27.00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164,353</w:t>
            </w:r>
          </w:p>
        </w:tc>
        <w:tc>
          <w:tcPr>
            <w:tcW w:w="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140" w:firstLine="413"/>
        <w:spacing w:after="0" w:line="260" w:lineRule="auto"/>
        <w:rPr>
          <w:sz w:val="20"/>
          <w:szCs w:val="20"/>
          <w:color w:val="auto"/>
        </w:rPr>
      </w:pPr>
      <w:r>
        <w:rPr>
          <w:rFonts w:ascii="Arial" w:cs="Arial" w:eastAsia="Arial" w:hAnsi="Arial"/>
          <w:sz w:val="17"/>
          <w:szCs w:val="17"/>
          <w:color w:val="auto"/>
        </w:rPr>
        <w:t>The Company recognized $0.4 million in stock-based compensation expense associated with RSUs granted in 2021. Total unrecognized expense was estimated to be $39.1 million for both time-based vesting and performance-based vesting awards at September 30, 2021, to be recognized over a weighted-average period of approximately 4.0 years.</w:t>
      </w:r>
    </w:p>
    <w:p>
      <w:pPr>
        <w:spacing w:after="0" w:line="276"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2019 Equity Incentive Plan</w:t>
      </w:r>
    </w:p>
    <w:p>
      <w:pPr>
        <w:spacing w:after="0" w:line="108" w:lineRule="exact"/>
        <w:rPr>
          <w:sz w:val="20"/>
          <w:szCs w:val="20"/>
          <w:color w:val="auto"/>
        </w:rPr>
      </w:pPr>
    </w:p>
    <w:p>
      <w:pPr>
        <w:ind w:left="460" w:firstLine="413"/>
        <w:spacing w:after="0" w:line="272" w:lineRule="auto"/>
        <w:rPr>
          <w:sz w:val="20"/>
          <w:szCs w:val="20"/>
          <w:color w:val="auto"/>
        </w:rPr>
      </w:pPr>
      <w:r>
        <w:rPr>
          <w:rFonts w:ascii="Arial" w:cs="Arial" w:eastAsia="Arial" w:hAnsi="Arial"/>
          <w:sz w:val="16"/>
          <w:szCs w:val="16"/>
          <w:color w:val="auto"/>
        </w:rPr>
        <w:t>In July 2019, the Company and its Board of Members approved the 2019 Equity Incentive Plan (“the 2019 Plan”) under which the Parent Company had reserved approximately 8,088,877 Class B Units (the “2019 Incentive Equity Pool”). The 2019 Incentive Equity Pool was utilized for the issuance of units to employees, consultants, directors, managers, or others providing services to the Company pursuant to Board of Members approval. These interests were considered profit interests, which, in general, entitle the holder of the unit to a pro rata share of the increase in value of the unit over the base value determined at the award date and were subject to such vesting and other restrictions as the Board of Members deemed appropriate. Any units forfeited or repurchased were available for future grants under the 2019 Incentive Equity Pool.</w:t>
      </w:r>
    </w:p>
    <w:p>
      <w:pPr>
        <w:spacing w:after="0" w:line="167" w:lineRule="exact"/>
        <w:rPr>
          <w:sz w:val="20"/>
          <w:szCs w:val="20"/>
          <w:color w:val="auto"/>
        </w:rPr>
      </w:pPr>
    </w:p>
    <w:p>
      <w:pPr>
        <w:ind w:left="460" w:right="60" w:firstLine="413"/>
        <w:spacing w:after="0" w:line="290" w:lineRule="auto"/>
        <w:rPr>
          <w:sz w:val="20"/>
          <w:szCs w:val="20"/>
          <w:color w:val="auto"/>
        </w:rPr>
      </w:pPr>
      <w:r>
        <w:rPr>
          <w:rFonts w:ascii="Arial" w:cs="Arial" w:eastAsia="Arial" w:hAnsi="Arial"/>
          <w:sz w:val="15"/>
          <w:szCs w:val="15"/>
          <w:color w:val="auto"/>
        </w:rPr>
        <w:t>The units had time-based and/or performance-based vesting criteria. Generally, the time-based units vested in equal annual installments over a four-year period on the anniversary date of the vest date. The performance-based units vested based on the achievement of specified returns on investments upon a change of control or qualifying event, as defined in the agreement. In connection with the IPO, performance-based forfeiture conditions for unvested units were waived through a modification of the awards and, after the IPO, all such unvested awards became subjected to time-vesting over three years from the IPO Date. As a result of the modification of the terms of such performance-vesting awards, we recorded compensation expense based on the fair value of the units that otherwise would have been forfeited, using the IPO price of $27.00 per share. The total compensation expense related to modification was $9.0 million, which will be recognized over the respective remaining service periods. The Company recorded $0.2 million in stock-based compensation expense associated with these performance-vesting units in the third quarter of 2021.</w:t>
      </w:r>
    </w:p>
    <w:p>
      <w:pPr>
        <w:spacing w:after="0" w:line="156" w:lineRule="exact"/>
        <w:rPr>
          <w:sz w:val="20"/>
          <w:szCs w:val="20"/>
          <w:color w:val="auto"/>
        </w:rPr>
      </w:pPr>
    </w:p>
    <w:p>
      <w:pPr>
        <w:ind w:left="460" w:right="100" w:firstLine="413"/>
        <w:spacing w:after="0" w:line="272" w:lineRule="auto"/>
        <w:rPr>
          <w:sz w:val="20"/>
          <w:szCs w:val="20"/>
          <w:color w:val="auto"/>
        </w:rPr>
      </w:pPr>
      <w:r>
        <w:rPr>
          <w:rFonts w:ascii="Arial" w:cs="Arial" w:eastAsia="Arial" w:hAnsi="Arial"/>
          <w:sz w:val="17"/>
          <w:szCs w:val="17"/>
          <w:color w:val="auto"/>
        </w:rPr>
        <w:t>In connection with the retirement of an executive officer, the Company accelerated the vesting of 24,049 unvested time-vesting Class B units and 48,099 of his unvested performance-vesting Class B units. The Company</w:t>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0780"/>
          </w:cols>
          <w:pgMar w:left="320" w:top="466" w:right="79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560"/>
        <w:spacing w:after="0" w:line="272" w:lineRule="auto"/>
        <w:rPr>
          <w:sz w:val="20"/>
          <w:szCs w:val="20"/>
          <w:color w:val="auto"/>
        </w:rPr>
      </w:pPr>
      <w:r>
        <w:rPr>
          <w:rFonts w:ascii="Arial" w:cs="Arial" w:eastAsia="Arial" w:hAnsi="Arial"/>
          <w:sz w:val="17"/>
          <w:szCs w:val="17"/>
          <w:color w:val="auto"/>
        </w:rPr>
        <w:t>recorded incremental compensation expense of approximately $1.9 million during the third quarter 2021. Upon separation, the remaining 72,149 in Class B units were forfeited.</w:t>
      </w:r>
    </w:p>
    <w:p>
      <w:pPr>
        <w:spacing w:after="0" w:line="165" w:lineRule="exact"/>
        <w:rPr>
          <w:sz w:val="20"/>
          <w:szCs w:val="20"/>
          <w:color w:val="auto"/>
        </w:rPr>
      </w:pPr>
    </w:p>
    <w:p>
      <w:pPr>
        <w:ind w:left="460" w:right="280" w:firstLine="413"/>
        <w:spacing w:after="0" w:line="272" w:lineRule="auto"/>
        <w:rPr>
          <w:sz w:val="20"/>
          <w:szCs w:val="20"/>
          <w:color w:val="auto"/>
        </w:rPr>
      </w:pPr>
      <w:r>
        <w:rPr>
          <w:rFonts w:ascii="Arial" w:cs="Arial" w:eastAsia="Arial" w:hAnsi="Arial"/>
          <w:sz w:val="17"/>
          <w:szCs w:val="17"/>
          <w:color w:val="auto"/>
        </w:rPr>
        <w:t>Effective September 15, 2021, the Company will no longer grant any awards under the 2019 Plan, though previously granted awards under the 2019 Plan remain outstanding and governed by the 2019 Plan, except for the modifications discussed above.</w:t>
      </w:r>
    </w:p>
    <w:p>
      <w:pPr>
        <w:spacing w:after="0" w:line="165" w:lineRule="exact"/>
        <w:rPr>
          <w:sz w:val="20"/>
          <w:szCs w:val="20"/>
          <w:color w:val="auto"/>
        </w:rPr>
      </w:pPr>
    </w:p>
    <w:p>
      <w:pPr>
        <w:ind w:left="460" w:right="60" w:firstLine="413"/>
        <w:spacing w:after="0" w:line="290" w:lineRule="auto"/>
        <w:rPr>
          <w:sz w:val="20"/>
          <w:szCs w:val="20"/>
          <w:color w:val="auto"/>
        </w:rPr>
      </w:pPr>
      <w:r>
        <w:rPr>
          <w:rFonts w:ascii="Arial" w:cs="Arial" w:eastAsia="Arial" w:hAnsi="Arial"/>
          <w:sz w:val="15"/>
          <w:szCs w:val="15"/>
          <w:color w:val="auto"/>
        </w:rPr>
        <w:t>For awards granted in the 2019 Plan, the Company assessed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86"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4900" w:type="dxa"/>
            <w:vAlign w:val="bottom"/>
          </w:tcPr>
          <w:p>
            <w:pPr>
              <w:spacing w:after="0"/>
              <w:rPr>
                <w:sz w:val="13"/>
                <w:szCs w:val="13"/>
                <w:color w:val="auto"/>
              </w:rPr>
            </w:pPr>
          </w:p>
        </w:tc>
        <w:tc>
          <w:tcPr>
            <w:tcW w:w="186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15, 2021</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 2020</w:t>
            </w:r>
          </w:p>
        </w:tc>
      </w:tr>
      <w:tr>
        <w:trPr>
          <w:trHeight w:val="195"/>
        </w:trPr>
        <w:tc>
          <w:tcPr>
            <w:tcW w:w="49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Expected option term</w:t>
            </w: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8"/>
              </w:rPr>
              <w:t>0.30—0.70 years</w:t>
            </w:r>
          </w:p>
        </w:tc>
        <w:tc>
          <w:tcPr>
            <w:tcW w:w="7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5"/>
              </w:rPr>
              <w:t>5.5 years</w:t>
            </w:r>
          </w:p>
        </w:tc>
      </w:tr>
      <w:tr>
        <w:trPr>
          <w:trHeight w:val="203"/>
        </w:trPr>
        <w:tc>
          <w:tcPr>
            <w:tcW w:w="4900" w:type="dxa"/>
            <w:vAlign w:val="bottom"/>
          </w:tcPr>
          <w:p>
            <w:pPr>
              <w:spacing w:after="0"/>
              <w:rPr>
                <w:sz w:val="20"/>
                <w:szCs w:val="20"/>
                <w:color w:val="auto"/>
              </w:rPr>
            </w:pPr>
            <w:r>
              <w:rPr>
                <w:rFonts w:ascii="Arial" w:cs="Arial" w:eastAsia="Arial" w:hAnsi="Arial"/>
                <w:sz w:val="17"/>
                <w:szCs w:val="17"/>
                <w:color w:val="auto"/>
              </w:rPr>
              <w:t>Risk-free rate of return</w:t>
            </w:r>
          </w:p>
        </w:tc>
        <w:tc>
          <w:tcPr>
            <w:tcW w:w="1860" w:type="dxa"/>
            <w:vAlign w:val="bottom"/>
            <w:gridSpan w:val="2"/>
          </w:tcPr>
          <w:p>
            <w:pPr>
              <w:jc w:val="center"/>
              <w:ind w:right="700"/>
              <w:spacing w:after="0"/>
              <w:rPr>
                <w:sz w:val="20"/>
                <w:szCs w:val="20"/>
                <w:color w:val="auto"/>
              </w:rPr>
            </w:pPr>
            <w:r>
              <w:rPr>
                <w:rFonts w:ascii="Arial" w:cs="Arial" w:eastAsia="Arial" w:hAnsi="Arial"/>
                <w:sz w:val="17"/>
                <w:szCs w:val="17"/>
                <w:color w:val="auto"/>
                <w:w w:val="91"/>
              </w:rPr>
              <w:t>0.01%—0.06%</w:t>
            </w:r>
          </w:p>
        </w:tc>
        <w:tc>
          <w:tcPr>
            <w:tcW w:w="1080" w:type="dxa"/>
            <w:vAlign w:val="bottom"/>
          </w:tcPr>
          <w:p>
            <w:pPr>
              <w:jc w:val="right"/>
              <w:ind w:right="240"/>
              <w:spacing w:after="0"/>
              <w:rPr>
                <w:sz w:val="20"/>
                <w:szCs w:val="20"/>
                <w:color w:val="auto"/>
              </w:rPr>
            </w:pPr>
            <w:r>
              <w:rPr>
                <w:rFonts w:ascii="Arial" w:cs="Arial" w:eastAsia="Arial" w:hAnsi="Arial"/>
                <w:sz w:val="17"/>
                <w:szCs w:val="17"/>
                <w:color w:val="auto"/>
              </w:rPr>
              <w:t>1.73%</w:t>
            </w:r>
          </w:p>
        </w:tc>
      </w:tr>
      <w:tr>
        <w:trPr>
          <w:trHeight w:val="20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Applied volatility</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7"/>
                <w:szCs w:val="17"/>
                <w:color w:val="auto"/>
              </w:rPr>
              <w:t>30%</w:t>
            </w:r>
          </w:p>
        </w:tc>
        <w:tc>
          <w:tcPr>
            <w:tcW w:w="7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0"/>
              <w:spacing w:after="0"/>
              <w:rPr>
                <w:sz w:val="20"/>
                <w:szCs w:val="20"/>
                <w:color w:val="auto"/>
              </w:rPr>
            </w:pPr>
            <w:r>
              <w:rPr>
                <w:rFonts w:ascii="Arial" w:cs="Arial" w:eastAsia="Arial" w:hAnsi="Arial"/>
                <w:sz w:val="17"/>
                <w:szCs w:val="17"/>
                <w:color w:val="auto"/>
              </w:rPr>
              <w:t>35%</w:t>
            </w:r>
          </w:p>
        </w:tc>
      </w:tr>
    </w:tbl>
    <w:p>
      <w:pPr>
        <w:spacing w:after="0" w:line="190"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In connection with the Reorganization Transactions and the IPO, unvested Class B Units held directly by employees of the Company or indirectly through Definitive OpCo, were exchanged for unvested Definitive OpCo units based on their respective participation thresholds and the IPO price of $27.00 per share. The time-based units issued upon the exchange remain subject to the same service vesting requirements as the original Class B Units. The pre-IPO performance-based units were exchanged for time-based units and will vest over a three-year period beginning on the date of the IPO. The following table summarizes the Company’s unvested time-based and performance-based unit activity from January 1, 2021 through September 30, 2021.</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60"/>
        </w:trPr>
        <w:tc>
          <w:tcPr>
            <w:tcW w:w="4580" w:type="dxa"/>
            <w:vAlign w:val="bottom"/>
          </w:tcPr>
          <w:p>
            <w:pPr>
              <w:spacing w:after="0"/>
              <w:rPr>
                <w:sz w:val="13"/>
                <w:szCs w:val="13"/>
                <w:color w:val="auto"/>
              </w:rPr>
            </w:pPr>
          </w:p>
        </w:tc>
        <w:tc>
          <w:tcPr>
            <w:tcW w:w="1460" w:type="dxa"/>
            <w:vAlign w:val="bottom"/>
            <w:gridSpan w:val="5"/>
          </w:tcPr>
          <w:p>
            <w:pPr>
              <w:jc w:val="right"/>
              <w:spacing w:after="0"/>
              <w:rPr>
                <w:sz w:val="20"/>
                <w:szCs w:val="20"/>
                <w:color w:val="auto"/>
              </w:rPr>
            </w:pPr>
            <w:r>
              <w:rPr>
                <w:rFonts w:ascii="Arial" w:cs="Arial" w:eastAsia="Arial" w:hAnsi="Arial"/>
                <w:sz w:val="13"/>
                <w:szCs w:val="13"/>
                <w:b w:val="1"/>
                <w:bCs w:val="1"/>
                <w:color w:val="auto"/>
              </w:rPr>
              <w:t>Time-Based</w:t>
            </w: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60" w:type="dxa"/>
            <w:vAlign w:val="bottom"/>
            <w:gridSpan w:val="6"/>
          </w:tcPr>
          <w:p>
            <w:pPr>
              <w:ind w:left="540"/>
              <w:spacing w:after="0"/>
              <w:rPr>
                <w:sz w:val="20"/>
                <w:szCs w:val="20"/>
                <w:color w:val="auto"/>
              </w:rPr>
            </w:pPr>
            <w:r>
              <w:rPr>
                <w:rFonts w:ascii="Arial" w:cs="Arial" w:eastAsia="Arial" w:hAnsi="Arial"/>
                <w:sz w:val="13"/>
                <w:szCs w:val="13"/>
                <w:b w:val="1"/>
                <w:bCs w:val="1"/>
                <w:color w:val="auto"/>
              </w:rPr>
              <w:t>Performance-Based</w:t>
            </w:r>
          </w:p>
        </w:tc>
        <w:tc>
          <w:tcPr>
            <w:tcW w:w="0" w:type="dxa"/>
            <w:vAlign w:val="bottom"/>
          </w:tcPr>
          <w:p>
            <w:pPr>
              <w:spacing w:after="0"/>
              <w:rPr>
                <w:sz w:val="1"/>
                <w:szCs w:val="1"/>
                <w:color w:val="auto"/>
              </w:rPr>
            </w:pPr>
          </w:p>
        </w:tc>
      </w:tr>
      <w:tr>
        <w:trPr>
          <w:trHeight w:val="112"/>
        </w:trPr>
        <w:tc>
          <w:tcPr>
            <w:tcW w:w="4580" w:type="dxa"/>
            <w:vAlign w:val="bottom"/>
          </w:tcPr>
          <w:p>
            <w:pPr>
              <w:spacing w:after="0"/>
              <w:rPr>
                <w:sz w:val="9"/>
                <w:szCs w:val="9"/>
                <w:color w:val="auto"/>
              </w:rPr>
            </w:pPr>
          </w:p>
        </w:tc>
        <w:tc>
          <w:tcPr>
            <w:tcW w:w="106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3"/>
                <w:szCs w:val="13"/>
                <w:b w:val="1"/>
                <w:bCs w:val="1"/>
                <w:color w:val="auto"/>
                <w:w w:val="96"/>
              </w:rPr>
              <w:t>Non-Vested</w:t>
            </w: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98"/>
              <w:spacing w:after="0" w:line="112" w:lineRule="exact"/>
              <w:rPr>
                <w:sz w:val="20"/>
                <w:szCs w:val="20"/>
                <w:color w:val="auto"/>
              </w:rPr>
            </w:pPr>
            <w:r>
              <w:rPr>
                <w:rFonts w:ascii="Arial" w:cs="Arial" w:eastAsia="Arial" w:hAnsi="Arial"/>
                <w:sz w:val="12"/>
                <w:szCs w:val="12"/>
                <w:b w:val="1"/>
                <w:bCs w:val="1"/>
                <w:color w:val="auto"/>
                <w:w w:val="99"/>
              </w:rPr>
              <w:t>Weighted</w:t>
            </w:r>
          </w:p>
        </w:tc>
        <w:tc>
          <w:tcPr>
            <w:tcW w:w="460" w:type="dxa"/>
            <w:vAlign w:val="bottom"/>
          </w:tcPr>
          <w:p>
            <w:pPr>
              <w:spacing w:after="0"/>
              <w:rPr>
                <w:sz w:val="9"/>
                <w:szCs w:val="9"/>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1"/>
              </w:rPr>
              <w:t>Non-Vested</w:t>
            </w: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38"/>
              <w:spacing w:after="0" w:line="112" w:lineRule="exact"/>
              <w:rPr>
                <w:sz w:val="20"/>
                <w:szCs w:val="20"/>
                <w:color w:val="auto"/>
              </w:rPr>
            </w:pPr>
            <w:r>
              <w:rPr>
                <w:rFonts w:ascii="Arial" w:cs="Arial" w:eastAsia="Arial" w:hAnsi="Arial"/>
                <w:sz w:val="12"/>
                <w:szCs w:val="12"/>
                <w:b w:val="1"/>
                <w:bCs w:val="1"/>
                <w:color w:val="auto"/>
                <w:w w:val="99"/>
              </w:rPr>
              <w:t>Weighted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right"/>
              <w:ind w:right="480"/>
              <w:spacing w:after="0" w:line="139" w:lineRule="exact"/>
              <w:rPr>
                <w:sz w:val="20"/>
                <w:szCs w:val="20"/>
                <w:color w:val="auto"/>
              </w:rPr>
            </w:pPr>
            <w:r>
              <w:rPr>
                <w:rFonts w:ascii="Arial" w:cs="Arial" w:eastAsia="Arial" w:hAnsi="Arial"/>
                <w:sz w:val="13"/>
                <w:szCs w:val="13"/>
                <w:b w:val="1"/>
                <w:bCs w:val="1"/>
                <w:color w:val="auto"/>
                <w:w w:val="95"/>
              </w:rPr>
              <w:t>Average Grant</w:t>
            </w: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5"/>
              </w:rPr>
              <w:t>Average Grant</w:t>
            </w: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Units</w:t>
            </w:r>
          </w:p>
        </w:tc>
        <w:tc>
          <w:tcPr>
            <w:tcW w:w="240" w:type="dxa"/>
            <w:vAlign w:val="bottom"/>
          </w:tcPr>
          <w:p>
            <w:pPr>
              <w:spacing w:after="0"/>
              <w:rPr>
                <w:sz w:val="13"/>
                <w:szCs w:val="13"/>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w w:val="93"/>
              </w:rPr>
              <w:t>Date Fair Value</w:t>
            </w: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Units</w:t>
            </w:r>
          </w:p>
        </w:tc>
        <w:tc>
          <w:tcPr>
            <w:tcW w:w="240" w:type="dxa"/>
            <w:vAlign w:val="bottom"/>
          </w:tcPr>
          <w:p>
            <w:pPr>
              <w:spacing w:after="0"/>
              <w:rPr>
                <w:sz w:val="13"/>
                <w:szCs w:val="13"/>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5"/>
              </w:rPr>
              <w:t>Date Fair Value</w:t>
            </w:r>
          </w:p>
        </w:tc>
        <w:tc>
          <w:tcPr>
            <w:tcW w:w="0" w:type="dxa"/>
            <w:vAlign w:val="bottom"/>
          </w:tcPr>
          <w:p>
            <w:pPr>
              <w:spacing w:after="0"/>
              <w:rPr>
                <w:sz w:val="1"/>
                <w:szCs w:val="1"/>
                <w:color w:val="auto"/>
              </w:rPr>
            </w:pPr>
          </w:p>
        </w:tc>
      </w:tr>
      <w:tr>
        <w:trPr>
          <w:trHeight w:val="195"/>
        </w:trPr>
        <w:tc>
          <w:tcPr>
            <w:tcW w:w="45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Non-vested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1,404,720</w:t>
            </w: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4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1,840,423</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center"/>
              <w:ind w:left="398"/>
              <w:spacing w:after="0"/>
              <w:rPr>
                <w:sz w:val="20"/>
                <w:szCs w:val="20"/>
                <w:color w:val="auto"/>
              </w:rPr>
            </w:pPr>
            <w:r>
              <w:rPr>
                <w:rFonts w:ascii="Arial" w:cs="Arial" w:eastAsia="Arial" w:hAnsi="Arial"/>
                <w:sz w:val="17"/>
                <w:szCs w:val="17"/>
                <w:color w:val="auto"/>
                <w:w w:val="90"/>
              </w:rPr>
              <w:t>2.35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Arial" w:cs="Arial" w:eastAsia="Arial" w:hAnsi="Arial"/>
                <w:sz w:val="17"/>
                <w:szCs w:val="17"/>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1,477,323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1.41</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1,177,308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left="338"/>
              <w:spacing w:after="0"/>
              <w:rPr>
                <w:sz w:val="20"/>
                <w:szCs w:val="20"/>
                <w:color w:val="auto"/>
              </w:rPr>
            </w:pPr>
            <w:r>
              <w:rPr>
                <w:rFonts w:ascii="Arial" w:cs="Arial" w:eastAsia="Arial" w:hAnsi="Arial"/>
                <w:sz w:val="17"/>
                <w:szCs w:val="17"/>
                <w:color w:val="auto"/>
                <w:w w:val="90"/>
              </w:rPr>
              <w:t>0.41</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(437,731)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3.64</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2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1060" w:type="dxa"/>
            <w:vAlign w:val="bottom"/>
            <w:gridSpan w:val="3"/>
          </w:tcPr>
          <w:p>
            <w:pPr>
              <w:jc w:val="right"/>
              <w:ind w:right="220"/>
              <w:spacing w:after="0"/>
              <w:rPr>
                <w:sz w:val="20"/>
                <w:szCs w:val="20"/>
                <w:color w:val="auto"/>
              </w:rPr>
            </w:pPr>
            <w:r>
              <w:rPr>
                <w:rFonts w:ascii="Arial" w:cs="Arial" w:eastAsia="Arial" w:hAnsi="Arial"/>
                <w:sz w:val="17"/>
                <w:szCs w:val="17"/>
                <w:color w:val="auto"/>
              </w:rPr>
              <w:t>(13,770)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3.65</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(18,361)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left="338"/>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Non-vested at September 15, 2021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2,430,542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2.29</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2,999,370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center"/>
              <w:ind w:left="338"/>
              <w:spacing w:after="0"/>
              <w:rPr>
                <w:sz w:val="20"/>
                <w:szCs w:val="20"/>
                <w:color w:val="auto"/>
              </w:rPr>
            </w:pPr>
            <w:r>
              <w:rPr>
                <w:rFonts w:ascii="Arial" w:cs="Arial" w:eastAsia="Arial" w:hAnsi="Arial"/>
                <w:sz w:val="17"/>
                <w:szCs w:val="17"/>
                <w:color w:val="auto"/>
                <w:w w:val="90"/>
              </w:rPr>
              <w:t>1.59</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340"/>
              <w:spacing w:after="0"/>
              <w:rPr>
                <w:sz w:val="20"/>
                <w:szCs w:val="20"/>
                <w:color w:val="auto"/>
              </w:rPr>
            </w:pPr>
            <w:r>
              <w:rPr>
                <w:rFonts w:ascii="Arial" w:cs="Arial" w:eastAsia="Arial" w:hAnsi="Arial"/>
                <w:sz w:val="17"/>
                <w:szCs w:val="17"/>
                <w:color w:val="auto"/>
              </w:rPr>
              <w:t>Effect of Reorganization Transactions and IPO</w:t>
            </w: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7"/>
                <w:szCs w:val="17"/>
                <w:color w:val="auto"/>
                <w:w w:val="94"/>
              </w:rPr>
              <w:t>(1,165,679)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2.08</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(1,318,171)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left="338"/>
              <w:spacing w:after="0"/>
              <w:rPr>
                <w:sz w:val="20"/>
                <w:szCs w:val="20"/>
                <w:color w:val="auto"/>
              </w:rPr>
            </w:pPr>
            <w:r>
              <w:rPr>
                <w:rFonts w:ascii="Arial" w:cs="Arial" w:eastAsia="Arial" w:hAnsi="Arial"/>
                <w:sz w:val="17"/>
                <w:szCs w:val="17"/>
                <w:color w:val="auto"/>
                <w:w w:val="90"/>
              </w:rPr>
              <w:t>1.39</w:t>
            </w:r>
          </w:p>
        </w:tc>
        <w:tc>
          <w:tcPr>
            <w:tcW w:w="0" w:type="dxa"/>
            <w:vAlign w:val="bottom"/>
          </w:tcPr>
          <w:p>
            <w:pPr>
              <w:spacing w:after="0"/>
              <w:rPr>
                <w:sz w:val="1"/>
                <w:szCs w:val="1"/>
                <w:color w:val="auto"/>
              </w:rPr>
            </w:pPr>
          </w:p>
        </w:tc>
      </w:tr>
      <w:tr>
        <w:trPr>
          <w:trHeight w:val="191"/>
        </w:trPr>
        <w:tc>
          <w:tcPr>
            <w:tcW w:w="458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Performance-based units exchanged for time-based</w:t>
            </w: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units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1,681,199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1.74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(1,681,199)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338"/>
              <w:spacing w:after="0"/>
              <w:rPr>
                <w:sz w:val="20"/>
                <w:szCs w:val="20"/>
                <w:color w:val="auto"/>
              </w:rPr>
            </w:pPr>
            <w:r>
              <w:rPr>
                <w:rFonts w:ascii="Arial" w:cs="Arial" w:eastAsia="Arial" w:hAnsi="Arial"/>
                <w:sz w:val="17"/>
                <w:szCs w:val="17"/>
                <w:color w:val="auto"/>
                <w:w w:val="90"/>
              </w:rPr>
              <w:t>1.74</w:t>
            </w: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Arial" w:cs="Arial" w:eastAsia="Arial" w:hAnsi="Arial"/>
                <w:sz w:val="17"/>
                <w:szCs w:val="17"/>
                <w:color w:val="auto"/>
              </w:rPr>
              <w:t>Vested</w:t>
            </w:r>
          </w:p>
        </w:tc>
        <w:tc>
          <w:tcPr>
            <w:tcW w:w="1060" w:type="dxa"/>
            <w:vAlign w:val="bottom"/>
            <w:gridSpan w:val="3"/>
          </w:tcPr>
          <w:p>
            <w:pPr>
              <w:jc w:val="right"/>
              <w:ind w:right="220"/>
              <w:spacing w:after="0"/>
              <w:rPr>
                <w:sz w:val="20"/>
                <w:szCs w:val="20"/>
                <w:color w:val="auto"/>
              </w:rPr>
            </w:pPr>
            <w:r>
              <w:rPr>
                <w:rFonts w:ascii="Arial" w:cs="Arial" w:eastAsia="Arial" w:hAnsi="Arial"/>
                <w:sz w:val="17"/>
                <w:szCs w:val="17"/>
                <w:color w:val="auto"/>
              </w:rPr>
              <w:t>(74,049)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2.75</w:t>
            </w:r>
          </w:p>
        </w:tc>
        <w:tc>
          <w:tcPr>
            <w:tcW w:w="10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left="2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(72,149)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2.78</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2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7"/>
                <w:szCs w:val="17"/>
                <w:color w:val="auto"/>
              </w:rPr>
              <w:t>Non-vested at September 30, 2021</w:t>
            </w: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2,799,864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2.02</w:t>
            </w:r>
          </w:p>
        </w:tc>
        <w:tc>
          <w:tcPr>
            <w:tcW w:w="10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left="29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right="20" w:firstLine="413"/>
        <w:spacing w:after="0" w:line="260" w:lineRule="auto"/>
        <w:rPr>
          <w:sz w:val="20"/>
          <w:szCs w:val="20"/>
          <w:color w:val="auto"/>
        </w:rPr>
      </w:pPr>
      <w:r>
        <w:rPr>
          <w:rFonts w:ascii="Arial" w:cs="Arial" w:eastAsia="Arial" w:hAnsi="Arial"/>
          <w:sz w:val="17"/>
          <w:szCs w:val="17"/>
          <w:color w:val="auto"/>
        </w:rPr>
        <w:t>In connection with the Reorganization Transactions and the IPO, 912,651 vested Class B Units held directly by employees of the Company or indirectly through Definitive OpCo were exchanged into 578,217 vested Definitive OpCo units based on their respective participation thresholds and the IPO price of $27.00 per share.</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0780"/>
          </w:cols>
          <w:pgMar w:left="320" w:top="466" w:right="79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240" w:firstLine="413"/>
        <w:spacing w:after="0" w:line="296" w:lineRule="auto"/>
        <w:rPr>
          <w:sz w:val="20"/>
          <w:szCs w:val="20"/>
          <w:color w:val="auto"/>
        </w:rPr>
      </w:pPr>
      <w:r>
        <w:rPr>
          <w:rFonts w:ascii="Arial" w:cs="Arial" w:eastAsia="Arial" w:hAnsi="Arial"/>
          <w:sz w:val="15"/>
          <w:szCs w:val="15"/>
          <w:color w:val="auto"/>
        </w:rPr>
        <w:t>The Company recorded $1.5 million in stock-based compensation expense associated with time-based units in the nine months ended September 30, 2021. The Company recorded $1.3 million in stock-based compensation expense associated with unexchanged time-based units in the nine months ended September 30, 2020. At September 30, 2021, the Company had approximately $18.4 million of unrecognized unit-based compensation expense for unvested time-based units, including those that were exchanged for time-based units at IPO. The expense, which will be recorded under the terms of the 2019 Plan, is expected to be recognized over a weighted-average period of approximately 2.8 years.</w:t>
      </w:r>
    </w:p>
    <w:p>
      <w:pPr>
        <w:spacing w:after="0" w:line="291" w:lineRule="exact"/>
        <w:rPr>
          <w:sz w:val="20"/>
          <w:szCs w:val="20"/>
          <w:color w:val="auto"/>
        </w:rPr>
      </w:pPr>
    </w:p>
    <w:p>
      <w:pPr>
        <w:ind w:left="860" w:hanging="403"/>
        <w:spacing w:after="0"/>
        <w:tabs>
          <w:tab w:leader="none" w:pos="860"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Retirement Plan</w:t>
      </w:r>
    </w:p>
    <w:p>
      <w:pPr>
        <w:spacing w:after="0" w:line="108" w:lineRule="exact"/>
        <w:rPr>
          <w:sz w:val="20"/>
          <w:szCs w:val="20"/>
          <w:color w:val="auto"/>
        </w:rPr>
      </w:pPr>
    </w:p>
    <w:p>
      <w:pPr>
        <w:jc w:val="both"/>
        <w:ind w:left="460" w:right="300" w:firstLine="413"/>
        <w:spacing w:after="0" w:line="260"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incurred $1.7 million in employer matching contributions during the nine months ended September 30, 2021, and $1.1 million during the nine months ended September 30, 2020.</w:t>
      </w:r>
    </w:p>
    <w:p>
      <w:pPr>
        <w:spacing w:after="0" w:line="314" w:lineRule="exact"/>
        <w:rPr>
          <w:sz w:val="20"/>
          <w:szCs w:val="20"/>
          <w:color w:val="auto"/>
        </w:rPr>
      </w:pPr>
    </w:p>
    <w:p>
      <w:pPr>
        <w:ind w:left="860" w:hanging="403"/>
        <w:spacing w:after="0"/>
        <w:tabs>
          <w:tab w:leader="none" w:pos="860"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108" w:lineRule="exact"/>
        <w:rPr>
          <w:sz w:val="20"/>
          <w:szCs w:val="20"/>
          <w:color w:val="auto"/>
        </w:rPr>
      </w:pPr>
    </w:p>
    <w:p>
      <w:pPr>
        <w:ind w:left="460" w:firstLine="413"/>
        <w:spacing w:after="0" w:line="269" w:lineRule="auto"/>
        <w:rPr>
          <w:sz w:val="20"/>
          <w:szCs w:val="20"/>
          <w:color w:val="auto"/>
        </w:rPr>
      </w:pPr>
      <w:r>
        <w:rPr>
          <w:rFonts w:ascii="Arial" w:cs="Arial" w:eastAsia="Arial" w:hAnsi="Arial"/>
          <w:sz w:val="16"/>
          <w:szCs w:val="16"/>
          <w:color w:val="auto"/>
        </w:rPr>
        <w:t xml:space="preserve">As described in Note 1. </w:t>
      </w:r>
      <w:r>
        <w:rPr>
          <w:rFonts w:ascii="Arial" w:cs="Arial" w:eastAsia="Arial" w:hAnsi="Arial"/>
          <w:sz w:val="16"/>
          <w:szCs w:val="16"/>
          <w:i w:val="1"/>
          <w:iCs w:val="1"/>
          <w:color w:val="auto"/>
        </w:rPr>
        <w:t>Business Organization</w:t>
      </w:r>
      <w:r>
        <w:rPr>
          <w:rFonts w:ascii="Arial" w:cs="Arial" w:eastAsia="Arial" w:hAnsi="Arial"/>
          <w:sz w:val="16"/>
          <w:szCs w:val="16"/>
          <w:color w:val="auto"/>
        </w:rPr>
        <w:t xml:space="preserve"> and Note 12. </w:t>
      </w:r>
      <w:r>
        <w:rPr>
          <w:rFonts w:ascii="Arial" w:cs="Arial" w:eastAsia="Arial" w:hAnsi="Arial"/>
          <w:sz w:val="16"/>
          <w:szCs w:val="16"/>
          <w:i w:val="1"/>
          <w:iCs w:val="1"/>
          <w:color w:val="auto"/>
        </w:rPr>
        <w:t>Stockholders’ Equity and Members’ Equity</w:t>
      </w:r>
      <w:r>
        <w:rPr>
          <w:rFonts w:ascii="Arial" w:cs="Arial" w:eastAsia="Arial" w:hAnsi="Arial"/>
          <w:sz w:val="16"/>
          <w:szCs w:val="16"/>
          <w:color w:val="auto"/>
        </w:rPr>
        <w:t>, as a result of the IPO, Definitive Healthcare Corp. began consolidating the financial results of Definitive OpCo. Definitive OpCo is treated as a partnership for U.S. federal and most applicable state and local income tax purposes. As a partnership, Definitive OpCo is not subject to U.S. federal and certain state and local income taxes. Any taxable income or loss generated by Definitive OpCo is passed through to and included in the taxable income or loss of its members, including Definitive Healthcare Corp., based on its economic interest held in Definitive OpCo. Definitive Healthcare Corp. was formed on May 5, 2021 and did not engage in any operations prior to the IPO. Definitive Healthcare Corp. is taxed as a corporation and is subject to U.S. federal, state, and local income taxes with respect to its allocable share of any taxable income or loss of Definitive OpCo, as well as such taxes on any stand-alone income or loss generated by Definitive Healthcare Corp. The Company has recorded an immaterial amount of tax expense associated with corporations owned by Definitive OpCo within general and administrative expense.</w:t>
      </w:r>
    </w:p>
    <w:p>
      <w:pPr>
        <w:spacing w:after="0" w:line="170" w:lineRule="exact"/>
        <w:rPr>
          <w:sz w:val="20"/>
          <w:szCs w:val="20"/>
          <w:color w:val="auto"/>
        </w:rPr>
      </w:pPr>
    </w:p>
    <w:p>
      <w:pPr>
        <w:ind w:left="460" w:right="100" w:firstLine="413"/>
        <w:spacing w:after="0" w:line="274" w:lineRule="auto"/>
        <w:rPr>
          <w:sz w:val="20"/>
          <w:szCs w:val="20"/>
          <w:color w:val="auto"/>
        </w:rPr>
      </w:pPr>
      <w:r>
        <w:rPr>
          <w:rFonts w:ascii="Arial" w:cs="Arial" w:eastAsia="Arial" w:hAnsi="Arial"/>
          <w:sz w:val="16"/>
          <w:szCs w:val="16"/>
          <w:color w:val="auto"/>
        </w:rPr>
        <w:t>As of September 30, 2021, management performed an assessment of the recoverability of deferred tax assets. Management determined, based on the accounting standards applicable to such assessment, that sufficient negative evidence to conclude it was more likely than not that its deferred tax assets would not be realized and has recorded a valuation allowance against substantially all of its deferred tax assets. In the event that management determines the Company would be able to realize its deferred tax assets in the future in excess of their net recorded amount, an adjustment to the valuation allowance would be made which would reduce the provision for income taxes.</w:t>
      </w:r>
    </w:p>
    <w:p>
      <w:pPr>
        <w:spacing w:after="0" w:line="165" w:lineRule="exact"/>
        <w:rPr>
          <w:sz w:val="20"/>
          <w:szCs w:val="20"/>
          <w:color w:val="auto"/>
        </w:rPr>
      </w:pPr>
    </w:p>
    <w:p>
      <w:pPr>
        <w:ind w:left="460" w:right="340" w:firstLine="413"/>
        <w:spacing w:after="0" w:line="260" w:lineRule="auto"/>
        <w:rPr>
          <w:sz w:val="20"/>
          <w:szCs w:val="20"/>
          <w:color w:val="auto"/>
        </w:rPr>
      </w:pPr>
      <w:r>
        <w:rPr>
          <w:rFonts w:ascii="Arial" w:cs="Arial" w:eastAsia="Arial" w:hAnsi="Arial"/>
          <w:sz w:val="17"/>
          <w:szCs w:val="17"/>
          <w:color w:val="auto"/>
        </w:rPr>
        <w:t>As of September 30, 2021 the Company has a net deferred tax liability of $71.3 million which was recorded through equity as part of the Reorganization Transactions. The net deferred tax liability principally relates to taxable temporary differences that cannot be considered a source of income to recover the deferred tax assets due to attribute limitation rules.</w:t>
      </w:r>
    </w:p>
    <w:p>
      <w:pPr>
        <w:spacing w:after="0" w:line="175" w:lineRule="exact"/>
        <w:rPr>
          <w:sz w:val="20"/>
          <w:szCs w:val="20"/>
          <w:color w:val="auto"/>
        </w:rPr>
      </w:pPr>
    </w:p>
    <w:p>
      <w:pPr>
        <w:jc w:val="both"/>
        <w:ind w:left="460" w:right="180" w:firstLine="413"/>
        <w:spacing w:after="0" w:line="311" w:lineRule="auto"/>
        <w:rPr>
          <w:sz w:val="20"/>
          <w:szCs w:val="20"/>
          <w:color w:val="auto"/>
        </w:rPr>
      </w:pPr>
      <w:r>
        <w:rPr>
          <w:rFonts w:ascii="Arial" w:cs="Arial" w:eastAsia="Arial" w:hAnsi="Arial"/>
          <w:sz w:val="15"/>
          <w:szCs w:val="15"/>
          <w:color w:val="auto"/>
        </w:rPr>
        <w:t>The Company recognizes uncertain income tax positions when it is more-likely-than-not the position will be sustained upon examination. As of September 30, 2021 and December 31, 2020, the Company has not identified any uncertain tax positions and has not recognized any related reserves. The Company’s effective tax rate was (0.3)% and 0.0% for the nine months ended September 30, 2021 and 2020, respectively.</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108" w:lineRule="exact"/>
        <w:rPr>
          <w:sz w:val="20"/>
          <w:szCs w:val="20"/>
          <w:color w:val="auto"/>
        </w:rPr>
      </w:pPr>
    </w:p>
    <w:p>
      <w:pPr>
        <w:jc w:val="both"/>
        <w:ind w:left="460" w:right="140" w:firstLine="413"/>
        <w:spacing w:after="0" w:line="260" w:lineRule="auto"/>
        <w:rPr>
          <w:sz w:val="20"/>
          <w:szCs w:val="20"/>
          <w:color w:val="auto"/>
        </w:rPr>
      </w:pPr>
      <w:r>
        <w:rPr>
          <w:rFonts w:ascii="Arial" w:cs="Arial" w:eastAsia="Arial" w:hAnsi="Arial"/>
          <w:sz w:val="17"/>
          <w:szCs w:val="17"/>
          <w:color w:val="auto"/>
        </w:rPr>
        <w:t>Pursuant to the Company’s election under Section 754 of the Internal Revenue Code of 1986, as amended (the “Code”), the Company expects to obtain an increase in its share of the tax basis in the net assets of Definitive OpCo when LLC Interests are redeemed or exchanged by other members. The Company plans to</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3683000</wp:posOffset>
            </wp:positionV>
            <wp:extent cx="7182485" cy="654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82485" cy="65405"/>
                    </a:xfrm>
                    <a:prstGeom prst="rect">
                      <a:avLst/>
                    </a:prstGeom>
                    <a:noFill/>
                  </pic:spPr>
                </pic:pic>
              </a:graphicData>
            </a:graphic>
          </wp:anchor>
        </w:drawing>
      </w:r>
    </w:p>
    <w:p>
      <w:pPr>
        <w:sectPr>
          <w:pgSz w:w="11900" w:h="16838" w:orient="portrait"/>
          <w:cols w:equalWidth="0" w:num="1">
            <w:col w:w="10760"/>
          </w:cols>
          <w:pgMar w:left="320" w:top="465" w:right="8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760"/>
          </w:cols>
          <w:pgMar w:left="320" w:top="465" w:right="819" w:bottom="0" w:gutter="0" w:footer="0" w:header="0"/>
          <w:type w:val="continuous"/>
        </w:sectPr>
      </w:pPr>
    </w:p>
    <w:bookmarkStart w:id="278" w:name="page279"/>
    <w:bookmarkEnd w:id="278"/>
    <w:p>
      <w:pPr>
        <w:jc w:val="both"/>
        <w:ind w:left="460"/>
        <w:spacing w:after="0" w:line="277" w:lineRule="auto"/>
        <w:rPr>
          <w:sz w:val="20"/>
          <w:szCs w:val="20"/>
          <w:color w:val="auto"/>
        </w:rPr>
      </w:pPr>
      <w:r>
        <w:rPr>
          <w:rFonts w:ascii="Arial" w:cs="Arial" w:eastAsia="Arial" w:hAnsi="Arial"/>
          <w:sz w:val="16"/>
          <w:szCs w:val="16"/>
          <w:color w:val="auto"/>
        </w:rPr>
        <w:t>make an election under Section 754 of the Code for each taxable year in which a redemption of exchange of LLC Interest occurs.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assets to the extent tax basis is allocated to those assets.</w:t>
      </w:r>
    </w:p>
    <w:p>
      <w:pPr>
        <w:spacing w:after="0" w:line="16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 connection with the IPO, the Company entered into a Tax Receivable Agreement (“TRA”) and recorded a liability under the TRA</w:t>
      </w:r>
    </w:p>
    <w:p>
      <w:pPr>
        <w:spacing w:after="0" w:line="19" w:lineRule="exact"/>
        <w:rPr>
          <w:sz w:val="20"/>
          <w:szCs w:val="20"/>
          <w:color w:val="auto"/>
        </w:rPr>
      </w:pPr>
    </w:p>
    <w:p>
      <w:pPr>
        <w:ind w:left="460" w:right="20"/>
        <w:spacing w:after="0" w:line="267" w:lineRule="auto"/>
        <w:rPr>
          <w:sz w:val="20"/>
          <w:szCs w:val="20"/>
          <w:color w:val="auto"/>
        </w:rPr>
      </w:pPr>
      <w:r>
        <w:rPr>
          <w:rFonts w:ascii="Arial" w:cs="Arial" w:eastAsia="Arial" w:hAnsi="Arial"/>
          <w:sz w:val="16"/>
          <w:szCs w:val="16"/>
          <w:color w:val="auto"/>
        </w:rPr>
        <w:t>of $146.1 million as of September 30, 2021 through equity as part of the Reorganization Transactions. Under the TRA, the Company generally will be required to pay certain of our pre-IPO owners 85% of the amount of cash savings, if any, in U.S. federal, state, or local tax that the Company actually realizes directly or indirectly (or is deemed to realize in certain circumstances) as a result of (i) certain tax attributes created as a result of any sales or exchanges (as determined for U.S. federal income tax purposes) to or with the Company of their interests in Definitive OpCo, including any basis adjustment relating to the assets of Definitive OpCo, (ii) certain favorable tax attributes acquired by the Company from the Blocker Companies in the Reorganization Transactions (including net operating losses and the unamortized portion of the increase in tax basis in the tangible and intangible assets of Definitive OpCo resulting from the prior acquisitions of interests in Definitive OpCo by the Blocker Companies), and (iii) tax benefits attributable to payments made under the TRA. The Company expects to benefit from the remaining 15% of any tax benefits that it may realize. To the extent that the Company is unable to timely make payments under the TRA for any reason, such payments generally will be deferred and will accrue interest until paid. No amounts are expected to be paid within the next 12 months.</w:t>
      </w:r>
    </w:p>
    <w:p>
      <w:pPr>
        <w:spacing w:after="0" w:line="309" w:lineRule="exact"/>
        <w:rPr>
          <w:sz w:val="20"/>
          <w:szCs w:val="20"/>
          <w:color w:val="auto"/>
        </w:rPr>
      </w:pPr>
    </w:p>
    <w:p>
      <w:pPr>
        <w:ind w:left="860" w:hanging="403"/>
        <w:spacing w:after="0"/>
        <w:tabs>
          <w:tab w:leader="none" w:pos="86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Loss Per Share</w:t>
      </w:r>
    </w:p>
    <w:p>
      <w:pPr>
        <w:spacing w:after="0" w:line="108" w:lineRule="exact"/>
        <w:rPr>
          <w:sz w:val="20"/>
          <w:szCs w:val="20"/>
          <w:color w:val="auto"/>
        </w:rPr>
      </w:pPr>
    </w:p>
    <w:p>
      <w:pPr>
        <w:ind w:left="460" w:right="40" w:firstLine="413"/>
        <w:spacing w:after="0" w:line="254" w:lineRule="auto"/>
        <w:rPr>
          <w:sz w:val="20"/>
          <w:szCs w:val="20"/>
          <w:color w:val="auto"/>
        </w:rPr>
      </w:pPr>
      <w:r>
        <w:rPr>
          <w:rFonts w:ascii="Arial" w:cs="Arial" w:eastAsia="Arial" w:hAnsi="Arial"/>
          <w:sz w:val="17"/>
          <w:szCs w:val="17"/>
          <w:color w:val="auto"/>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181" w:lineRule="exact"/>
        <w:rPr>
          <w:sz w:val="20"/>
          <w:szCs w:val="20"/>
          <w:color w:val="auto"/>
        </w:rPr>
      </w:pPr>
    </w:p>
    <w:p>
      <w:pPr>
        <w:ind w:left="460" w:right="140" w:firstLine="413"/>
        <w:spacing w:after="0" w:line="311" w:lineRule="auto"/>
        <w:rPr>
          <w:sz w:val="20"/>
          <w:szCs w:val="20"/>
          <w:color w:val="auto"/>
        </w:rPr>
      </w:pPr>
      <w:r>
        <w:rPr>
          <w:rFonts w:ascii="Arial" w:cs="Arial" w:eastAsia="Arial" w:hAnsi="Arial"/>
          <w:sz w:val="15"/>
          <w:szCs w:val="15"/>
          <w:color w:val="auto"/>
        </w:rPr>
        <w:t>Prior to the IPO, the Definitive OpCo membership structure included Class A and Class B member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nine months ended September 30, 2020.</w:t>
      </w:r>
    </w:p>
    <w:p>
      <w:pPr>
        <w:spacing w:after="0" w:line="140" w:lineRule="exact"/>
        <w:rPr>
          <w:sz w:val="20"/>
          <w:szCs w:val="20"/>
          <w:color w:val="auto"/>
        </w:rPr>
      </w:pPr>
    </w:p>
    <w:p>
      <w:pPr>
        <w:ind w:left="460" w:right="40" w:firstLine="413"/>
        <w:spacing w:after="0" w:line="256" w:lineRule="auto"/>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net loss per share of Class A Common Stock for the nine-months ended September 30, 2021. The basic and diluted earnings per share for the nine-months ended September 30, 2021 reflects only the period from September 15, 2021 to September 30, 2021, which represents the period wherein the Company had outstanding Class A Common Stock.</w:t>
      </w:r>
    </w:p>
    <w:p>
      <w:pPr>
        <w:spacing w:after="0" w:line="186"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39"/>
        </w:trPr>
        <w:tc>
          <w:tcPr>
            <w:tcW w:w="52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0"/>
        </w:trPr>
        <w:tc>
          <w:tcPr>
            <w:tcW w:w="5200" w:type="dxa"/>
            <w:vAlign w:val="bottom"/>
            <w:tcBorders>
              <w:bottom w:val="single" w:sz="8" w:color="CCEEFF"/>
            </w:tcBorders>
            <w:vMerge w:val="continue"/>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Numerator:</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7"/>
                <w:szCs w:val="17"/>
                <w:color w:val="auto"/>
              </w:rPr>
              <w:t>Net loss</w:t>
            </w:r>
          </w:p>
        </w:tc>
        <w:tc>
          <w:tcPr>
            <w:tcW w:w="6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(46,493)</w:t>
            </w:r>
          </w:p>
        </w:tc>
        <w:tc>
          <w:tcPr>
            <w:tcW w:w="0" w:type="dxa"/>
            <w:vAlign w:val="bottom"/>
          </w:tcPr>
          <w:p>
            <w:pPr>
              <w:spacing w:after="0"/>
              <w:rPr>
                <w:sz w:val="1"/>
                <w:szCs w:val="1"/>
                <w:color w:val="auto"/>
              </w:rPr>
            </w:pPr>
          </w:p>
        </w:tc>
      </w:tr>
      <w:tr>
        <w:trPr>
          <w:trHeight w:val="190"/>
        </w:trPr>
        <w:tc>
          <w:tcPr>
            <w:tcW w:w="52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Less: Net loss attributable to Definitive OpCo before Reorganization</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Transactions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(33,343)</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7"/>
                <w:szCs w:val="17"/>
                <w:color w:val="auto"/>
              </w:rPr>
              <w:t>Less: Net loss attributable to noncontrolling interests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(5,172)</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Definitive Healthcare Corp.</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(7,978)</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3340"/>
              <w:spacing w:after="0"/>
              <w:rPr>
                <w:sz w:val="20"/>
                <w:szCs w:val="20"/>
                <w:color w:val="auto"/>
              </w:rPr>
            </w:pPr>
            <w:r>
              <w:rPr>
                <w:rFonts w:ascii="Arial" w:cs="Arial" w:eastAsia="Arial" w:hAnsi="Arial"/>
                <w:sz w:val="17"/>
                <w:szCs w:val="17"/>
                <w:color w:val="auto"/>
              </w:rPr>
              <w:t>F-71</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3702685</wp:posOffset>
            </wp:positionV>
            <wp:extent cx="7182485" cy="654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2485" cy="6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sets forth the computation of basic and diluted net loss per share of Class A Common Stock (per share amounts unaudited):</w:t>
      </w:r>
    </w:p>
    <w:p>
      <w:pPr>
        <w:sectPr>
          <w:pgSz w:w="11900" w:h="16838" w:orient="portrait"/>
          <w:cols w:equalWidth="0" w:num="1">
            <w:col w:w="10780"/>
          </w:cols>
          <w:pgMar w:left="320" w:top="127" w:right="799" w:bottom="220" w:gutter="0" w:footer="0" w:header="0"/>
        </w:sectPr>
      </w:pPr>
    </w:p>
    <w:bookmarkStart w:id="279" w:name="page280"/>
    <w:bookmarkEnd w:id="279"/>
    <w:tbl>
      <w:tblPr>
        <w:tblLayout w:type="fixed"/>
        <w:tblInd w:w="1663"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2260" w:type="dxa"/>
            <w:vAlign w:val="bottom"/>
          </w:tcPr>
          <w:p>
            <w:pPr>
              <w:jc w:val="center"/>
              <w:ind w:left="1053"/>
              <w:spacing w:after="0"/>
              <w:rPr>
                <w:sz w:val="20"/>
                <w:szCs w:val="20"/>
                <w:color w:val="auto"/>
              </w:rPr>
            </w:pPr>
            <w:r>
              <w:rPr>
                <w:rFonts w:ascii="Arial" w:cs="Arial" w:eastAsia="Arial" w:hAnsi="Arial"/>
                <w:sz w:val="13"/>
                <w:szCs w:val="13"/>
                <w:b w:val="1"/>
                <w:bCs w:val="1"/>
                <w:color w:val="auto"/>
                <w:w w:val="93"/>
              </w:rPr>
              <w:t>Nine Months Ended</w:t>
            </w:r>
          </w:p>
        </w:tc>
        <w:tc>
          <w:tcPr>
            <w:tcW w:w="0" w:type="dxa"/>
            <w:vAlign w:val="bottom"/>
          </w:tcPr>
          <w:p>
            <w:pPr>
              <w:spacing w:after="0"/>
              <w:rPr>
                <w:sz w:val="1"/>
                <w:szCs w:val="1"/>
                <w:color w:val="auto"/>
              </w:rPr>
            </w:pPr>
          </w:p>
        </w:tc>
      </w:tr>
      <w:tr>
        <w:trPr>
          <w:trHeight w:val="139"/>
        </w:trPr>
        <w:tc>
          <w:tcPr>
            <w:tcW w:w="464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 except number of shares and per share amounts)</w:t>
            </w:r>
          </w:p>
        </w:tc>
        <w:tc>
          <w:tcPr>
            <w:tcW w:w="2260" w:type="dxa"/>
            <w:vAlign w:val="bottom"/>
          </w:tcPr>
          <w:p>
            <w:pPr>
              <w:jc w:val="center"/>
              <w:ind w:left="1053"/>
              <w:spacing w:after="0" w:line="139" w:lineRule="exact"/>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74"/>
        </w:trPr>
        <w:tc>
          <w:tcPr>
            <w:tcW w:w="4640" w:type="dxa"/>
            <w:vAlign w:val="bottom"/>
            <w:vMerge w:val="continue"/>
          </w:tcPr>
          <w:p>
            <w:pPr>
              <w:spacing w:after="0"/>
              <w:rPr>
                <w:sz w:val="15"/>
                <w:szCs w:val="15"/>
                <w:color w:val="auto"/>
              </w:rPr>
            </w:pPr>
          </w:p>
        </w:tc>
        <w:tc>
          <w:tcPr>
            <w:tcW w:w="2260" w:type="dxa"/>
            <w:vAlign w:val="bottom"/>
          </w:tcPr>
          <w:p>
            <w:pPr>
              <w:jc w:val="center"/>
              <w:ind w:left="1053"/>
              <w:spacing w:after="0"/>
              <w:rPr>
                <w:sz w:val="20"/>
                <w:szCs w:val="20"/>
                <w:color w:val="auto"/>
              </w:rPr>
            </w:pPr>
            <w:r>
              <w:rPr>
                <w:rFonts w:ascii="Arial" w:cs="Arial" w:eastAsia="Arial" w:hAnsi="Arial"/>
                <w:sz w:val="13"/>
                <w:szCs w:val="13"/>
                <w:b w:val="1"/>
                <w:bCs w:val="1"/>
                <w:color w:val="auto"/>
                <w:w w:val="89"/>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-8255</wp:posOffset>
            </wp:positionV>
            <wp:extent cx="4455160" cy="1365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455160" cy="136525"/>
                    </a:xfrm>
                    <a:prstGeom prst="rect">
                      <a:avLst/>
                    </a:prstGeom>
                    <a:noFill/>
                  </pic:spPr>
                </pic:pic>
              </a:graphicData>
            </a:graphic>
          </wp:anchor>
        </w:drawing>
      </w:r>
    </w:p>
    <w:p>
      <w:pPr>
        <w:sectPr>
          <w:pgSz w:w="11900" w:h="16838" w:orient="portrait"/>
          <w:cols w:equalWidth="0" w:num="1">
            <w:col w:w="10303"/>
          </w:cols>
          <w:pgMar w:left="777" w:top="109" w:right="819" w:bottom="1440" w:gutter="0" w:footer="0" w:header="0"/>
        </w:sectPr>
      </w:pPr>
    </w:p>
    <w:p>
      <w:pPr>
        <w:ind w:left="1663"/>
        <w:spacing w:after="0"/>
        <w:rPr>
          <w:sz w:val="20"/>
          <w:szCs w:val="20"/>
          <w:color w:val="auto"/>
        </w:rPr>
      </w:pPr>
      <w:r>
        <w:rPr>
          <w:rFonts w:ascii="Arial" w:cs="Arial" w:eastAsia="Arial" w:hAnsi="Arial"/>
          <w:sz w:val="14"/>
          <w:szCs w:val="14"/>
          <w:b w:val="1"/>
          <w:bCs w:val="1"/>
          <w:color w:val="auto"/>
        </w:rPr>
        <w:t>Basic net loss per share attributable to common stockholders</w:t>
      </w:r>
    </w:p>
    <w:p>
      <w:pPr>
        <w:spacing w:after="0" w:line="39" w:lineRule="exact"/>
        <w:rPr>
          <w:sz w:val="20"/>
          <w:szCs w:val="20"/>
          <w:color w:val="auto"/>
        </w:rPr>
      </w:pPr>
    </w:p>
    <w:p>
      <w:pPr>
        <w:ind w:left="1663"/>
        <w:spacing w:after="0"/>
        <w:rPr>
          <w:sz w:val="20"/>
          <w:szCs w:val="20"/>
          <w:color w:val="auto"/>
        </w:rPr>
      </w:pPr>
      <w:r>
        <w:rPr>
          <w:rFonts w:ascii="Arial" w:cs="Arial" w:eastAsia="Arial" w:hAnsi="Arial"/>
          <w:sz w:val="17"/>
          <w:szCs w:val="17"/>
          <w:b w:val="1"/>
          <w:bCs w:val="1"/>
          <w:color w:val="auto"/>
        </w:rPr>
        <w:t>Numerator:</w:t>
      </w:r>
    </w:p>
    <w:p>
      <w:pPr>
        <w:spacing w:after="0" w:line="7" w:lineRule="exact"/>
        <w:rPr>
          <w:sz w:val="20"/>
          <w:szCs w:val="20"/>
          <w:color w:val="auto"/>
        </w:rPr>
      </w:pPr>
    </w:p>
    <w:p>
      <w:pPr>
        <w:ind w:left="1663"/>
        <w:spacing w:after="0"/>
        <w:rPr>
          <w:sz w:val="20"/>
          <w:szCs w:val="20"/>
          <w:color w:val="auto"/>
        </w:rPr>
      </w:pPr>
      <w:r>
        <w:rPr>
          <w:rFonts w:ascii="Arial" w:cs="Arial" w:eastAsia="Arial" w:hAnsi="Arial"/>
          <w:sz w:val="15"/>
          <w:szCs w:val="15"/>
          <w:color w:val="auto"/>
        </w:rPr>
        <w:t>Allocation of net loss attributable to Definitive Healthcare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-108585</wp:posOffset>
            </wp:positionV>
            <wp:extent cx="445516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455160" cy="128905"/>
                    </a:xfrm>
                    <a:prstGeom prst="rect">
                      <a:avLst/>
                    </a:prstGeom>
                    <a:noFill/>
                  </pic:spPr>
                </pic:pic>
              </a:graphicData>
            </a:graphic>
          </wp:anchor>
        </w:drawing>
      </w:r>
    </w:p>
    <w:p>
      <w:pPr>
        <w:spacing w:after="0" w:line="10" w:lineRule="exact"/>
        <w:rPr>
          <w:sz w:val="20"/>
          <w:szCs w:val="20"/>
          <w:color w:val="auto"/>
        </w:rPr>
      </w:pPr>
    </w:p>
    <w:p>
      <w:pPr>
        <w:ind w:left="1663"/>
        <w:spacing w:after="0"/>
        <w:rPr>
          <w:sz w:val="20"/>
          <w:szCs w:val="20"/>
          <w:color w:val="auto"/>
        </w:rPr>
      </w:pPr>
      <w:r>
        <w:rPr>
          <w:rFonts w:ascii="Arial" w:cs="Arial" w:eastAsia="Arial" w:hAnsi="Arial"/>
          <w:sz w:val="16"/>
          <w:szCs w:val="16"/>
          <w:color w:val="auto"/>
        </w:rPr>
        <w:t>Weighted average number of shares of Class A outstanding</w:t>
      </w:r>
    </w:p>
    <w:p>
      <w:pPr>
        <w:spacing w:after="0" w:line="32" w:lineRule="exact"/>
        <w:rPr>
          <w:sz w:val="20"/>
          <w:szCs w:val="20"/>
          <w:color w:val="auto"/>
        </w:rPr>
      </w:pPr>
    </w:p>
    <w:p>
      <w:pPr>
        <w:ind w:left="1663"/>
        <w:spacing w:after="0"/>
        <w:rPr>
          <w:sz w:val="20"/>
          <w:szCs w:val="20"/>
          <w:color w:val="auto"/>
        </w:rPr>
      </w:pPr>
      <w:r>
        <w:rPr>
          <w:rFonts w:ascii="Arial" w:cs="Arial" w:eastAsia="Arial" w:hAnsi="Arial"/>
          <w:sz w:val="17"/>
          <w:szCs w:val="17"/>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-115570</wp:posOffset>
            </wp:positionV>
            <wp:extent cx="4455160" cy="1289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455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735" w:hanging="735"/>
        <w:spacing w:after="0"/>
        <w:tabs>
          <w:tab w:leader="none" w:pos="735" w:val="left"/>
        </w:tabs>
        <w:numPr>
          <w:ilvl w:val="0"/>
          <w:numId w:val="213"/>
        </w:numPr>
        <w:rPr>
          <w:rFonts w:ascii="Arial" w:cs="Arial" w:eastAsia="Arial" w:hAnsi="Arial"/>
          <w:sz w:val="15"/>
          <w:szCs w:val="15"/>
          <w:color w:val="auto"/>
        </w:rPr>
      </w:pPr>
      <w:r>
        <w:rPr>
          <w:rFonts w:ascii="Arial" w:cs="Arial" w:eastAsia="Arial" w:hAnsi="Arial"/>
          <w:sz w:val="15"/>
          <w:szCs w:val="15"/>
          <w:color w:val="auto"/>
        </w:rPr>
        <w:t>(7,978)</w:t>
      </w:r>
    </w:p>
    <w:p>
      <w:pPr>
        <w:spacing w:after="0" w:line="41" w:lineRule="exact"/>
        <w:rPr>
          <w:rFonts w:ascii="Arial" w:cs="Arial" w:eastAsia="Arial" w:hAnsi="Arial"/>
          <w:sz w:val="15"/>
          <w:szCs w:val="15"/>
          <w:color w:val="auto"/>
        </w:rPr>
      </w:pPr>
    </w:p>
    <w:p>
      <w:pPr>
        <w:ind w:left="415"/>
        <w:spacing w:after="0"/>
        <w:rPr>
          <w:rFonts w:ascii="Arial" w:cs="Arial" w:eastAsia="Arial" w:hAnsi="Arial"/>
          <w:sz w:val="15"/>
          <w:szCs w:val="15"/>
          <w:color w:val="auto"/>
        </w:rPr>
      </w:pPr>
      <w:r>
        <w:rPr>
          <w:rFonts w:ascii="Arial" w:cs="Arial" w:eastAsia="Arial" w:hAnsi="Arial"/>
          <w:sz w:val="15"/>
          <w:szCs w:val="15"/>
          <w:color w:val="auto"/>
        </w:rPr>
        <w:t>88,263,333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3977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24" w:lineRule="exact"/>
        <w:rPr>
          <w:sz w:val="20"/>
          <w:szCs w:val="20"/>
          <w:color w:val="auto"/>
        </w:rPr>
      </w:pPr>
    </w:p>
    <w:p>
      <w:pPr>
        <w:ind w:left="815" w:hanging="815"/>
        <w:spacing w:after="0"/>
        <w:tabs>
          <w:tab w:leader="none" w:pos="815" w:val="left"/>
        </w:tabs>
        <w:numPr>
          <w:ilvl w:val="0"/>
          <w:numId w:val="214"/>
        </w:numPr>
        <w:rPr>
          <w:rFonts w:ascii="Arial" w:cs="Arial" w:eastAsia="Arial" w:hAnsi="Arial"/>
          <w:sz w:val="15"/>
          <w:szCs w:val="15"/>
          <w:color w:val="auto"/>
        </w:rPr>
      </w:pPr>
      <w:r>
        <w:rPr>
          <w:rFonts w:ascii="Arial" w:cs="Arial" w:eastAsia="Arial" w:hAnsi="Arial"/>
          <w:sz w:val="15"/>
          <w:szCs w:val="15"/>
          <w:color w:val="auto"/>
        </w:rPr>
        <w:t>(0.09)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397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397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397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688" w:space="720"/>
            <w:col w:w="2895"/>
          </w:cols>
          <w:pgMar w:left="777" w:top="109" w:right="819" w:bottom="1440" w:gutter="0" w:footer="0" w:header="0"/>
          <w:type w:val="continuous"/>
        </w:sectPr>
      </w:pPr>
    </w:p>
    <w:p>
      <w:pPr>
        <w:spacing w:after="0" w:line="60" w:lineRule="exact"/>
        <w:rPr>
          <w:sz w:val="20"/>
          <w:szCs w:val="20"/>
          <w:color w:val="auto"/>
        </w:rPr>
      </w:pPr>
    </w:p>
    <w:p>
      <w:pPr>
        <w:ind w:left="3" w:firstLine="413"/>
        <w:spacing w:after="0" w:line="260" w:lineRule="auto"/>
        <w:rPr>
          <w:sz w:val="20"/>
          <w:szCs w:val="20"/>
          <w:color w:val="auto"/>
        </w:rPr>
      </w:pPr>
      <w:r>
        <w:rPr>
          <w:rFonts w:ascii="Arial" w:cs="Arial" w:eastAsia="Arial" w:hAnsi="Arial"/>
          <w:sz w:val="17"/>
          <w:szCs w:val="17"/>
          <w:color w:val="auto"/>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175" w:lineRule="exact"/>
        <w:rPr>
          <w:sz w:val="20"/>
          <w:szCs w:val="20"/>
          <w:color w:val="auto"/>
        </w:rPr>
      </w:pPr>
    </w:p>
    <w:p>
      <w:pPr>
        <w:ind w:left="3" w:right="260" w:firstLine="413"/>
        <w:spacing w:after="0" w:line="272" w:lineRule="auto"/>
        <w:rPr>
          <w:sz w:val="20"/>
          <w:szCs w:val="20"/>
          <w:color w:val="auto"/>
        </w:rPr>
      </w:pPr>
      <w:r>
        <w:rPr>
          <w:rFonts w:ascii="Arial" w:cs="Arial" w:eastAsia="Arial" w:hAnsi="Arial"/>
          <w:sz w:val="17"/>
          <w:szCs w:val="17"/>
          <w:color w:val="auto"/>
        </w:rPr>
        <w:t>The following table presents potentially dilutive securities excluded from the computation of diluted net loss per share for the period presented because their effect would have been anti-dilutive:</w:t>
      </w:r>
    </w:p>
    <w:p>
      <w:pPr>
        <w:spacing w:after="0" w:line="172" w:lineRule="exact"/>
        <w:rPr>
          <w:sz w:val="20"/>
          <w:szCs w:val="20"/>
          <w:color w:val="auto"/>
        </w:rPr>
      </w:pPr>
    </w:p>
    <w:tbl>
      <w:tblPr>
        <w:tblLayout w:type="fixed"/>
        <w:tblInd w:w="1663"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Nine Months Ended</w:t>
            </w:r>
          </w:p>
        </w:tc>
      </w:tr>
      <w:tr>
        <w:trPr>
          <w:trHeight w:val="139"/>
        </w:trPr>
        <w:tc>
          <w:tcPr>
            <w:tcW w:w="5800" w:type="dxa"/>
            <w:vAlign w:val="bottom"/>
          </w:tcPr>
          <w:p>
            <w:pPr>
              <w:spacing w:after="0"/>
              <w:rPr>
                <w:sz w:val="12"/>
                <w:szCs w:val="12"/>
                <w:color w:val="auto"/>
              </w:rPr>
            </w:pPr>
          </w:p>
        </w:tc>
        <w:tc>
          <w:tcPr>
            <w:tcW w:w="122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2"/>
              </w:rPr>
              <w:t>September 30,</w:t>
            </w:r>
          </w:p>
        </w:tc>
      </w:tr>
      <w:tr>
        <w:trPr>
          <w:trHeight w:val="160"/>
        </w:trPr>
        <w:tc>
          <w:tcPr>
            <w:tcW w:w="58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60" w:type="dxa"/>
            <w:vAlign w:val="bottom"/>
            <w:tcBorders>
              <w:bottom w:val="single" w:sz="8" w:color="CCEEFF"/>
            </w:tcBorders>
          </w:tcPr>
          <w:p>
            <w:pPr>
              <w:spacing w:after="0"/>
              <w:rPr>
                <w:sz w:val="13"/>
                <w:szCs w:val="13"/>
                <w:color w:val="auto"/>
              </w:rPr>
            </w:pPr>
          </w:p>
        </w:tc>
      </w:tr>
      <w:tr>
        <w:trPr>
          <w:trHeight w:val="195"/>
        </w:trPr>
        <w:tc>
          <w:tcPr>
            <w:tcW w:w="5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Definitive OpCo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57,192,893</w:t>
            </w:r>
          </w:p>
        </w:tc>
        <w:tc>
          <w:tcPr>
            <w:tcW w:w="60" w:type="dxa"/>
            <w:vAlign w:val="bottom"/>
            <w:shd w:val="clear" w:color="auto" w:fill="CCEEFF"/>
          </w:tcPr>
          <w:p>
            <w:pPr>
              <w:spacing w:after="0"/>
              <w:rPr>
                <w:sz w:val="16"/>
                <w:szCs w:val="16"/>
                <w:color w:val="auto"/>
              </w:rPr>
            </w:pPr>
          </w:p>
        </w:tc>
      </w:tr>
    </w:tbl>
    <w:p>
      <w:pPr>
        <w:spacing w:after="0" w:line="329" w:lineRule="exact"/>
        <w:rPr>
          <w:sz w:val="20"/>
          <w:szCs w:val="20"/>
          <w:color w:val="auto"/>
        </w:rPr>
      </w:pPr>
    </w:p>
    <w:p>
      <w:pPr>
        <w:ind w:left="403" w:hanging="403"/>
        <w:spacing w:after="0"/>
        <w:tabs>
          <w:tab w:leader="none" w:pos="403"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Segment and Geographic Data</w:t>
      </w:r>
    </w:p>
    <w:p>
      <w:pPr>
        <w:spacing w:after="0" w:line="108" w:lineRule="exact"/>
        <w:rPr>
          <w:sz w:val="20"/>
          <w:szCs w:val="20"/>
          <w:color w:val="auto"/>
        </w:rPr>
      </w:pPr>
    </w:p>
    <w:p>
      <w:pPr>
        <w:ind w:left="3" w:firstLine="413"/>
        <w:spacing w:after="0" w:line="254" w:lineRule="auto"/>
        <w:rPr>
          <w:sz w:val="20"/>
          <w:szCs w:val="20"/>
          <w:color w:val="auto"/>
        </w:rPr>
      </w:pPr>
      <w:r>
        <w:rPr>
          <w:rFonts w:ascii="Arial" w:cs="Arial" w:eastAsia="Arial" w:hAnsi="Arial"/>
          <w:sz w:val="17"/>
          <w:szCs w:val="17"/>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1" w:lineRule="exact"/>
        <w:rPr>
          <w:sz w:val="20"/>
          <w:szCs w:val="20"/>
          <w:color w:val="auto"/>
        </w:rPr>
      </w:pPr>
    </w:p>
    <w:p>
      <w:pPr>
        <w:ind w:left="423"/>
        <w:spacing w:after="0"/>
        <w:rPr>
          <w:sz w:val="20"/>
          <w:szCs w:val="20"/>
          <w:color w:val="auto"/>
        </w:rPr>
      </w:pPr>
      <w:r>
        <w:rPr>
          <w:rFonts w:ascii="Arial" w:cs="Arial" w:eastAsia="Arial" w:hAnsi="Arial"/>
          <w:sz w:val="17"/>
          <w:szCs w:val="17"/>
          <w:color w:val="auto"/>
        </w:rPr>
        <w:t>Revenues by geographic area presented based upon the location of the customer are as follows:</w:t>
      </w:r>
    </w:p>
    <w:p>
      <w:pPr>
        <w:spacing w:after="0" w:line="217" w:lineRule="exact"/>
        <w:rPr>
          <w:sz w:val="20"/>
          <w:szCs w:val="20"/>
          <w:color w:val="auto"/>
        </w:rPr>
      </w:pPr>
    </w:p>
    <w:tbl>
      <w:tblPr>
        <w:tblLayout w:type="fixed"/>
        <w:tblInd w:w="1243"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ind w:left="20"/>
              <w:spacing w:after="0"/>
              <w:rPr>
                <w:sz w:val="20"/>
                <w:szCs w:val="20"/>
                <w:color w:val="auto"/>
              </w:rPr>
            </w:pPr>
            <w:r>
              <w:rPr>
                <w:rFonts w:ascii="Arial" w:cs="Arial" w:eastAsia="Arial" w:hAnsi="Arial"/>
                <w:sz w:val="13"/>
                <w:szCs w:val="13"/>
                <w:b w:val="1"/>
                <w:bCs w:val="1"/>
                <w:color w:val="auto"/>
              </w:rPr>
              <w:t>For the Nine Months Ended</w:t>
            </w:r>
          </w:p>
        </w:tc>
        <w:tc>
          <w:tcPr>
            <w:tcW w:w="0" w:type="dxa"/>
            <w:vAlign w:val="bottom"/>
          </w:tcPr>
          <w:p>
            <w:pPr>
              <w:spacing w:after="0"/>
              <w:rPr>
                <w:sz w:val="1"/>
                <w:szCs w:val="1"/>
                <w:color w:val="auto"/>
              </w:rPr>
            </w:pPr>
          </w:p>
        </w:tc>
      </w:tr>
      <w:tr>
        <w:trPr>
          <w:trHeight w:val="160"/>
        </w:trPr>
        <w:tc>
          <w:tcPr>
            <w:tcW w:w="59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9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4"/>
              <w:spacing w:after="0" w:line="145" w:lineRule="exact"/>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line="145" w:lineRule="exact"/>
              <w:rPr>
                <w:sz w:val="20"/>
                <w:szCs w:val="20"/>
                <w:color w:val="auto"/>
              </w:rPr>
            </w:pPr>
            <w:r>
              <w:rPr>
                <w:rFonts w:ascii="Arial" w:cs="Arial" w:eastAsia="Arial" w:hAnsi="Arial"/>
                <w:sz w:val="13"/>
                <w:szCs w:val="13"/>
                <w:b w:val="1"/>
                <w:bCs w:val="1"/>
                <w:color w:val="auto"/>
                <w:w w:val="96"/>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114,339</w:t>
            </w: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84,659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900" w:type="dxa"/>
            <w:vAlign w:val="bottom"/>
          </w:tcPr>
          <w:p>
            <w:pPr>
              <w:spacing w:after="0"/>
              <w:rPr>
                <w:sz w:val="20"/>
                <w:szCs w:val="20"/>
                <w:color w:val="auto"/>
              </w:rPr>
            </w:pPr>
            <w:r>
              <w:rPr>
                <w:rFonts w:ascii="Arial" w:cs="Arial" w:eastAsia="Arial" w:hAnsi="Arial"/>
                <w:sz w:val="17"/>
                <w:szCs w:val="17"/>
                <w:color w:val="auto"/>
              </w:rPr>
              <w:t>Rest of world</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5,502</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119,841</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84,659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23"/>
        <w:spacing w:after="0"/>
        <w:rPr>
          <w:sz w:val="20"/>
          <w:szCs w:val="20"/>
          <w:color w:val="auto"/>
        </w:rPr>
      </w:pPr>
      <w:r>
        <w:rPr>
          <w:rFonts w:ascii="Arial" w:cs="Arial" w:eastAsia="Arial" w:hAnsi="Arial"/>
          <w:sz w:val="17"/>
          <w:szCs w:val="17"/>
          <w:color w:val="auto"/>
        </w:rPr>
        <w:t xml:space="preserve">For a summary of our revenue disaggregated by service,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210" w:lineRule="exact"/>
        <w:rPr>
          <w:sz w:val="20"/>
          <w:szCs w:val="20"/>
          <w:color w:val="auto"/>
        </w:rPr>
      </w:pPr>
    </w:p>
    <w:p>
      <w:pPr>
        <w:ind w:left="3" w:right="180" w:firstLine="413"/>
        <w:spacing w:after="0" w:line="272"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Long-lived assets by geographic area presented based upon the location of the assets are as follows:</w:t>
      </w:r>
    </w:p>
    <w:p>
      <w:pPr>
        <w:spacing w:after="0" w:line="184" w:lineRule="exact"/>
        <w:rPr>
          <w:sz w:val="20"/>
          <w:szCs w:val="20"/>
          <w:color w:val="auto"/>
        </w:rPr>
      </w:pPr>
    </w:p>
    <w:tbl>
      <w:tblPr>
        <w:tblLayout w:type="fixed"/>
        <w:tblInd w:w="1243"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68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3"/>
                <w:szCs w:val="13"/>
                <w:b w:val="1"/>
                <w:bCs w:val="1"/>
                <w:color w:val="auto"/>
              </w:rPr>
              <w:t>September 30, 2021</w:t>
            </w:r>
          </w:p>
        </w:tc>
        <w:tc>
          <w:tcPr>
            <w:tcW w:w="5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w w:val="93"/>
              </w:rPr>
              <w:t>December 31, 2020</w:t>
            </w:r>
          </w:p>
        </w:tc>
      </w:tr>
      <w:tr>
        <w:trPr>
          <w:trHeight w:val="195"/>
        </w:trPr>
        <w:tc>
          <w:tcPr>
            <w:tcW w:w="28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United States</w:t>
            </w:r>
          </w:p>
        </w:tc>
        <w:tc>
          <w:tcPr>
            <w:tcW w:w="16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4,311</w:t>
            </w:r>
          </w:p>
        </w:tc>
        <w:tc>
          <w:tcPr>
            <w:tcW w:w="5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7"/>
                <w:szCs w:val="17"/>
                <w:color w:val="auto"/>
              </w:rPr>
              <w:t>Rest of world</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color w:val="auto"/>
              </w:rPr>
              <w:t>386</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r>
      <w:tr>
        <w:trPr>
          <w:trHeight w:val="25"/>
        </w:trPr>
        <w:tc>
          <w:tcPr>
            <w:tcW w:w="2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2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long-lived assets</w:t>
            </w:r>
          </w:p>
        </w:tc>
        <w:tc>
          <w:tcPr>
            <w:tcW w:w="1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4,697</w:t>
            </w:r>
          </w:p>
        </w:tc>
        <w:tc>
          <w:tcPr>
            <w:tcW w:w="940" w:type="dxa"/>
            <w:vAlign w:val="bottom"/>
            <w:gridSpan w:val="2"/>
            <w:shd w:val="clear" w:color="auto" w:fill="CCEEFF"/>
          </w:tcPr>
          <w:p>
            <w:pPr>
              <w:jc w:val="right"/>
              <w:ind w:right="229"/>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3,248</w:t>
            </w:r>
          </w:p>
        </w:tc>
      </w:tr>
      <w:tr>
        <w:trPr>
          <w:trHeight w:val="20"/>
        </w:trPr>
        <w:tc>
          <w:tcPr>
            <w:tcW w:w="2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2800" w:type="dxa"/>
            <w:vAlign w:val="bottom"/>
          </w:tcPr>
          <w:p>
            <w:pPr>
              <w:spacing w:after="0"/>
              <w:rPr>
                <w:sz w:val="24"/>
                <w:szCs w:val="24"/>
                <w:color w:val="auto"/>
              </w:rPr>
            </w:pPr>
          </w:p>
        </w:tc>
        <w:tc>
          <w:tcPr>
            <w:tcW w:w="2100" w:type="dxa"/>
            <w:vAlign w:val="bottom"/>
            <w:gridSpan w:val="2"/>
          </w:tcPr>
          <w:p>
            <w:pPr>
              <w:ind w:left="960"/>
              <w:spacing w:after="0"/>
              <w:rPr>
                <w:sz w:val="20"/>
                <w:szCs w:val="20"/>
                <w:color w:val="auto"/>
              </w:rPr>
            </w:pPr>
            <w:r>
              <w:rPr>
                <w:rFonts w:ascii="Arial" w:cs="Arial" w:eastAsia="Arial" w:hAnsi="Arial"/>
                <w:sz w:val="17"/>
                <w:szCs w:val="17"/>
                <w:color w:val="auto"/>
              </w:rPr>
              <w:t>F-72</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303"/>
          </w:cols>
          <w:pgMar w:left="777" w:top="109" w:right="819" w:bottom="1440" w:gutter="0" w:footer="0" w:header="0"/>
          <w:type w:val="continuous"/>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hanging="403"/>
        <w:spacing w:after="0"/>
        <w:tabs>
          <w:tab w:leader="none" w:pos="86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 Parties</w:t>
      </w:r>
    </w:p>
    <w:p>
      <w:pPr>
        <w:spacing w:after="0" w:line="108" w:lineRule="exact"/>
        <w:rPr>
          <w:sz w:val="20"/>
          <w:szCs w:val="20"/>
          <w:color w:val="auto"/>
        </w:rPr>
      </w:pPr>
    </w:p>
    <w:p>
      <w:pPr>
        <w:ind w:left="460" w:right="60" w:firstLine="413"/>
        <w:spacing w:after="0" w:line="256" w:lineRule="auto"/>
        <w:rPr>
          <w:sz w:val="20"/>
          <w:szCs w:val="20"/>
          <w:color w:val="auto"/>
        </w:rPr>
      </w:pPr>
      <w:r>
        <w:rPr>
          <w:rFonts w:ascii="Arial" w:cs="Arial" w:eastAsia="Arial" w:hAnsi="Arial"/>
          <w:sz w:val="17"/>
          <w:szCs w:val="17"/>
          <w:color w:val="auto"/>
        </w:rPr>
        <w:t>The Company has engaged in revenue transactions within the ordinary course of business with entities affiliated with its private equity sponsors and with members of the Company’s board of directors. During each of the nine months ended September 30, 2021 and 2020 the Company recorded revenue of $0.7 million and $0.6 million, respectively. The associated receivable for the revenue transactions amounted to $0.1 million and $0.7 million at September 30, 2021 and December 31, 2020, respectively.</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The Company reimburses its private equity sponsors for services and any related travel and out-of-pocket expenses. During the nine months ended September 30, 2021, the Company had expenses for services, travel and out-of-pocket expenses to its private equity sponsors of $0.2 million and was not material for the nine months ended September 30, 2020. The associated payable for the service transactions was not material at September 30, 2021 and December 31, 2020.</w:t>
      </w:r>
    </w:p>
    <w:p>
      <w:pPr>
        <w:spacing w:after="0" w:line="179" w:lineRule="exact"/>
        <w:rPr>
          <w:sz w:val="20"/>
          <w:szCs w:val="20"/>
          <w:color w:val="auto"/>
        </w:rPr>
      </w:pPr>
    </w:p>
    <w:p>
      <w:pPr>
        <w:ind w:left="460" w:firstLine="413"/>
        <w:spacing w:after="0" w:line="256" w:lineRule="auto"/>
        <w:rPr>
          <w:sz w:val="20"/>
          <w:szCs w:val="20"/>
          <w:color w:val="auto"/>
        </w:rPr>
      </w:pPr>
      <w:r>
        <w:rPr>
          <w:rFonts w:ascii="Arial" w:cs="Arial" w:eastAsia="Arial" w:hAnsi="Arial"/>
          <w:sz w:val="17"/>
          <w:szCs w:val="17"/>
          <w:color w:val="auto"/>
        </w:rPr>
        <w:t>On September 17, 2021, Definitive OpCo entered into an agreement to reimburse approximately $0.9 million in aggregate documented expenses incurred by Advent International, 22C Capital LLC (“22C Capital”), Spectrum Equity Management, L.P. (“Spectrum Equity”), Jason Krantz and MHDH AB and in connection with the Reorganization Transactions. The amounts were included in accrued expenses and other current liabilities as of September 30, 2021 and are expected to be paid in the fourth quarter of 2021.</w:t>
      </w:r>
    </w:p>
    <w:p>
      <w:pPr>
        <w:spacing w:after="0" w:line="179" w:lineRule="exact"/>
        <w:rPr>
          <w:sz w:val="20"/>
          <w:szCs w:val="20"/>
          <w:color w:val="auto"/>
        </w:rPr>
      </w:pPr>
    </w:p>
    <w:p>
      <w:pPr>
        <w:ind w:left="460" w:right="300" w:firstLine="413"/>
        <w:spacing w:after="0" w:line="301" w:lineRule="auto"/>
        <w:rPr>
          <w:sz w:val="20"/>
          <w:szCs w:val="20"/>
          <w:color w:val="auto"/>
        </w:rPr>
      </w:pPr>
      <w:r>
        <w:rPr>
          <w:rFonts w:ascii="Arial" w:cs="Arial" w:eastAsia="Arial" w:hAnsi="Arial"/>
          <w:sz w:val="15"/>
          <w:szCs w:val="15"/>
          <w:color w:val="auto"/>
        </w:rPr>
        <w:t>During the second quarter of 2021, the Company issued 363,516 new Class A units worth $5.8 million to members of the Company’s board of directors. Further, in connection with Definitive Healthcare’s IPO, the underwriters reserved 5% of the common shares for sale at the initial offering price to the Company’s directors, officers and selected senior managers (the “Directed Share Program”). Richard Booth and Samuel A. Hamood participated in the Directed Share Program and purchased 7,407 and 37,037 shares of Class A Common Stock, respectively.</w:t>
      </w:r>
    </w:p>
    <w:p>
      <w:pPr>
        <w:spacing w:after="0" w:line="287" w:lineRule="exact"/>
        <w:rPr>
          <w:sz w:val="20"/>
          <w:szCs w:val="20"/>
          <w:color w:val="auto"/>
        </w:rPr>
      </w:pPr>
    </w:p>
    <w:p>
      <w:pPr>
        <w:ind w:left="860" w:hanging="403"/>
        <w:spacing w:after="0"/>
        <w:tabs>
          <w:tab w:leader="none" w:pos="860"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Noncontrolling Interest</w:t>
      </w:r>
    </w:p>
    <w:p>
      <w:pPr>
        <w:spacing w:after="0" w:line="108" w:lineRule="exact"/>
        <w:rPr>
          <w:sz w:val="20"/>
          <w:szCs w:val="20"/>
          <w:color w:val="auto"/>
        </w:rPr>
      </w:pPr>
    </w:p>
    <w:p>
      <w:pPr>
        <w:ind w:left="460" w:right="60" w:firstLine="413"/>
        <w:spacing w:after="0" w:line="252" w:lineRule="auto"/>
        <w:rPr>
          <w:sz w:val="20"/>
          <w:szCs w:val="20"/>
          <w:color w:val="auto"/>
        </w:rPr>
      </w:pPr>
      <w:r>
        <w:rPr>
          <w:rFonts w:ascii="Arial" w:cs="Arial" w:eastAsia="Arial" w:hAnsi="Arial"/>
          <w:sz w:val="17"/>
          <w:szCs w:val="17"/>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Definitive OpCo Units held by Continuing LLC Members. Changes in Definitive Healthcare Corp.’s ownership interest in its consolidated subsidiaries are accounted for as equity transactions. As such, future redemptions or direct exchanges of OpCo Units by Continuing LLC Members will result in a change in ownership and reduce or increase the amount recorded as Noncontrolling interests and increase or decrease Additional paid-in capital in the Company’s Condensed Consolidated Balance Sheets.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As of September 30, 2021, Definitive Healthcare Corp. held 88,263,333 units in the Definitive OpCo resulting in an ownership interest of 60.7%.</w:t>
      </w:r>
    </w:p>
    <w:p>
      <w:pPr>
        <w:spacing w:after="0" w:line="372" w:lineRule="exact"/>
        <w:rPr>
          <w:sz w:val="20"/>
          <w:szCs w:val="20"/>
          <w:color w:val="auto"/>
        </w:rPr>
      </w:pPr>
    </w:p>
    <w:p>
      <w:pPr>
        <w:ind w:left="860" w:hanging="403"/>
        <w:spacing w:after="0"/>
        <w:tabs>
          <w:tab w:leader="none" w:pos="860"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Subsequent Events</w:t>
      </w:r>
    </w:p>
    <w:p>
      <w:pPr>
        <w:spacing w:after="0" w:line="108" w:lineRule="exact"/>
        <w:rPr>
          <w:sz w:val="20"/>
          <w:szCs w:val="20"/>
          <w:color w:val="auto"/>
        </w:rPr>
      </w:pPr>
    </w:p>
    <w:p>
      <w:pPr>
        <w:jc w:val="both"/>
        <w:ind w:left="460" w:right="300" w:firstLine="413"/>
        <w:spacing w:after="0" w:line="287" w:lineRule="auto"/>
        <w:rPr>
          <w:sz w:val="20"/>
          <w:szCs w:val="20"/>
          <w:color w:val="auto"/>
        </w:rPr>
      </w:pPr>
      <w:r>
        <w:rPr>
          <w:rFonts w:ascii="Arial" w:cs="Arial" w:eastAsia="Arial" w:hAnsi="Arial"/>
          <w:sz w:val="15"/>
          <w:szCs w:val="15"/>
          <w:color w:val="auto"/>
        </w:rPr>
        <w:t>Robert Musslewhite was appointed as President of Definitive Healthcare Corp. effective October 7, 2021. In connection with his appointment, Mr. Musslewhite entered into an employment agreement pursuant to which, he will be paid an annual base salary of $0.4 million. Mr. Musslewhite’s annual bonus will equal 68% of his pro-rated base salary calculated from the effective date of his employment agreement. In future years,</w:t>
      </w:r>
    </w:p>
    <w:p>
      <w:pPr>
        <w:spacing w:after="0" w:line="1" w:lineRule="exact"/>
        <w:rPr>
          <w:sz w:val="20"/>
          <w:szCs w:val="20"/>
          <w:color w:val="auto"/>
        </w:rPr>
      </w:pPr>
    </w:p>
    <w:p>
      <w:pPr>
        <w:ind w:left="460" w:right="160"/>
        <w:spacing w:after="0" w:line="257" w:lineRule="auto"/>
        <w:rPr>
          <w:sz w:val="20"/>
          <w:szCs w:val="20"/>
          <w:color w:val="auto"/>
        </w:rPr>
      </w:pPr>
      <w:r>
        <w:rPr>
          <w:rFonts w:ascii="Arial" w:cs="Arial" w:eastAsia="Arial" w:hAnsi="Arial"/>
          <w:sz w:val="17"/>
          <w:szCs w:val="17"/>
          <w:color w:val="auto"/>
        </w:rPr>
        <w:t>Mr. Musslewhite will be eligible to receive an annual bonus of up to 68% of his base salary, determined in the sole discretion of the Board, and will be able to participate in the Company’s exective incentive plan on the same terms as similarly situated executives.</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0780"/>
          </w:cols>
          <w:pgMar w:left="320" w:top="466" w:right="79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51" w:lineRule="auto"/>
        <w:rPr>
          <w:sz w:val="20"/>
          <w:szCs w:val="20"/>
          <w:color w:val="auto"/>
        </w:rPr>
      </w:pPr>
      <w:r>
        <w:rPr>
          <w:rFonts w:ascii="Arial" w:cs="Arial" w:eastAsia="Arial" w:hAnsi="Arial"/>
          <w:sz w:val="17"/>
          <w:szCs w:val="17"/>
          <w:color w:val="auto"/>
        </w:rPr>
        <w:t>In addition, pursuant to his employment agreement, Mr. Musslewhite will be granted a restricted stock unit award of 433,550 shares of the Company’s Class A common stock, which will vest 25% on the one-year anniversary of the grant, followed by quarterly vesting of 6.25% per quarter until fully vested over the subsequent three years. Further, Mr. Musslewhite will be granted a second restricted stock unit award in the amount of 216,450 shares of Class A common stock, 33% of which will vest on the one-year anniversary of the grant, followed by quarterly vesting of 8.33% per quarter until fully vested over the subsequent two years.</w:t>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F-74</w:t>
      </w:r>
    </w:p>
    <w:p>
      <w:pPr>
        <w:sectPr>
          <w:pgSz w:w="11900" w:h="16838" w:orient="portrait"/>
          <w:cols w:equalWidth="0" w:num="1">
            <w:col w:w="10640"/>
          </w:cols>
          <w:pgMar w:left="320" w:top="465" w:right="93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207645</wp:posOffset>
            </wp:positionV>
            <wp:extent cx="6562090" cy="241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562090" cy="24130"/>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264160</wp:posOffset>
            </wp:positionV>
            <wp:extent cx="65620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0"/>
        <w:spacing w:after="0"/>
        <w:rPr>
          <w:sz w:val="20"/>
          <w:szCs w:val="20"/>
          <w:color w:val="auto"/>
        </w:rPr>
      </w:pPr>
      <w:r>
        <w:rPr>
          <w:rFonts w:ascii="Arial" w:cs="Arial" w:eastAsia="Arial" w:hAnsi="Arial"/>
          <w:sz w:val="27"/>
          <w:szCs w:val="27"/>
          <w:b w:val="1"/>
          <w:bCs w:val="1"/>
          <w:color w:val="auto"/>
        </w:rPr>
        <w:t>11,000,000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320675</wp:posOffset>
            </wp:positionV>
            <wp:extent cx="2010410" cy="410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10410" cy="41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40"/>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377190</wp:posOffset>
            </wp:positionV>
            <wp:extent cx="13830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231775</wp:posOffset>
            </wp:positionV>
            <wp:extent cx="138303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Goldman Sachs &amp; Co. LLC</w:t>
      </w:r>
    </w:p>
    <w:p>
      <w:pPr>
        <w:spacing w:after="0" w:line="130"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J.P. Morgan</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Morgan Stanley</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Barclays</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Credit Suisse</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Deutsche Bank Securities</w:t>
      </w:r>
    </w:p>
    <w:p>
      <w:pPr>
        <w:spacing w:after="0" w:line="119"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Canaccord Genuity</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Raymond James</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Stifel</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Drexel Hamilton</w:t>
      </w:r>
    </w:p>
    <w:p>
      <w:pPr>
        <w:spacing w:after="0" w:line="107"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Loop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384810</wp:posOffset>
            </wp:positionV>
            <wp:extent cx="13830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400685</wp:posOffset>
            </wp:positionV>
            <wp:extent cx="65620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5620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457200</wp:posOffset>
            </wp:positionV>
            <wp:extent cx="6562090" cy="241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562090" cy="24130"/>
                    </a:xfrm>
                    <a:prstGeom prst="rect">
                      <a:avLst/>
                    </a:prstGeom>
                    <a:noFill/>
                  </pic:spPr>
                </pic:pic>
              </a:graphicData>
            </a:graphic>
          </wp:anchor>
        </w:drawing>
      </w:r>
    </w:p>
    <w:p>
      <w:pPr>
        <w:sectPr>
          <w:pgSz w:w="11900" w:h="16838" w:orient="portrait"/>
          <w:cols w:equalWidth="0" w:num="1">
            <w:col w:w="10139"/>
          </w:cols>
          <w:pgMar w:left="320" w:top="465" w:right="1440"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PART II—INFORMATION NOT REQUIRED IN PROSPECTUS</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12"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The following table sets forth all costs and expenses, other than the underwriting discounts, paid or payable by us in connection with the sale of the Class A common stock being registered. All amounts shown are estimates except for the SEC registration fee, the Financial Industry Regulatory Authority (“FINRA”) filing fee and the listing fee for Nasdaq.</w:t>
      </w:r>
    </w:p>
    <w:p>
      <w:pPr>
        <w:spacing w:after="0" w:line="182"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4"/>
          </w:tcPr>
          <w:p>
            <w:pPr>
              <w:spacing w:after="0"/>
              <w:rPr>
                <w:sz w:val="20"/>
                <w:szCs w:val="20"/>
                <w:color w:val="auto"/>
              </w:rPr>
            </w:pPr>
            <w:r>
              <w:rPr>
                <w:rFonts w:ascii="Arial" w:cs="Arial" w:eastAsia="Arial" w:hAnsi="Arial"/>
                <w:sz w:val="13"/>
                <w:szCs w:val="13"/>
                <w:b w:val="1"/>
                <w:bCs w:val="1"/>
                <w:color w:val="auto"/>
                <w:w w:val="97"/>
              </w:rPr>
              <w:t>Amount Paid or to be</w:t>
            </w:r>
          </w:p>
        </w:tc>
      </w:tr>
      <w:tr>
        <w:trPr>
          <w:trHeight w:val="160"/>
        </w:trPr>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3"/>
          </w:tcPr>
          <w:p>
            <w:pPr>
              <w:ind w:left="200"/>
              <w:spacing w:after="0"/>
              <w:rPr>
                <w:sz w:val="20"/>
                <w:szCs w:val="20"/>
                <w:color w:val="auto"/>
              </w:rPr>
            </w:pPr>
            <w:r>
              <w:rPr>
                <w:rFonts w:ascii="Arial" w:cs="Arial" w:eastAsia="Arial" w:hAnsi="Arial"/>
                <w:sz w:val="13"/>
                <w:szCs w:val="13"/>
                <w:b w:val="1"/>
                <w:bCs w:val="1"/>
                <w:color w:val="auto"/>
              </w:rPr>
              <w:t>Paid</w:t>
            </w:r>
          </w:p>
        </w:tc>
      </w:tr>
      <w:tr>
        <w:trPr>
          <w:trHeight w:val="195"/>
        </w:trPr>
        <w:tc>
          <w:tcPr>
            <w:tcW w:w="5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SEC Registration Fee</w:t>
            </w: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49,779</w:t>
            </w:r>
          </w:p>
        </w:tc>
        <w:tc>
          <w:tcPr>
            <w:tcW w:w="60" w:type="dxa"/>
            <w:vAlign w:val="bottom"/>
            <w:tcBorders>
              <w:top w:val="single" w:sz="8" w:color="CCEEFF"/>
            </w:tcBorders>
            <w:gridSpan w:val="2"/>
            <w:shd w:val="clear" w:color="auto" w:fill="CCEEFF"/>
          </w:tcPr>
          <w:p>
            <w:pPr>
              <w:spacing w:after="0"/>
              <w:rPr>
                <w:sz w:val="16"/>
                <w:szCs w:val="16"/>
                <w:color w:val="auto"/>
              </w:rPr>
            </w:pPr>
          </w:p>
        </w:tc>
      </w:tr>
      <w:tr>
        <w:trPr>
          <w:trHeight w:val="203"/>
        </w:trPr>
        <w:tc>
          <w:tcPr>
            <w:tcW w:w="5700" w:type="dxa"/>
            <w:vAlign w:val="bottom"/>
          </w:tcPr>
          <w:p>
            <w:pPr>
              <w:spacing w:after="0"/>
              <w:rPr>
                <w:sz w:val="20"/>
                <w:szCs w:val="20"/>
                <w:color w:val="auto"/>
              </w:rPr>
            </w:pPr>
            <w:r>
              <w:rPr>
                <w:rFonts w:ascii="Arial" w:cs="Arial" w:eastAsia="Arial" w:hAnsi="Arial"/>
                <w:sz w:val="17"/>
                <w:szCs w:val="17"/>
                <w:color w:val="auto"/>
              </w:rPr>
              <w:t>FINRA Filing Fee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79,132</w:t>
            </w: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w:t>
            </w:r>
          </w:p>
        </w:tc>
      </w:tr>
      <w:tr>
        <w:trPr>
          <w:trHeight w:val="203"/>
        </w:trPr>
        <w:tc>
          <w:tcPr>
            <w:tcW w:w="5700" w:type="dxa"/>
            <w:vAlign w:val="bottom"/>
          </w:tcPr>
          <w:p>
            <w:pPr>
              <w:spacing w:after="0"/>
              <w:rPr>
                <w:sz w:val="20"/>
                <w:szCs w:val="20"/>
                <w:color w:val="auto"/>
              </w:rPr>
            </w:pPr>
            <w:r>
              <w:rPr>
                <w:rFonts w:ascii="Arial" w:cs="Arial" w:eastAsia="Arial" w:hAnsi="Arial"/>
                <w:sz w:val="17"/>
                <w:szCs w:val="17"/>
                <w:color w:val="auto"/>
              </w:rPr>
              <w:t>Blue sky qualification</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5,000</w:t>
            </w:r>
          </w:p>
        </w:tc>
        <w:tc>
          <w:tcPr>
            <w:tcW w:w="40" w:type="dxa"/>
            <w:vAlign w:val="bottom"/>
          </w:tcPr>
          <w:p>
            <w:pPr>
              <w:spacing w:after="0"/>
              <w:rPr>
                <w:sz w:val="17"/>
                <w:szCs w:val="17"/>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Printing fees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150,000</w:t>
            </w:r>
          </w:p>
        </w:tc>
        <w:tc>
          <w:tcPr>
            <w:tcW w:w="40" w:type="dxa"/>
            <w:vAlign w:val="bottom"/>
            <w:shd w:val="clear" w:color="auto" w:fill="CCEEFF"/>
          </w:tcPr>
          <w:p>
            <w:pPr>
              <w:spacing w:after="0"/>
              <w:rPr>
                <w:sz w:val="17"/>
                <w:szCs w:val="17"/>
                <w:color w:val="auto"/>
              </w:rPr>
            </w:pPr>
          </w:p>
        </w:tc>
      </w:tr>
      <w:tr>
        <w:trPr>
          <w:trHeight w:val="203"/>
        </w:trPr>
        <w:tc>
          <w:tcPr>
            <w:tcW w:w="5700" w:type="dxa"/>
            <w:vAlign w:val="bottom"/>
          </w:tcPr>
          <w:p>
            <w:pPr>
              <w:spacing w:after="0"/>
              <w:rPr>
                <w:sz w:val="20"/>
                <w:szCs w:val="20"/>
                <w:color w:val="auto"/>
              </w:rPr>
            </w:pPr>
            <w:r>
              <w:rPr>
                <w:rFonts w:ascii="Arial" w:cs="Arial" w:eastAsia="Arial" w:hAnsi="Arial"/>
                <w:sz w:val="17"/>
                <w:szCs w:val="17"/>
                <w:color w:val="auto"/>
              </w:rPr>
              <w:t>Legal fees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1,040,000</w:t>
            </w:r>
          </w:p>
        </w:tc>
        <w:tc>
          <w:tcPr>
            <w:tcW w:w="40" w:type="dxa"/>
            <w:vAlign w:val="bottom"/>
          </w:tcPr>
          <w:p>
            <w:pPr>
              <w:spacing w:after="0"/>
              <w:rPr>
                <w:sz w:val="17"/>
                <w:szCs w:val="17"/>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Accounting fees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175,000</w:t>
            </w:r>
          </w:p>
        </w:tc>
        <w:tc>
          <w:tcPr>
            <w:tcW w:w="40" w:type="dxa"/>
            <w:vAlign w:val="bottom"/>
            <w:shd w:val="clear" w:color="auto" w:fill="CCEEFF"/>
          </w:tcPr>
          <w:p>
            <w:pPr>
              <w:spacing w:after="0"/>
              <w:rPr>
                <w:sz w:val="17"/>
                <w:szCs w:val="17"/>
                <w:color w:val="auto"/>
              </w:rPr>
            </w:pPr>
          </w:p>
        </w:tc>
      </w:tr>
      <w:tr>
        <w:trPr>
          <w:trHeight w:val="203"/>
        </w:trPr>
        <w:tc>
          <w:tcPr>
            <w:tcW w:w="5700" w:type="dxa"/>
            <w:vAlign w:val="bottom"/>
          </w:tcPr>
          <w:p>
            <w:pPr>
              <w:spacing w:after="0"/>
              <w:rPr>
                <w:sz w:val="20"/>
                <w:szCs w:val="20"/>
                <w:color w:val="auto"/>
              </w:rPr>
            </w:pPr>
            <w:r>
              <w:rPr>
                <w:rFonts w:ascii="Arial" w:cs="Arial" w:eastAsia="Arial" w:hAnsi="Arial"/>
                <w:sz w:val="17"/>
                <w:szCs w:val="17"/>
                <w:color w:val="auto"/>
              </w:rPr>
              <w:t>Transfer agent fees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4,000</w:t>
            </w:r>
          </w:p>
        </w:tc>
        <w:tc>
          <w:tcPr>
            <w:tcW w:w="40" w:type="dxa"/>
            <w:vAlign w:val="bottom"/>
          </w:tcPr>
          <w:p>
            <w:pPr>
              <w:spacing w:after="0"/>
              <w:rPr>
                <w:sz w:val="17"/>
                <w:szCs w:val="17"/>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497,089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8"/>
        </w:trPr>
        <w:tc>
          <w:tcPr>
            <w:tcW w:w="5700" w:type="dxa"/>
            <w:vAlign w:val="bottom"/>
          </w:tcPr>
          <w:p>
            <w:pPr>
              <w:ind w:left="3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2,000,000</w:t>
            </w:r>
          </w:p>
        </w:tc>
        <w:tc>
          <w:tcPr>
            <w:tcW w:w="4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14. Indemnification of Officers and Directors.</w:t>
      </w:r>
    </w:p>
    <w:p>
      <w:pPr>
        <w:spacing w:after="0" w:line="112" w:lineRule="exact"/>
        <w:rPr>
          <w:sz w:val="20"/>
          <w:szCs w:val="20"/>
          <w:color w:val="auto"/>
        </w:rPr>
      </w:pPr>
    </w:p>
    <w:p>
      <w:pPr>
        <w:ind w:left="460" w:firstLine="413"/>
        <w:spacing w:after="0" w:line="286" w:lineRule="auto"/>
        <w:rPr>
          <w:sz w:val="20"/>
          <w:szCs w:val="20"/>
          <w:color w:val="auto"/>
        </w:rPr>
      </w:pPr>
      <w:r>
        <w:rPr>
          <w:rFonts w:ascii="Arial" w:cs="Arial" w:eastAsia="Arial" w:hAnsi="Arial"/>
          <w:sz w:val="15"/>
          <w:szCs w:val="15"/>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62" w:lineRule="exact"/>
        <w:rPr>
          <w:sz w:val="20"/>
          <w:szCs w:val="20"/>
          <w:color w:val="auto"/>
        </w:rPr>
      </w:pPr>
    </w:p>
    <w:p>
      <w:pPr>
        <w:ind w:left="460" w:right="20" w:firstLine="413"/>
        <w:spacing w:after="0" w:line="253" w:lineRule="auto"/>
        <w:rPr>
          <w:sz w:val="20"/>
          <w:szCs w:val="20"/>
          <w:color w:val="auto"/>
        </w:rPr>
      </w:pPr>
      <w:r>
        <w:rPr>
          <w:rFonts w:ascii="Arial" w:cs="Arial" w:eastAsia="Arial" w:hAnsi="Arial"/>
          <w:sz w:val="17"/>
          <w:szCs w:val="17"/>
          <w:color w:val="auto"/>
        </w:rPr>
        <w:t>The Registrant’s amended and restated bylaws will authorize the indemnification of its officers and directors, consistent with Section 145 of the DGCL, as amended. The Registrant intends to enter into indemnification agreements with each of its executive officers and directors. These agreements, among other things, will require the Registrant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780"/>
          </w:cols>
          <w:pgMar w:left="320" w:top="466" w:right="799" w:bottom="1440" w:gutter="0" w:footer="0" w:header="0"/>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firstLine="413"/>
        <w:spacing w:after="0" w:line="296" w:lineRule="auto"/>
        <w:rPr>
          <w:sz w:val="20"/>
          <w:szCs w:val="20"/>
          <w:color w:val="auto"/>
        </w:rPr>
      </w:pPr>
      <w:r>
        <w:rPr>
          <w:rFonts w:ascii="Arial" w:cs="Arial" w:eastAsia="Arial" w:hAnsi="Arial"/>
          <w:sz w:val="15"/>
          <w:szCs w:val="15"/>
          <w:color w:val="auto"/>
        </w:rPr>
        <w:t>Reference is made to Section 102(b)(7) of the DGCL, which enables a corporation in its original amended and restated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52" w:lineRule="exact"/>
        <w:rPr>
          <w:sz w:val="20"/>
          <w:szCs w:val="20"/>
          <w:color w:val="auto"/>
        </w:rPr>
      </w:pPr>
    </w:p>
    <w:p>
      <w:pPr>
        <w:ind w:left="460" w:right="220" w:firstLine="413"/>
        <w:spacing w:after="0" w:line="260" w:lineRule="auto"/>
        <w:rPr>
          <w:sz w:val="20"/>
          <w:szCs w:val="20"/>
          <w:color w:val="auto"/>
        </w:rPr>
      </w:pPr>
      <w:r>
        <w:rPr>
          <w:rFonts w:ascii="Arial" w:cs="Arial" w:eastAsia="Arial" w:hAnsi="Arial"/>
          <w:sz w:val="17"/>
          <w:szCs w:val="17"/>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75" w:lineRule="exact"/>
        <w:rPr>
          <w:sz w:val="20"/>
          <w:szCs w:val="20"/>
          <w:color w:val="auto"/>
        </w:rPr>
      </w:pPr>
    </w:p>
    <w:p>
      <w:pPr>
        <w:ind w:left="460" w:right="520" w:firstLine="413"/>
        <w:spacing w:after="0" w:line="272" w:lineRule="auto"/>
        <w:rPr>
          <w:sz w:val="20"/>
          <w:szCs w:val="20"/>
          <w:color w:val="auto"/>
        </w:rPr>
      </w:pPr>
      <w:r>
        <w:rPr>
          <w:rFonts w:ascii="Arial" w:cs="Arial" w:eastAsia="Arial" w:hAnsi="Arial"/>
          <w:sz w:val="17"/>
          <w:szCs w:val="17"/>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12" w:lineRule="exact"/>
        <w:rPr>
          <w:sz w:val="20"/>
          <w:szCs w:val="20"/>
          <w:color w:val="auto"/>
        </w:rPr>
      </w:pPr>
    </w:p>
    <w:p>
      <w:pPr>
        <w:ind w:left="460" w:right="600" w:firstLine="413"/>
        <w:spacing w:after="0" w:line="272" w:lineRule="auto"/>
        <w:rPr>
          <w:sz w:val="20"/>
          <w:szCs w:val="20"/>
          <w:color w:val="auto"/>
        </w:rPr>
      </w:pPr>
      <w:r>
        <w:rPr>
          <w:rFonts w:ascii="Arial" w:cs="Arial" w:eastAsia="Arial" w:hAnsi="Arial"/>
          <w:sz w:val="17"/>
          <w:szCs w:val="17"/>
          <w:color w:val="auto"/>
        </w:rPr>
        <w:t>The following sets forth information regarding all unregistered securities sold by the Registrant in transactions that were exempt from the requirements of the Securities Act in the last three years</w:t>
      </w:r>
      <w:r>
        <w:rPr>
          <w:rFonts w:ascii="Arial" w:cs="Arial" w:eastAsia="Arial" w:hAnsi="Arial"/>
          <w:sz w:val="17"/>
          <w:szCs w:val="17"/>
          <w:b w:val="1"/>
          <w:bCs w:val="1"/>
          <w:color w:val="auto"/>
        </w:rPr>
        <w:t>:</w:t>
      </w:r>
    </w:p>
    <w:p>
      <w:pPr>
        <w:spacing w:after="0" w:line="76" w:lineRule="exact"/>
        <w:rPr>
          <w:sz w:val="20"/>
          <w:szCs w:val="20"/>
          <w:color w:val="auto"/>
        </w:rPr>
      </w:pPr>
    </w:p>
    <w:p>
      <w:pPr>
        <w:ind w:left="860" w:right="160" w:hanging="301"/>
        <w:spacing w:after="0" w:line="260" w:lineRule="auto"/>
        <w:tabs>
          <w:tab w:leader="none" w:pos="8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 July 19, 2019, in connection with the acquisition of the Registrant by funds managed by Advent International Corporation, the Registrant issued 126,725,743 Class A Units to its stockholders, comprising AIDH Holdings, Inc., funds affiliated with Spectrum Equity, Jason Krantz and AIDH Management Holdings, LLC, for $10.00 per unit for total consideration of $1,267,257,433.</w:t>
      </w:r>
    </w:p>
    <w:p>
      <w:pPr>
        <w:spacing w:after="0" w:line="86" w:lineRule="exact"/>
        <w:rPr>
          <w:rFonts w:ascii="Arial" w:cs="Arial" w:eastAsia="Arial" w:hAnsi="Arial"/>
          <w:sz w:val="17"/>
          <w:szCs w:val="17"/>
          <w:color w:val="auto"/>
        </w:rPr>
      </w:pPr>
    </w:p>
    <w:p>
      <w:pPr>
        <w:ind w:left="860" w:right="480" w:hanging="301"/>
        <w:spacing w:after="0" w:line="272" w:lineRule="auto"/>
        <w:tabs>
          <w:tab w:leader="none" w:pos="8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 September 13, 2019, the Registrant issued 1,348,146 Class B Units to Jason Krantz and 2,138,495 Class B Units to AIDH Management Holdings, LLC in connection with the adoption of and pursuant to the 2019 Plan.</w:t>
      </w:r>
    </w:p>
    <w:p>
      <w:pPr>
        <w:spacing w:after="0" w:line="76" w:lineRule="exact"/>
        <w:rPr>
          <w:rFonts w:ascii="Arial" w:cs="Arial" w:eastAsia="Arial" w:hAnsi="Arial"/>
          <w:sz w:val="17"/>
          <w:szCs w:val="17"/>
          <w:color w:val="auto"/>
        </w:rPr>
      </w:pPr>
    </w:p>
    <w:p>
      <w:pPr>
        <w:ind w:left="860" w:hanging="301"/>
        <w:spacing w:after="0" w:line="272" w:lineRule="auto"/>
        <w:tabs>
          <w:tab w:leader="none" w:pos="8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 December 2, 2019, in connection with the HSE acquisition, the Registrant issued 399,692 Class A Units to AIDH Management Holdings, LLC as indirect consideration for certain equity interests of Healthcare Sales Enablement, Inc.</w:t>
      </w:r>
    </w:p>
    <w:p>
      <w:pPr>
        <w:spacing w:after="0" w:line="76" w:lineRule="exact"/>
        <w:rPr>
          <w:rFonts w:ascii="Arial" w:cs="Arial" w:eastAsia="Arial" w:hAnsi="Arial"/>
          <w:sz w:val="17"/>
          <w:szCs w:val="17"/>
          <w:color w:val="auto"/>
        </w:rPr>
      </w:pPr>
    </w:p>
    <w:p>
      <w:pPr>
        <w:ind w:left="860" w:right="140" w:hanging="301"/>
        <w:spacing w:after="0" w:line="340" w:lineRule="auto"/>
        <w:tabs>
          <w:tab w:leader="none" w:pos="86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On October 12, 2020, Samuel Allen Hamood Trust U/A 8/27/2010 purchased 294,118 Class A Common Units of OpCo through his subscription for and purchase of 294,118 Class A Common Units of AIDH Management Holdings, LLC for an aggregate purchase price of $3,000,000.</w:t>
      </w:r>
    </w:p>
    <w:p>
      <w:pPr>
        <w:spacing w:after="0" w:line="30" w:lineRule="exact"/>
        <w:rPr>
          <w:rFonts w:ascii="Arial" w:cs="Arial" w:eastAsia="Arial" w:hAnsi="Arial"/>
          <w:sz w:val="15"/>
          <w:szCs w:val="15"/>
          <w:color w:val="auto"/>
        </w:rPr>
      </w:pPr>
    </w:p>
    <w:p>
      <w:pPr>
        <w:ind w:left="860" w:right="920" w:hanging="301"/>
        <w:spacing w:after="0" w:line="272" w:lineRule="auto"/>
        <w:tabs>
          <w:tab w:leader="none" w:pos="8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 October 26, 2020, the Registrant issued 624,118 Class A Units to AIDH Management Holdings, LLC for $10.19 per unit for total consideration of $6,366,000.00.</w:t>
      </w:r>
    </w:p>
    <w:p>
      <w:pPr>
        <w:spacing w:after="0" w:line="76" w:lineRule="exact"/>
        <w:rPr>
          <w:rFonts w:ascii="Arial" w:cs="Arial" w:eastAsia="Arial" w:hAnsi="Arial"/>
          <w:sz w:val="17"/>
          <w:szCs w:val="17"/>
          <w:color w:val="auto"/>
        </w:rPr>
      </w:pPr>
    </w:p>
    <w:p>
      <w:pPr>
        <w:ind w:left="860" w:right="100" w:hanging="301"/>
        <w:spacing w:after="0" w:line="272" w:lineRule="auto"/>
        <w:tabs>
          <w:tab w:leader="none" w:pos="8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 October 27, 2020, in connection with the Monocl acquisition, the Registrant issued 2,367,950 Class A Units to AIDH Management Holdings, LLC for $10.19 per unit for total consideration of $24,129,414.54.</w:t>
      </w:r>
    </w:p>
    <w:p>
      <w:pPr>
        <w:spacing w:after="0" w:line="76" w:lineRule="exact"/>
        <w:rPr>
          <w:rFonts w:ascii="Arial" w:cs="Arial" w:eastAsia="Arial" w:hAnsi="Arial"/>
          <w:sz w:val="17"/>
          <w:szCs w:val="17"/>
          <w:color w:val="auto"/>
        </w:rPr>
      </w:pPr>
    </w:p>
    <w:p>
      <w:pPr>
        <w:ind w:left="860" w:right="220" w:hanging="301"/>
        <w:spacing w:after="0" w:line="272" w:lineRule="auto"/>
        <w:tabs>
          <w:tab w:leader="none" w:pos="8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 October 27, 2020, in connection with the Monocl acquisition, the Registrant issued 128,487 Class A Units to AIDH Management Holdings, LLC as indirect consideration for certain equity interests of Monocl Holding Company.</w:t>
      </w:r>
    </w:p>
    <w:p>
      <w:pPr>
        <w:spacing w:after="0" w:line="76" w:lineRule="exact"/>
        <w:rPr>
          <w:rFonts w:ascii="Arial" w:cs="Arial" w:eastAsia="Arial" w:hAnsi="Arial"/>
          <w:sz w:val="17"/>
          <w:szCs w:val="17"/>
          <w:color w:val="auto"/>
        </w:rPr>
      </w:pPr>
    </w:p>
    <w:p>
      <w:pPr>
        <w:ind w:left="860" w:hanging="301"/>
        <w:spacing w:after="0"/>
        <w:tabs>
          <w:tab w:leader="none" w:pos="8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On November 2, 2020, Michael Liu purchased 330,000 Class A Common Units of OpCo for an aggregate purchase price of $3,366,000.</w:t>
      </w:r>
    </w:p>
    <w:p>
      <w:pPr>
        <w:spacing w:after="0" w:line="132" w:lineRule="exact"/>
        <w:rPr>
          <w:rFonts w:ascii="Arial" w:cs="Arial" w:eastAsia="Arial" w:hAnsi="Arial"/>
          <w:sz w:val="16"/>
          <w:szCs w:val="16"/>
          <w:color w:val="auto"/>
        </w:rPr>
      </w:pPr>
    </w:p>
    <w:p>
      <w:pPr>
        <w:ind w:left="860" w:right="120" w:hanging="301"/>
        <w:spacing w:after="0" w:line="272" w:lineRule="auto"/>
        <w:tabs>
          <w:tab w:leader="none" w:pos="8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 May 20, 2021, the Registrant issued 33,047 Class A units to AIDH Management Holdings, LLC for $15.13 per unit for total consideration of $500,000.</w:t>
      </w:r>
    </w:p>
    <w:p>
      <w:pPr>
        <w:spacing w:after="0" w:line="76" w:lineRule="exact"/>
        <w:rPr>
          <w:rFonts w:ascii="Arial" w:cs="Arial" w:eastAsia="Arial" w:hAnsi="Arial"/>
          <w:sz w:val="17"/>
          <w:szCs w:val="17"/>
          <w:color w:val="auto"/>
        </w:rPr>
      </w:pPr>
    </w:p>
    <w:p>
      <w:pPr>
        <w:ind w:left="860" w:right="300" w:hanging="301"/>
        <w:spacing w:after="0" w:line="272" w:lineRule="auto"/>
        <w:tabs>
          <w:tab w:leader="none" w:pos="8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 May 20, 2021 Ms. Larsen purchased 33,047 Class A Common Units of OpCo through her subscription for and purchase of 33,047 Class A Common Units of AIDH Management Holdings, LLC for an aggregate purchase price of $500,000.</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760"/>
          </w:cols>
          <w:pgMar w:left="320" w:top="466" w:right="81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860" w:right="240" w:hanging="301"/>
        <w:spacing w:after="0" w:line="340" w:lineRule="auto"/>
        <w:tabs>
          <w:tab w:leader="none" w:pos="86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In June 2021, the Robert Musslewhite 2014 Family Trust purchased 330,469 Class A Common Units of OpCo through the subscription for and purchase of 330,469 Class A Common Units of AIDH Management Holdings, LLC, for an aggregate purchase price of $5,000,000.</w:t>
      </w:r>
    </w:p>
    <w:p>
      <w:pPr>
        <w:spacing w:after="0" w:line="119" w:lineRule="exact"/>
        <w:rPr>
          <w:sz w:val="20"/>
          <w:szCs w:val="20"/>
          <w:color w:val="auto"/>
        </w:rPr>
      </w:pPr>
    </w:p>
    <w:p>
      <w:pPr>
        <w:ind w:left="460" w:right="240" w:firstLine="413"/>
        <w:spacing w:after="0" w:line="296" w:lineRule="auto"/>
        <w:rPr>
          <w:sz w:val="20"/>
          <w:szCs w:val="20"/>
          <w:color w:val="auto"/>
        </w:rPr>
      </w:pPr>
      <w:r>
        <w:rPr>
          <w:rFonts w:ascii="Arial" w:cs="Arial" w:eastAsia="Arial" w:hAnsi="Arial"/>
          <w:sz w:val="15"/>
          <w:szCs w:val="15"/>
          <w:color w:val="auto"/>
        </w:rPr>
        <w:t>The shares of Class A common stock in all of the transactions listed above were issued or will be issued in reliance upon Section 4(2) of the Securities Act or Rule 701 promulgated under Section 3(b) of the Securities Act as the sale of such securities did not or will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 Exhibits: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94"/>
              </w:rPr>
              <w:t>Exhibit No.</w:t>
            </w: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40" w:type="dxa"/>
            <w:vAlign w:val="bottom"/>
            <w:gridSpan w:val="17"/>
          </w:tcPr>
          <w:p>
            <w:pPr>
              <w:spacing w:after="0"/>
              <w:rPr>
                <w:sz w:val="20"/>
                <w:szCs w:val="20"/>
                <w:color w:val="auto"/>
              </w:rPr>
            </w:pPr>
            <w:r>
              <w:rPr>
                <w:rFonts w:ascii="Arial" w:cs="Arial" w:eastAsia="Arial" w:hAnsi="Arial"/>
                <w:sz w:val="13"/>
                <w:szCs w:val="13"/>
                <w:b w:val="1"/>
                <w:bCs w:val="1"/>
                <w:color w:val="auto"/>
              </w:rPr>
              <w:t>Description</w:t>
            </w:r>
          </w:p>
        </w:tc>
      </w:tr>
      <w:tr>
        <w:trPr>
          <w:trHeight w:val="246"/>
        </w:trPr>
        <w:tc>
          <w:tcPr>
            <w:tcW w:w="66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auto"/>
              </w:rPr>
              <w:t>1.1</w:t>
            </w:r>
          </w:p>
        </w:tc>
        <w:tc>
          <w:tcPr>
            <w:tcW w:w="800" w:type="dxa"/>
            <w:vAlign w:val="bottom"/>
          </w:tcPr>
          <w:p>
            <w:pPr>
              <w:spacing w:after="0"/>
              <w:rPr>
                <w:sz w:val="21"/>
                <w:szCs w:val="21"/>
                <w:color w:val="auto"/>
              </w:rPr>
            </w:pPr>
          </w:p>
        </w:tc>
        <w:tc>
          <w:tcPr>
            <w:tcW w:w="4100" w:type="dxa"/>
            <w:vAlign w:val="bottom"/>
            <w:gridSpan w:val="6"/>
          </w:tcPr>
          <w:p>
            <w:pPr>
              <w:spacing w:after="0"/>
              <w:rPr>
                <w:rFonts w:ascii="Arial" w:cs="Arial" w:eastAsia="Arial" w:hAnsi="Arial"/>
                <w:sz w:val="17"/>
                <w:szCs w:val="17"/>
                <w:color w:val="0000EE"/>
              </w:rPr>
            </w:pPr>
            <w:hyperlink w:anchor="page291">
              <w:r>
                <w:rPr>
                  <w:rFonts w:ascii="Arial" w:cs="Arial" w:eastAsia="Arial" w:hAnsi="Arial"/>
                  <w:sz w:val="17"/>
                  <w:szCs w:val="17"/>
                  <w:color w:val="0000EE"/>
                </w:rPr>
                <w:t>Form of Underwriting Agreement.</w:t>
              </w:r>
            </w:hyperlink>
          </w:p>
        </w:tc>
        <w:tc>
          <w:tcPr>
            <w:tcW w:w="660" w:type="dxa"/>
            <w:vAlign w:val="bottom"/>
            <w:tcBorders>
              <w:top w:val="single" w:sz="8" w:color="auto"/>
            </w:tcBorders>
          </w:tcPr>
          <w:p>
            <w:pPr>
              <w:spacing w:after="0"/>
              <w:rPr>
                <w:sz w:val="21"/>
                <w:szCs w:val="21"/>
                <w:color w:val="auto"/>
              </w:rPr>
            </w:pPr>
          </w:p>
        </w:tc>
        <w:tc>
          <w:tcPr>
            <w:tcW w:w="4080" w:type="dxa"/>
            <w:vAlign w:val="bottom"/>
            <w:gridSpan w:val="16"/>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rPr>
              <w:t>3.1</w:t>
            </w:r>
          </w:p>
        </w:tc>
        <w:tc>
          <w:tcPr>
            <w:tcW w:w="800" w:type="dxa"/>
            <w:vAlign w:val="bottom"/>
          </w:tcPr>
          <w:p>
            <w:pPr>
              <w:spacing w:after="0"/>
              <w:rPr>
                <w:sz w:val="24"/>
                <w:szCs w:val="24"/>
                <w:color w:val="auto"/>
              </w:rPr>
            </w:pPr>
          </w:p>
        </w:tc>
        <w:tc>
          <w:tcPr>
            <w:tcW w:w="8840" w:type="dxa"/>
            <w:vAlign w:val="bottom"/>
            <w:tcBorders>
              <w:bottom w:val="single" w:sz="8" w:color="0000EE"/>
            </w:tcBorders>
            <w:gridSpan w:val="23"/>
          </w:tcPr>
          <w:p>
            <w:pPr>
              <w:spacing w:after="0"/>
              <w:rPr>
                <w:rFonts w:ascii="Arial" w:cs="Arial" w:eastAsia="Arial" w:hAnsi="Arial"/>
                <w:sz w:val="17"/>
                <w:szCs w:val="17"/>
                <w:color w:val="0000EE"/>
                <w:w w:val="91"/>
              </w:rPr>
            </w:pPr>
            <w:hyperlink r:id="rId398">
              <w:r>
                <w:rPr>
                  <w:rFonts w:ascii="Arial" w:cs="Arial" w:eastAsia="Arial" w:hAnsi="Arial"/>
                  <w:sz w:val="17"/>
                  <w:szCs w:val="17"/>
                  <w:color w:val="0000EE"/>
                  <w:w w:val="91"/>
                </w:rPr>
                <w:t>Amended and Restated Certificate of Incorporation of Definitive Healthcare Corp., (incorporated by reference to Exhibit 3.1 to the</w:t>
              </w:r>
            </w:hyperlink>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40" w:type="dxa"/>
            <w:vAlign w:val="bottom"/>
            <w:gridSpan w:val="23"/>
          </w:tcPr>
          <w:p>
            <w:pPr>
              <w:spacing w:after="0" w:line="183" w:lineRule="exact"/>
              <w:rPr>
                <w:rFonts w:ascii="Arial" w:cs="Arial" w:eastAsia="Arial" w:hAnsi="Arial"/>
                <w:sz w:val="17"/>
                <w:szCs w:val="17"/>
                <w:color w:val="0000EE"/>
              </w:rPr>
            </w:pPr>
            <w:hyperlink r:id="rId398">
              <w:r>
                <w:rPr>
                  <w:rFonts w:ascii="Arial" w:cs="Arial" w:eastAsia="Arial" w:hAnsi="Arial"/>
                  <w:sz w:val="17"/>
                  <w:szCs w:val="17"/>
                  <w:color w:val="0000EE"/>
                </w:rPr>
                <w:t>Company’s Quarterly Report on Form 10-Q (File No. 001-40815) filed with the SEC on November 8, 2021).</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rPr>
              <w:t>3.2</w:t>
            </w:r>
          </w:p>
        </w:tc>
        <w:tc>
          <w:tcPr>
            <w:tcW w:w="800" w:type="dxa"/>
            <w:vAlign w:val="bottom"/>
          </w:tcPr>
          <w:p>
            <w:pPr>
              <w:spacing w:after="0"/>
              <w:rPr>
                <w:sz w:val="24"/>
                <w:szCs w:val="24"/>
                <w:color w:val="auto"/>
              </w:rPr>
            </w:pPr>
          </w:p>
        </w:tc>
        <w:tc>
          <w:tcPr>
            <w:tcW w:w="8260" w:type="dxa"/>
            <w:vAlign w:val="bottom"/>
            <w:tcBorders>
              <w:bottom w:val="single" w:sz="8" w:color="0000EE"/>
            </w:tcBorders>
            <w:gridSpan w:val="12"/>
          </w:tcPr>
          <w:p>
            <w:pPr>
              <w:spacing w:after="0"/>
              <w:rPr>
                <w:rFonts w:ascii="Arial" w:cs="Arial" w:eastAsia="Arial" w:hAnsi="Arial"/>
                <w:sz w:val="17"/>
                <w:szCs w:val="17"/>
                <w:color w:val="0000EE"/>
                <w:w w:val="90"/>
              </w:rPr>
            </w:pPr>
            <w:hyperlink r:id="rId399">
              <w:r>
                <w:rPr>
                  <w:rFonts w:ascii="Arial" w:cs="Arial" w:eastAsia="Arial" w:hAnsi="Arial"/>
                  <w:sz w:val="17"/>
                  <w:szCs w:val="17"/>
                  <w:color w:val="0000EE"/>
                  <w:w w:val="90"/>
                </w:rPr>
                <w:t>Amended and Restated Bylaws of Definitive Healthcare Corp. (incorporated by reference to Exhibit 3.2 to the Company’s</w:t>
              </w:r>
            </w:hyperlink>
          </w:p>
        </w:tc>
        <w:tc>
          <w:tcPr>
            <w:tcW w:w="580" w:type="dxa"/>
            <w:vAlign w:val="bottom"/>
            <w:gridSpan w:val="11"/>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560" w:type="dxa"/>
            <w:vAlign w:val="bottom"/>
            <w:tcBorders>
              <w:bottom w:val="single" w:sz="8" w:color="0000EE"/>
            </w:tcBorders>
            <w:gridSpan w:val="9"/>
          </w:tcPr>
          <w:p>
            <w:pPr>
              <w:spacing w:after="0" w:line="183" w:lineRule="exact"/>
              <w:rPr>
                <w:rFonts w:ascii="Arial" w:cs="Arial" w:eastAsia="Arial" w:hAnsi="Arial"/>
                <w:sz w:val="17"/>
                <w:szCs w:val="17"/>
                <w:color w:val="0000EE"/>
                <w:w w:val="91"/>
              </w:rPr>
            </w:pPr>
            <w:hyperlink r:id="rId399">
              <w:r>
                <w:rPr>
                  <w:rFonts w:ascii="Arial" w:cs="Arial" w:eastAsia="Arial" w:hAnsi="Arial"/>
                  <w:sz w:val="17"/>
                  <w:szCs w:val="17"/>
                  <w:color w:val="0000EE"/>
                  <w:w w:val="91"/>
                </w:rPr>
                <w:t>Quarterly Report on Form 10-Q (File No. 001-40815) filed with the SEC on November 8, 2021).</w:t>
              </w:r>
            </w:hyperlink>
          </w:p>
        </w:tc>
        <w:tc>
          <w:tcPr>
            <w:tcW w:w="2280" w:type="dxa"/>
            <w:vAlign w:val="bottom"/>
            <w:gridSpan w:val="14"/>
          </w:tcPr>
          <w:p>
            <w:pPr>
              <w:spacing w:after="0"/>
              <w:rPr>
                <w:sz w:val="15"/>
                <w:szCs w:val="15"/>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rPr>
              <w:t>3.3</w:t>
            </w:r>
          </w:p>
        </w:tc>
        <w:tc>
          <w:tcPr>
            <w:tcW w:w="800" w:type="dxa"/>
            <w:vAlign w:val="bottom"/>
          </w:tcPr>
          <w:p>
            <w:pPr>
              <w:spacing w:after="0"/>
              <w:rPr>
                <w:sz w:val="24"/>
                <w:szCs w:val="24"/>
                <w:color w:val="auto"/>
              </w:rPr>
            </w:pPr>
          </w:p>
        </w:tc>
        <w:tc>
          <w:tcPr>
            <w:tcW w:w="8400" w:type="dxa"/>
            <w:vAlign w:val="bottom"/>
            <w:tcBorders>
              <w:bottom w:val="single" w:sz="8" w:color="0000EE"/>
            </w:tcBorders>
            <w:gridSpan w:val="14"/>
          </w:tcPr>
          <w:p>
            <w:pPr>
              <w:spacing w:after="0"/>
              <w:rPr>
                <w:rFonts w:ascii="Arial" w:cs="Arial" w:eastAsia="Arial" w:hAnsi="Arial"/>
                <w:sz w:val="17"/>
                <w:szCs w:val="17"/>
                <w:color w:val="0000EE"/>
                <w:w w:val="91"/>
              </w:rPr>
            </w:pPr>
            <w:hyperlink r:id="rId400">
              <w:r>
                <w:rPr>
                  <w:rFonts w:ascii="Arial" w:cs="Arial" w:eastAsia="Arial" w:hAnsi="Arial"/>
                  <w:sz w:val="17"/>
                  <w:szCs w:val="17"/>
                  <w:color w:val="0000EE"/>
                  <w:w w:val="91"/>
                </w:rPr>
                <w:t>Second Amended and Restated Limited Liability Company Agreement of AIDH TopCo, LLC, (incorporated by reference to</w:t>
              </w:r>
            </w:hyperlink>
          </w:p>
        </w:tc>
        <w:tc>
          <w:tcPr>
            <w:tcW w:w="440" w:type="dxa"/>
            <w:vAlign w:val="bottom"/>
            <w:gridSpan w:val="9"/>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500" w:type="dxa"/>
            <w:vAlign w:val="bottom"/>
            <w:tcBorders>
              <w:bottom w:val="single" w:sz="8" w:color="0000EE"/>
            </w:tcBorders>
            <w:gridSpan w:val="16"/>
          </w:tcPr>
          <w:p>
            <w:pPr>
              <w:spacing w:after="0" w:line="183" w:lineRule="exact"/>
              <w:rPr>
                <w:rFonts w:ascii="Arial" w:cs="Arial" w:eastAsia="Arial" w:hAnsi="Arial"/>
                <w:sz w:val="17"/>
                <w:szCs w:val="17"/>
                <w:color w:val="0000EE"/>
                <w:w w:val="91"/>
              </w:rPr>
            </w:pPr>
            <w:hyperlink r:id="rId400">
              <w:r>
                <w:rPr>
                  <w:rFonts w:ascii="Arial" w:cs="Arial" w:eastAsia="Arial" w:hAnsi="Arial"/>
                  <w:sz w:val="17"/>
                  <w:szCs w:val="17"/>
                  <w:color w:val="0000EE"/>
                  <w:w w:val="91"/>
                </w:rPr>
                <w:t>Exhibit 3.3 to the Company’s Quarterly Report on Form 10-Q (File No. 001-4081) filed with the SEC on November 8, 2021).</w:t>
              </w:r>
            </w:hyperlink>
          </w:p>
        </w:tc>
        <w:tc>
          <w:tcPr>
            <w:tcW w:w="340" w:type="dxa"/>
            <w:vAlign w:val="bottom"/>
            <w:gridSpan w:val="7"/>
          </w:tcPr>
          <w:p>
            <w:pPr>
              <w:spacing w:after="0"/>
              <w:rPr>
                <w:sz w:val="15"/>
                <w:szCs w:val="15"/>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rPr>
              <w:t>4.1</w:t>
            </w:r>
          </w:p>
        </w:tc>
        <w:tc>
          <w:tcPr>
            <w:tcW w:w="800" w:type="dxa"/>
            <w:vAlign w:val="bottom"/>
          </w:tcPr>
          <w:p>
            <w:pPr>
              <w:spacing w:after="0"/>
              <w:rPr>
                <w:sz w:val="24"/>
                <w:szCs w:val="24"/>
                <w:color w:val="auto"/>
              </w:rPr>
            </w:pPr>
          </w:p>
        </w:tc>
        <w:tc>
          <w:tcPr>
            <w:tcW w:w="8800" w:type="dxa"/>
            <w:vAlign w:val="bottom"/>
            <w:tcBorders>
              <w:bottom w:val="single" w:sz="8" w:color="0000EE"/>
            </w:tcBorders>
            <w:gridSpan w:val="22"/>
          </w:tcPr>
          <w:p>
            <w:pPr>
              <w:spacing w:after="0"/>
              <w:rPr>
                <w:rFonts w:ascii="Arial" w:cs="Arial" w:eastAsia="Arial" w:hAnsi="Arial"/>
                <w:sz w:val="17"/>
                <w:szCs w:val="17"/>
                <w:color w:val="0000EE"/>
                <w:w w:val="91"/>
              </w:rPr>
            </w:pPr>
            <w:hyperlink r:id="rId401">
              <w:r>
                <w:rPr>
                  <w:rFonts w:ascii="Arial" w:cs="Arial" w:eastAsia="Arial" w:hAnsi="Arial"/>
                  <w:sz w:val="17"/>
                  <w:szCs w:val="17"/>
                  <w:color w:val="0000EE"/>
                  <w:w w:val="91"/>
                </w:rPr>
                <w:t>Certificate of Class A Common Stock (incorporated by reference to Exhibit 4.1 to the Company’s Quarterly Report (File No. 001-</w:t>
              </w:r>
            </w:hyperlink>
          </w:p>
        </w:tc>
        <w:tc>
          <w:tcPr>
            <w:tcW w:w="40" w:type="dxa"/>
            <w:vAlign w:val="bottom"/>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40" w:type="dxa"/>
            <w:vAlign w:val="bottom"/>
            <w:gridSpan w:val="23"/>
          </w:tcPr>
          <w:p>
            <w:pPr>
              <w:spacing w:after="0" w:line="183" w:lineRule="exact"/>
              <w:rPr>
                <w:rFonts w:ascii="Arial" w:cs="Arial" w:eastAsia="Arial" w:hAnsi="Arial"/>
                <w:sz w:val="17"/>
                <w:szCs w:val="17"/>
                <w:color w:val="0000EE"/>
              </w:rPr>
            </w:pPr>
            <w:hyperlink r:id="rId401">
              <w:r>
                <w:rPr>
                  <w:rFonts w:ascii="Arial" w:cs="Arial" w:eastAsia="Arial" w:hAnsi="Arial"/>
                  <w:sz w:val="17"/>
                  <w:szCs w:val="17"/>
                  <w:color w:val="0000EE"/>
                </w:rPr>
                <w:t>4081) filed with the SEC on November 8, 2021).</w:t>
              </w:r>
            </w:hyperlink>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rPr>
              <w:t>5.1</w:t>
            </w:r>
          </w:p>
        </w:tc>
        <w:tc>
          <w:tcPr>
            <w:tcW w:w="800" w:type="dxa"/>
            <w:vAlign w:val="bottom"/>
          </w:tcPr>
          <w:p>
            <w:pPr>
              <w:spacing w:after="0"/>
              <w:rPr>
                <w:sz w:val="24"/>
                <w:szCs w:val="24"/>
                <w:color w:val="auto"/>
              </w:rPr>
            </w:pPr>
          </w:p>
        </w:tc>
        <w:tc>
          <w:tcPr>
            <w:tcW w:w="3300" w:type="dxa"/>
            <w:vAlign w:val="bottom"/>
            <w:tcBorders>
              <w:top w:val="single" w:sz="8" w:color="0000EE"/>
            </w:tcBorders>
            <w:gridSpan w:val="3"/>
          </w:tcPr>
          <w:p>
            <w:pPr>
              <w:spacing w:after="0"/>
              <w:rPr>
                <w:rFonts w:ascii="Arial" w:cs="Arial" w:eastAsia="Arial" w:hAnsi="Arial"/>
                <w:sz w:val="17"/>
                <w:szCs w:val="17"/>
                <w:color w:val="0000EE"/>
              </w:rPr>
            </w:pPr>
            <w:hyperlink w:anchor="page332">
              <w:r>
                <w:rPr>
                  <w:rFonts w:ascii="Arial" w:cs="Arial" w:eastAsia="Arial" w:hAnsi="Arial"/>
                  <w:sz w:val="17"/>
                  <w:szCs w:val="17"/>
                  <w:color w:val="0000EE"/>
                </w:rPr>
                <w:t>Opinion of Weil, Gotshal &amp; Manges LLP.</w:t>
              </w:r>
            </w:hyperlink>
          </w:p>
        </w:tc>
        <w:tc>
          <w:tcPr>
            <w:tcW w:w="5540" w:type="dxa"/>
            <w:vAlign w:val="bottom"/>
            <w:gridSpan w:val="20"/>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w w:val="84"/>
              </w:rPr>
              <w:t>10.1</w:t>
            </w:r>
          </w:p>
        </w:tc>
        <w:tc>
          <w:tcPr>
            <w:tcW w:w="800" w:type="dxa"/>
            <w:vAlign w:val="bottom"/>
          </w:tcPr>
          <w:p>
            <w:pPr>
              <w:spacing w:after="0"/>
              <w:rPr>
                <w:sz w:val="24"/>
                <w:szCs w:val="24"/>
                <w:color w:val="auto"/>
              </w:rPr>
            </w:pPr>
          </w:p>
        </w:tc>
        <w:tc>
          <w:tcPr>
            <w:tcW w:w="8840" w:type="dxa"/>
            <w:vAlign w:val="bottom"/>
            <w:gridSpan w:val="23"/>
          </w:tcPr>
          <w:p>
            <w:pPr>
              <w:spacing w:after="0"/>
              <w:rPr>
                <w:rFonts w:ascii="Arial" w:cs="Arial" w:eastAsia="Arial" w:hAnsi="Arial"/>
                <w:sz w:val="17"/>
                <w:szCs w:val="17"/>
                <w:color w:val="0000EE"/>
                <w:w w:val="94"/>
              </w:rPr>
            </w:pPr>
            <w:hyperlink r:id="rId402">
              <w:r>
                <w:rPr>
                  <w:rFonts w:ascii="Arial" w:cs="Arial" w:eastAsia="Arial" w:hAnsi="Arial"/>
                  <w:sz w:val="17"/>
                  <w:szCs w:val="17"/>
                  <w:color w:val="0000EE"/>
                  <w:w w:val="94"/>
                </w:rPr>
                <w:t>2019 Equity Incentive Plan (incorporated by reference to Exhibit 10.1 to the Company’s registration statement (File No. 333-</w:t>
              </w:r>
            </w:hyperlink>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4"/>
          </w:tcPr>
          <w:p>
            <w:pPr>
              <w:spacing w:after="0" w:line="183" w:lineRule="exact"/>
              <w:rPr>
                <w:rFonts w:ascii="Arial" w:cs="Arial" w:eastAsia="Arial" w:hAnsi="Arial"/>
                <w:sz w:val="17"/>
                <w:szCs w:val="17"/>
                <w:color w:val="0000EE"/>
                <w:w w:val="91"/>
              </w:rPr>
            </w:pPr>
            <w:hyperlink r:id="rId402">
              <w:r>
                <w:rPr>
                  <w:rFonts w:ascii="Arial" w:cs="Arial" w:eastAsia="Arial" w:hAnsi="Arial"/>
                  <w:sz w:val="17"/>
                  <w:szCs w:val="17"/>
                  <w:color w:val="0000EE"/>
                  <w:w w:val="91"/>
                </w:rPr>
                <w:t>258990) filed with the SEC on August 20, 2021).</w:t>
              </w:r>
            </w:hyperlink>
          </w:p>
        </w:tc>
        <w:tc>
          <w:tcPr>
            <w:tcW w:w="5120" w:type="dxa"/>
            <w:vAlign w:val="bottom"/>
            <w:tcBorders>
              <w:top w:val="single" w:sz="8" w:color="0000EE"/>
            </w:tcBorders>
            <w:gridSpan w:val="11"/>
          </w:tcPr>
          <w:p>
            <w:pPr>
              <w:spacing w:after="0"/>
              <w:rPr>
                <w:sz w:val="15"/>
                <w:szCs w:val="15"/>
                <w:color w:val="auto"/>
              </w:rPr>
            </w:pPr>
          </w:p>
        </w:tc>
        <w:tc>
          <w:tcPr>
            <w:tcW w:w="380" w:type="dxa"/>
            <w:vAlign w:val="bottom"/>
            <w:gridSpan w:val="8"/>
          </w:tcPr>
          <w:p>
            <w:pPr>
              <w:spacing w:after="0"/>
              <w:rPr>
                <w:sz w:val="15"/>
                <w:szCs w:val="15"/>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w w:val="84"/>
              </w:rPr>
              <w:t>10.2</w:t>
            </w:r>
          </w:p>
        </w:tc>
        <w:tc>
          <w:tcPr>
            <w:tcW w:w="800" w:type="dxa"/>
            <w:vAlign w:val="bottom"/>
          </w:tcPr>
          <w:p>
            <w:pPr>
              <w:spacing w:after="0"/>
              <w:rPr>
                <w:sz w:val="24"/>
                <w:szCs w:val="24"/>
                <w:color w:val="auto"/>
              </w:rPr>
            </w:pPr>
          </w:p>
        </w:tc>
        <w:tc>
          <w:tcPr>
            <w:tcW w:w="8840" w:type="dxa"/>
            <w:vAlign w:val="bottom"/>
            <w:gridSpan w:val="23"/>
          </w:tcPr>
          <w:p>
            <w:pPr>
              <w:spacing w:after="0"/>
              <w:rPr>
                <w:rFonts w:ascii="Arial" w:cs="Arial" w:eastAsia="Arial" w:hAnsi="Arial"/>
                <w:sz w:val="17"/>
                <w:szCs w:val="17"/>
                <w:color w:val="0000EE"/>
                <w:w w:val="94"/>
              </w:rPr>
            </w:pPr>
            <w:hyperlink r:id="rId403">
              <w:r>
                <w:rPr>
                  <w:rFonts w:ascii="Arial" w:cs="Arial" w:eastAsia="Arial" w:hAnsi="Arial"/>
                  <w:sz w:val="17"/>
                  <w:szCs w:val="17"/>
                  <w:color w:val="0000EE"/>
                  <w:w w:val="94"/>
                </w:rPr>
                <w:t>2021 Equity Incentive Plan (incorporated by reference to Exhibit 10.2 to the Company’s registration statement (File No. 333-</w:t>
              </w:r>
            </w:hyperlink>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4"/>
          </w:tcPr>
          <w:p>
            <w:pPr>
              <w:spacing w:after="0" w:line="183" w:lineRule="exact"/>
              <w:rPr>
                <w:rFonts w:ascii="Arial" w:cs="Arial" w:eastAsia="Arial" w:hAnsi="Arial"/>
                <w:sz w:val="17"/>
                <w:szCs w:val="17"/>
                <w:color w:val="0000EE"/>
                <w:w w:val="91"/>
              </w:rPr>
            </w:pPr>
            <w:hyperlink r:id="rId403">
              <w:r>
                <w:rPr>
                  <w:rFonts w:ascii="Arial" w:cs="Arial" w:eastAsia="Arial" w:hAnsi="Arial"/>
                  <w:sz w:val="17"/>
                  <w:szCs w:val="17"/>
                  <w:color w:val="0000EE"/>
                  <w:w w:val="91"/>
                </w:rPr>
                <w:t>258990) filed with the SEC on August 20, 2021).</w:t>
              </w:r>
            </w:hyperlink>
          </w:p>
        </w:tc>
        <w:tc>
          <w:tcPr>
            <w:tcW w:w="5120" w:type="dxa"/>
            <w:vAlign w:val="bottom"/>
            <w:tcBorders>
              <w:top w:val="single" w:sz="8" w:color="0000EE"/>
            </w:tcBorders>
            <w:gridSpan w:val="11"/>
          </w:tcPr>
          <w:p>
            <w:pPr>
              <w:spacing w:after="0"/>
              <w:rPr>
                <w:sz w:val="15"/>
                <w:szCs w:val="15"/>
                <w:color w:val="auto"/>
              </w:rPr>
            </w:pPr>
          </w:p>
        </w:tc>
        <w:tc>
          <w:tcPr>
            <w:tcW w:w="380" w:type="dxa"/>
            <w:vAlign w:val="bottom"/>
            <w:gridSpan w:val="8"/>
          </w:tcPr>
          <w:p>
            <w:pPr>
              <w:spacing w:after="0"/>
              <w:rPr>
                <w:sz w:val="15"/>
                <w:szCs w:val="15"/>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w w:val="84"/>
              </w:rPr>
              <w:t>10.3</w:t>
            </w:r>
          </w:p>
        </w:tc>
        <w:tc>
          <w:tcPr>
            <w:tcW w:w="800" w:type="dxa"/>
            <w:vAlign w:val="bottom"/>
          </w:tcPr>
          <w:p>
            <w:pPr>
              <w:spacing w:after="0"/>
              <w:rPr>
                <w:sz w:val="24"/>
                <w:szCs w:val="24"/>
                <w:color w:val="auto"/>
              </w:rPr>
            </w:pPr>
          </w:p>
        </w:tc>
        <w:tc>
          <w:tcPr>
            <w:tcW w:w="8720" w:type="dxa"/>
            <w:vAlign w:val="bottom"/>
            <w:tcBorders>
              <w:bottom w:val="single" w:sz="8" w:color="0000EE"/>
            </w:tcBorders>
            <w:gridSpan w:val="20"/>
          </w:tcPr>
          <w:p>
            <w:pPr>
              <w:spacing w:after="0"/>
              <w:rPr>
                <w:rFonts w:ascii="Arial" w:cs="Arial" w:eastAsia="Arial" w:hAnsi="Arial"/>
                <w:sz w:val="17"/>
                <w:szCs w:val="17"/>
                <w:color w:val="0000EE"/>
                <w:w w:val="90"/>
              </w:rPr>
            </w:pPr>
            <w:hyperlink r:id="rId404">
              <w:r>
                <w:rPr>
                  <w:rFonts w:ascii="Arial" w:cs="Arial" w:eastAsia="Arial" w:hAnsi="Arial"/>
                  <w:sz w:val="17"/>
                  <w:szCs w:val="17"/>
                  <w:color w:val="0000EE"/>
                  <w:w w:val="90"/>
                </w:rPr>
                <w:t>Form of equity award agreements under 2019 Equity Incentive Plan (incorporated by reference to Exhibit 10.3 to the Company’s</w:t>
              </w:r>
            </w:hyperlink>
          </w:p>
        </w:tc>
        <w:tc>
          <w:tcPr>
            <w:tcW w:w="120" w:type="dxa"/>
            <w:vAlign w:val="bottom"/>
            <w:gridSpan w:val="3"/>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0" w:type="dxa"/>
            <w:vAlign w:val="bottom"/>
            <w:tcBorders>
              <w:bottom w:val="single" w:sz="8" w:color="0000EE"/>
            </w:tcBorders>
            <w:gridSpan w:val="8"/>
          </w:tcPr>
          <w:p>
            <w:pPr>
              <w:spacing w:after="0" w:line="183" w:lineRule="exact"/>
              <w:rPr>
                <w:rFonts w:ascii="Arial" w:cs="Arial" w:eastAsia="Arial" w:hAnsi="Arial"/>
                <w:sz w:val="17"/>
                <w:szCs w:val="17"/>
                <w:color w:val="0000EE"/>
                <w:w w:val="91"/>
              </w:rPr>
            </w:pPr>
            <w:hyperlink r:id="rId404">
              <w:r>
                <w:rPr>
                  <w:rFonts w:ascii="Arial" w:cs="Arial" w:eastAsia="Arial" w:hAnsi="Arial"/>
                  <w:sz w:val="17"/>
                  <w:szCs w:val="17"/>
                  <w:color w:val="0000EE"/>
                  <w:w w:val="91"/>
                </w:rPr>
                <w:t>registration statement (File No. 333-258990) filed with the SEC on August 20, 2021).</w:t>
              </w:r>
            </w:hyperlink>
          </w:p>
        </w:tc>
        <w:tc>
          <w:tcPr>
            <w:tcW w:w="3040" w:type="dxa"/>
            <w:vAlign w:val="bottom"/>
            <w:gridSpan w:val="15"/>
          </w:tcPr>
          <w:p>
            <w:pPr>
              <w:spacing w:after="0"/>
              <w:rPr>
                <w:sz w:val="15"/>
                <w:szCs w:val="15"/>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w w:val="84"/>
              </w:rPr>
              <w:t>10.4</w:t>
            </w:r>
          </w:p>
        </w:tc>
        <w:tc>
          <w:tcPr>
            <w:tcW w:w="800" w:type="dxa"/>
            <w:vAlign w:val="bottom"/>
          </w:tcPr>
          <w:p>
            <w:pPr>
              <w:spacing w:after="0"/>
              <w:rPr>
                <w:sz w:val="24"/>
                <w:szCs w:val="24"/>
                <w:color w:val="auto"/>
              </w:rPr>
            </w:pPr>
          </w:p>
        </w:tc>
        <w:tc>
          <w:tcPr>
            <w:tcW w:w="8840" w:type="dxa"/>
            <w:vAlign w:val="bottom"/>
            <w:gridSpan w:val="23"/>
          </w:tcPr>
          <w:p>
            <w:pPr>
              <w:spacing w:after="0"/>
              <w:rPr>
                <w:rFonts w:ascii="Arial" w:cs="Arial" w:eastAsia="Arial" w:hAnsi="Arial"/>
                <w:sz w:val="17"/>
                <w:szCs w:val="17"/>
                <w:color w:val="0000EE"/>
                <w:w w:val="92"/>
              </w:rPr>
            </w:pPr>
            <w:hyperlink r:id="rId405">
              <w:r>
                <w:rPr>
                  <w:rFonts w:ascii="Arial" w:cs="Arial" w:eastAsia="Arial" w:hAnsi="Arial"/>
                  <w:sz w:val="17"/>
                  <w:szCs w:val="17"/>
                  <w:color w:val="0000EE"/>
                  <w:w w:val="92"/>
                </w:rPr>
                <w:t>Form of executive equity award agreements under 2021 Equity Incentive Plan (incorporated by reference to Exhibit 10.4 to the</w:t>
              </w:r>
            </w:hyperlink>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580" w:type="dxa"/>
            <w:vAlign w:val="bottom"/>
            <w:tcBorders>
              <w:top w:val="single" w:sz="8" w:color="0000EE"/>
            </w:tcBorders>
            <w:gridSpan w:val="17"/>
          </w:tcPr>
          <w:p>
            <w:pPr>
              <w:spacing w:after="0" w:line="183" w:lineRule="exact"/>
              <w:rPr>
                <w:rFonts w:ascii="Arial" w:cs="Arial" w:eastAsia="Arial" w:hAnsi="Arial"/>
                <w:sz w:val="17"/>
                <w:szCs w:val="17"/>
                <w:color w:val="0000EE"/>
              </w:rPr>
            </w:pPr>
            <w:hyperlink r:id="rId405">
              <w:r>
                <w:rPr>
                  <w:rFonts w:ascii="Arial" w:cs="Arial" w:eastAsia="Arial" w:hAnsi="Arial"/>
                  <w:sz w:val="17"/>
                  <w:szCs w:val="17"/>
                  <w:color w:val="0000EE"/>
                </w:rPr>
                <w:t>Company’s registration statement (File No. 333-258990) filed with the SEC on August 20, 2021).</w:t>
              </w:r>
            </w:hyperlink>
          </w:p>
        </w:tc>
        <w:tc>
          <w:tcPr>
            <w:tcW w:w="260" w:type="dxa"/>
            <w:vAlign w:val="bottom"/>
            <w:gridSpan w:val="6"/>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w w:val="84"/>
              </w:rPr>
              <w:t>10.5</w:t>
            </w:r>
          </w:p>
        </w:tc>
        <w:tc>
          <w:tcPr>
            <w:tcW w:w="800" w:type="dxa"/>
            <w:vAlign w:val="bottom"/>
          </w:tcPr>
          <w:p>
            <w:pPr>
              <w:spacing w:after="0"/>
              <w:rPr>
                <w:sz w:val="24"/>
                <w:szCs w:val="24"/>
                <w:color w:val="auto"/>
              </w:rPr>
            </w:pPr>
          </w:p>
        </w:tc>
        <w:tc>
          <w:tcPr>
            <w:tcW w:w="8600" w:type="dxa"/>
            <w:vAlign w:val="bottom"/>
            <w:tcBorders>
              <w:bottom w:val="single" w:sz="8" w:color="0000EE"/>
            </w:tcBorders>
            <w:gridSpan w:val="18"/>
          </w:tcPr>
          <w:p>
            <w:pPr>
              <w:spacing w:after="0"/>
              <w:rPr>
                <w:rFonts w:ascii="Arial" w:cs="Arial" w:eastAsia="Arial" w:hAnsi="Arial"/>
                <w:sz w:val="17"/>
                <w:szCs w:val="17"/>
                <w:color w:val="0000EE"/>
                <w:w w:val="90"/>
              </w:rPr>
            </w:pPr>
            <w:hyperlink r:id="rId406">
              <w:r>
                <w:rPr>
                  <w:rFonts w:ascii="Arial" w:cs="Arial" w:eastAsia="Arial" w:hAnsi="Arial"/>
                  <w:sz w:val="17"/>
                  <w:szCs w:val="17"/>
                  <w:color w:val="0000EE"/>
                  <w:w w:val="90"/>
                </w:rPr>
                <w:t>Form of employee equity award agreements under 2021 Equity Incentive Plan (incorporated by reference to Exhibit 10.5 to the</w:t>
              </w:r>
            </w:hyperlink>
          </w:p>
        </w:tc>
        <w:tc>
          <w:tcPr>
            <w:tcW w:w="240" w:type="dxa"/>
            <w:vAlign w:val="bottom"/>
            <w:gridSpan w:val="5"/>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40" w:type="dxa"/>
            <w:vAlign w:val="bottom"/>
            <w:gridSpan w:val="23"/>
          </w:tcPr>
          <w:p>
            <w:pPr>
              <w:spacing w:after="0" w:line="183" w:lineRule="exact"/>
              <w:rPr>
                <w:rFonts w:ascii="Arial" w:cs="Arial" w:eastAsia="Arial" w:hAnsi="Arial"/>
                <w:sz w:val="17"/>
                <w:szCs w:val="17"/>
                <w:color w:val="0000EE"/>
              </w:rPr>
            </w:pPr>
            <w:hyperlink r:id="rId406">
              <w:r>
                <w:rPr>
                  <w:rFonts w:ascii="Arial" w:cs="Arial" w:eastAsia="Arial" w:hAnsi="Arial"/>
                  <w:sz w:val="17"/>
                  <w:szCs w:val="17"/>
                  <w:color w:val="0000EE"/>
                </w:rPr>
                <w:t>Company’s registration statement (File No. 333-258990) filed with the SEC on August 20, 2021).</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w w:val="84"/>
              </w:rPr>
              <w:t>10.6</w:t>
            </w:r>
          </w:p>
        </w:tc>
        <w:tc>
          <w:tcPr>
            <w:tcW w:w="800" w:type="dxa"/>
            <w:vAlign w:val="bottom"/>
          </w:tcPr>
          <w:p>
            <w:pPr>
              <w:spacing w:after="0"/>
              <w:rPr>
                <w:sz w:val="24"/>
                <w:szCs w:val="24"/>
                <w:color w:val="auto"/>
              </w:rPr>
            </w:pPr>
          </w:p>
        </w:tc>
        <w:tc>
          <w:tcPr>
            <w:tcW w:w="8840" w:type="dxa"/>
            <w:vAlign w:val="bottom"/>
            <w:gridSpan w:val="23"/>
          </w:tcPr>
          <w:p>
            <w:pPr>
              <w:spacing w:after="0"/>
              <w:rPr>
                <w:rFonts w:ascii="Arial" w:cs="Arial" w:eastAsia="Arial" w:hAnsi="Arial"/>
                <w:sz w:val="17"/>
                <w:szCs w:val="17"/>
                <w:color w:val="0000EE"/>
                <w:w w:val="98"/>
              </w:rPr>
            </w:pPr>
            <w:hyperlink r:id="rId406">
              <w:r>
                <w:rPr>
                  <w:rFonts w:ascii="Arial" w:cs="Arial" w:eastAsia="Arial" w:hAnsi="Arial"/>
                  <w:sz w:val="17"/>
                  <w:szCs w:val="17"/>
                  <w:color w:val="0000EE"/>
                  <w:w w:val="98"/>
                </w:rPr>
                <w:t>Form of 2021 Executive Officer and Director Indemnification Agreement for Definitive Healthcare Corp. (incorporated by</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4660" w:type="dxa"/>
            <w:vAlign w:val="bottom"/>
            <w:gridSpan w:val="8"/>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40" w:type="dxa"/>
            <w:vAlign w:val="bottom"/>
            <w:gridSpan w:val="23"/>
          </w:tcPr>
          <w:p>
            <w:pPr>
              <w:spacing w:after="0" w:line="183" w:lineRule="exact"/>
              <w:rPr>
                <w:rFonts w:ascii="Arial" w:cs="Arial" w:eastAsia="Arial" w:hAnsi="Arial"/>
                <w:sz w:val="17"/>
                <w:szCs w:val="17"/>
                <w:color w:val="0000EE"/>
                <w:w w:val="92"/>
              </w:rPr>
            </w:pPr>
            <w:hyperlink r:id="rId406">
              <w:r>
                <w:rPr>
                  <w:rFonts w:ascii="Arial" w:cs="Arial" w:eastAsia="Arial" w:hAnsi="Arial"/>
                  <w:sz w:val="17"/>
                  <w:szCs w:val="17"/>
                  <w:color w:val="0000EE"/>
                  <w:w w:val="92"/>
                </w:rPr>
                <w:t>reference to Exhibit 10.6 to the Company’s registration statement (File No. 333-258990) filed with the SEC on August 20, 2021)</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5060" w:type="dxa"/>
            <w:vAlign w:val="bottom"/>
            <w:gridSpan w:val="1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84"/>
        </w:trPr>
        <w:tc>
          <w:tcPr>
            <w:tcW w:w="660" w:type="dxa"/>
            <w:vAlign w:val="bottom"/>
          </w:tcPr>
          <w:p>
            <w:pPr>
              <w:jc w:val="right"/>
              <w:ind w:right="277"/>
              <w:spacing w:after="0"/>
              <w:rPr>
                <w:sz w:val="20"/>
                <w:szCs w:val="20"/>
                <w:color w:val="auto"/>
              </w:rPr>
            </w:pPr>
            <w:r>
              <w:rPr>
                <w:rFonts w:ascii="Arial" w:cs="Arial" w:eastAsia="Arial" w:hAnsi="Arial"/>
                <w:sz w:val="17"/>
                <w:szCs w:val="17"/>
                <w:color w:val="auto"/>
                <w:w w:val="84"/>
              </w:rPr>
              <w:t>10.7</w:t>
            </w:r>
          </w:p>
        </w:tc>
        <w:tc>
          <w:tcPr>
            <w:tcW w:w="800" w:type="dxa"/>
            <w:vAlign w:val="bottom"/>
          </w:tcPr>
          <w:p>
            <w:pPr>
              <w:spacing w:after="0"/>
              <w:rPr>
                <w:sz w:val="24"/>
                <w:szCs w:val="24"/>
                <w:color w:val="auto"/>
              </w:rPr>
            </w:pPr>
          </w:p>
        </w:tc>
        <w:tc>
          <w:tcPr>
            <w:tcW w:w="8760" w:type="dxa"/>
            <w:vAlign w:val="bottom"/>
            <w:tcBorders>
              <w:bottom w:val="single" w:sz="8" w:color="0000EE"/>
            </w:tcBorders>
            <w:gridSpan w:val="21"/>
          </w:tcPr>
          <w:p>
            <w:pPr>
              <w:spacing w:after="0"/>
              <w:rPr>
                <w:rFonts w:ascii="Arial" w:cs="Arial" w:eastAsia="Arial" w:hAnsi="Arial"/>
                <w:sz w:val="17"/>
                <w:szCs w:val="17"/>
                <w:color w:val="0000EE"/>
                <w:w w:val="89"/>
              </w:rPr>
            </w:pPr>
            <w:hyperlink r:id="rId407">
              <w:r>
                <w:rPr>
                  <w:rFonts w:ascii="Arial" w:cs="Arial" w:eastAsia="Arial" w:hAnsi="Arial"/>
                  <w:sz w:val="17"/>
                  <w:szCs w:val="17"/>
                  <w:color w:val="0000EE"/>
                  <w:w w:val="89"/>
                </w:rPr>
                <w:t>2021 Employee Stock Purchase Plan (incorporated by reference to Exhibit 10.7 to the Company’s registration statement (File No.</w:t>
              </w:r>
            </w:hyperlink>
          </w:p>
        </w:tc>
        <w:tc>
          <w:tcPr>
            <w:tcW w:w="80" w:type="dxa"/>
            <w:vAlign w:val="bottom"/>
            <w:gridSpan w:val="2"/>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40" w:type="dxa"/>
            <w:vAlign w:val="bottom"/>
            <w:gridSpan w:val="23"/>
          </w:tcPr>
          <w:p>
            <w:pPr>
              <w:spacing w:after="0" w:line="183" w:lineRule="exact"/>
              <w:rPr>
                <w:rFonts w:ascii="Arial" w:cs="Arial" w:eastAsia="Arial" w:hAnsi="Arial"/>
                <w:sz w:val="17"/>
                <w:szCs w:val="17"/>
                <w:color w:val="0000EE"/>
              </w:rPr>
            </w:pPr>
            <w:hyperlink r:id="rId407">
              <w:r>
                <w:rPr>
                  <w:rFonts w:ascii="Arial" w:cs="Arial" w:eastAsia="Arial" w:hAnsi="Arial"/>
                  <w:sz w:val="17"/>
                  <w:szCs w:val="17"/>
                  <w:color w:val="0000EE"/>
                </w:rPr>
                <w:t>333-258990) filed with the SEC on August 20, 2021).</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760"/>
          </w:cols>
          <w:pgMar w:left="320" w:top="465" w:right="81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Arial" w:cs="Arial" w:eastAsia="Arial" w:hAnsi="Arial"/>
                <w:sz w:val="13"/>
                <w:szCs w:val="13"/>
                <w:b w:val="1"/>
                <w:bCs w:val="1"/>
                <w:color w:val="auto"/>
                <w:w w:val="94"/>
              </w:rPr>
              <w:t>Exhibit No.</w:t>
            </w: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740" w:type="dxa"/>
            <w:vAlign w:val="bottom"/>
            <w:gridSpan w:val="23"/>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660" w:type="dxa"/>
            <w:vAlign w:val="bottom"/>
          </w:tcPr>
          <w:p>
            <w:pPr>
              <w:spacing w:after="0"/>
              <w:rPr>
                <w:sz w:val="20"/>
                <w:szCs w:val="20"/>
                <w:color w:val="auto"/>
              </w:rPr>
            </w:pPr>
            <w:r>
              <w:rPr>
                <w:rFonts w:ascii="Arial" w:cs="Arial" w:eastAsia="Arial" w:hAnsi="Arial"/>
                <w:sz w:val="17"/>
                <w:szCs w:val="17"/>
                <w:color w:val="auto"/>
              </w:rPr>
              <w:t>10.8</w:t>
            </w:r>
          </w:p>
        </w:tc>
        <w:tc>
          <w:tcPr>
            <w:tcW w:w="720" w:type="dxa"/>
            <w:vAlign w:val="bottom"/>
          </w:tcPr>
          <w:p>
            <w:pPr>
              <w:spacing w:after="0"/>
              <w:rPr>
                <w:sz w:val="21"/>
                <w:szCs w:val="21"/>
                <w:color w:val="auto"/>
              </w:rPr>
            </w:pPr>
          </w:p>
        </w:tc>
        <w:tc>
          <w:tcPr>
            <w:tcW w:w="8820" w:type="dxa"/>
            <w:vAlign w:val="bottom"/>
            <w:tcBorders>
              <w:bottom w:val="single" w:sz="8" w:color="0000EE"/>
            </w:tcBorders>
            <w:gridSpan w:val="24"/>
          </w:tcPr>
          <w:p>
            <w:pPr>
              <w:spacing w:after="0"/>
              <w:rPr>
                <w:rFonts w:ascii="Arial" w:cs="Arial" w:eastAsia="Arial" w:hAnsi="Arial"/>
                <w:sz w:val="17"/>
                <w:szCs w:val="17"/>
                <w:color w:val="0000EE"/>
                <w:w w:val="90"/>
              </w:rPr>
            </w:pPr>
            <w:hyperlink r:id="rId409">
              <w:r>
                <w:rPr>
                  <w:rFonts w:ascii="Arial" w:cs="Arial" w:eastAsia="Arial" w:hAnsi="Arial"/>
                  <w:sz w:val="17"/>
                  <w:szCs w:val="17"/>
                  <w:color w:val="0000EE"/>
                  <w:w w:val="90"/>
                </w:rPr>
                <w:t>Employment Agreement, dated February 18, 2015, by and between Definitive Healthcare, LLC and Jason Krantz (incorporated by</w:t>
              </w:r>
            </w:hyperlink>
          </w:p>
        </w:tc>
        <w:tc>
          <w:tcPr>
            <w:tcW w:w="60" w:type="dxa"/>
            <w:vAlign w:val="bottom"/>
            <w:gridSpan w:val="3"/>
          </w:tcPr>
          <w:p>
            <w:pPr>
              <w:spacing w:after="0"/>
              <w:rPr>
                <w:sz w:val="21"/>
                <w:szCs w:val="21"/>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760" w:type="dxa"/>
            <w:vAlign w:val="bottom"/>
            <w:tcBorders>
              <w:bottom w:val="single" w:sz="8" w:color="0000EE"/>
            </w:tcBorders>
            <w:gridSpan w:val="22"/>
          </w:tcPr>
          <w:p>
            <w:pPr>
              <w:spacing w:after="0" w:line="183" w:lineRule="exact"/>
              <w:rPr>
                <w:rFonts w:ascii="Arial" w:cs="Arial" w:eastAsia="Arial" w:hAnsi="Arial"/>
                <w:sz w:val="17"/>
                <w:szCs w:val="17"/>
                <w:color w:val="0000EE"/>
                <w:w w:val="90"/>
              </w:rPr>
            </w:pPr>
            <w:hyperlink r:id="rId409">
              <w:r>
                <w:rPr>
                  <w:rFonts w:ascii="Arial" w:cs="Arial" w:eastAsia="Arial" w:hAnsi="Arial"/>
                  <w:sz w:val="17"/>
                  <w:szCs w:val="17"/>
                  <w:color w:val="0000EE"/>
                  <w:w w:val="90"/>
                </w:rPr>
                <w:t>reference to Exhibit 10.8 to the Company’s registration statement (File No. 333-258990) filed with the SEC on August 20, 2021).</w:t>
              </w:r>
            </w:hyperlink>
          </w:p>
        </w:tc>
        <w:tc>
          <w:tcPr>
            <w:tcW w:w="120" w:type="dxa"/>
            <w:vAlign w:val="bottom"/>
            <w:gridSpan w:val="5"/>
          </w:tcPr>
          <w:p>
            <w:pPr>
              <w:spacing w:after="0"/>
              <w:rPr>
                <w:sz w:val="15"/>
                <w:szCs w:val="15"/>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10.9</w:t>
            </w:r>
          </w:p>
        </w:tc>
        <w:tc>
          <w:tcPr>
            <w:tcW w:w="720" w:type="dxa"/>
            <w:vAlign w:val="bottom"/>
          </w:tcPr>
          <w:p>
            <w:pPr>
              <w:spacing w:after="0"/>
              <w:rPr>
                <w:sz w:val="24"/>
                <w:szCs w:val="24"/>
                <w:color w:val="auto"/>
              </w:rPr>
            </w:pPr>
          </w:p>
        </w:tc>
        <w:tc>
          <w:tcPr>
            <w:tcW w:w="8860" w:type="dxa"/>
            <w:vAlign w:val="bottom"/>
            <w:tcBorders>
              <w:bottom w:val="single" w:sz="8" w:color="0000EE"/>
            </w:tcBorders>
            <w:gridSpan w:val="26"/>
          </w:tcPr>
          <w:p>
            <w:pPr>
              <w:spacing w:after="0"/>
              <w:rPr>
                <w:rFonts w:ascii="Arial" w:cs="Arial" w:eastAsia="Arial" w:hAnsi="Arial"/>
                <w:sz w:val="17"/>
                <w:szCs w:val="17"/>
                <w:color w:val="0000EE"/>
                <w:w w:val="90"/>
              </w:rPr>
            </w:pPr>
            <w:hyperlink r:id="rId410">
              <w:r>
                <w:rPr>
                  <w:rFonts w:ascii="Arial" w:cs="Arial" w:eastAsia="Arial" w:hAnsi="Arial"/>
                  <w:sz w:val="17"/>
                  <w:szCs w:val="17"/>
                  <w:color w:val="0000EE"/>
                  <w:w w:val="90"/>
                </w:rPr>
                <w:t>Employment Agreement, dated January 29, 2021, by and between Definitive Healthcare, LLC and Richard Booth (incorporated by</w:t>
              </w:r>
            </w:hyperlink>
          </w:p>
        </w:tc>
        <w:tc>
          <w:tcPr>
            <w:tcW w:w="20" w:type="dxa"/>
            <w:vAlign w:val="bottom"/>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760" w:type="dxa"/>
            <w:vAlign w:val="bottom"/>
            <w:tcBorders>
              <w:bottom w:val="single" w:sz="8" w:color="0000EE"/>
            </w:tcBorders>
            <w:gridSpan w:val="22"/>
          </w:tcPr>
          <w:p>
            <w:pPr>
              <w:spacing w:after="0" w:line="183" w:lineRule="exact"/>
              <w:rPr>
                <w:rFonts w:ascii="Arial" w:cs="Arial" w:eastAsia="Arial" w:hAnsi="Arial"/>
                <w:sz w:val="17"/>
                <w:szCs w:val="17"/>
                <w:color w:val="0000EE"/>
                <w:w w:val="90"/>
              </w:rPr>
            </w:pPr>
            <w:hyperlink r:id="rId410">
              <w:r>
                <w:rPr>
                  <w:rFonts w:ascii="Arial" w:cs="Arial" w:eastAsia="Arial" w:hAnsi="Arial"/>
                  <w:sz w:val="17"/>
                  <w:szCs w:val="17"/>
                  <w:color w:val="0000EE"/>
                  <w:w w:val="90"/>
                </w:rPr>
                <w:t>reference to Exhibit 10.9 to the Company’s registration statement (File No. 333-258990) filed with the SEC on August 20, 2021).</w:t>
              </w:r>
            </w:hyperlink>
          </w:p>
        </w:tc>
        <w:tc>
          <w:tcPr>
            <w:tcW w:w="120" w:type="dxa"/>
            <w:vAlign w:val="bottom"/>
            <w:gridSpan w:val="5"/>
          </w:tcPr>
          <w:p>
            <w:pPr>
              <w:spacing w:after="0"/>
              <w:rPr>
                <w:sz w:val="15"/>
                <w:szCs w:val="15"/>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10.10</w:t>
            </w:r>
          </w:p>
        </w:tc>
        <w:tc>
          <w:tcPr>
            <w:tcW w:w="720" w:type="dxa"/>
            <w:vAlign w:val="bottom"/>
          </w:tcPr>
          <w:p>
            <w:pPr>
              <w:spacing w:after="0"/>
              <w:rPr>
                <w:sz w:val="24"/>
                <w:szCs w:val="24"/>
                <w:color w:val="auto"/>
              </w:rPr>
            </w:pPr>
          </w:p>
        </w:tc>
        <w:tc>
          <w:tcPr>
            <w:tcW w:w="8880" w:type="dxa"/>
            <w:vAlign w:val="bottom"/>
            <w:tcBorders>
              <w:bottom w:val="single" w:sz="8" w:color="0000EE"/>
            </w:tcBorders>
            <w:gridSpan w:val="27"/>
          </w:tcPr>
          <w:p>
            <w:pPr>
              <w:spacing w:after="0"/>
              <w:rPr>
                <w:rFonts w:ascii="Arial" w:cs="Arial" w:eastAsia="Arial" w:hAnsi="Arial"/>
                <w:sz w:val="17"/>
                <w:szCs w:val="17"/>
                <w:color w:val="0000EE"/>
                <w:w w:val="90"/>
              </w:rPr>
            </w:pPr>
            <w:hyperlink r:id="rId411">
              <w:r>
                <w:rPr>
                  <w:rFonts w:ascii="Arial" w:cs="Arial" w:eastAsia="Arial" w:hAnsi="Arial"/>
                  <w:sz w:val="17"/>
                  <w:szCs w:val="17"/>
                  <w:color w:val="0000EE"/>
                  <w:w w:val="90"/>
                </w:rPr>
                <w:t>Employment Agreement, dated February 1, 2021, by and between Definitive Healthcare, LLC and David Samuels (incorporated by</w:t>
              </w:r>
            </w:hyperlink>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40" w:type="dxa"/>
            <w:vAlign w:val="bottom"/>
            <w:tcBorders>
              <w:bottom w:val="single" w:sz="8" w:color="0000EE"/>
            </w:tcBorders>
            <w:gridSpan w:val="25"/>
          </w:tcPr>
          <w:p>
            <w:pPr>
              <w:spacing w:after="0" w:line="183" w:lineRule="exact"/>
              <w:rPr>
                <w:rFonts w:ascii="Arial" w:cs="Arial" w:eastAsia="Arial" w:hAnsi="Arial"/>
                <w:sz w:val="17"/>
                <w:szCs w:val="17"/>
                <w:color w:val="0000EE"/>
                <w:w w:val="90"/>
              </w:rPr>
            </w:pPr>
            <w:hyperlink r:id="rId411">
              <w:r>
                <w:rPr>
                  <w:rFonts w:ascii="Arial" w:cs="Arial" w:eastAsia="Arial" w:hAnsi="Arial"/>
                  <w:sz w:val="17"/>
                  <w:szCs w:val="17"/>
                  <w:color w:val="0000EE"/>
                  <w:w w:val="90"/>
                </w:rPr>
                <w:t>reference to Exhibit 10.10 to the Company’s registration statement (File No. 333-258990) filed with the SEC on August 20, 2021).</w:t>
              </w:r>
            </w:hyperlink>
          </w:p>
        </w:tc>
        <w:tc>
          <w:tcPr>
            <w:tcW w:w="40" w:type="dxa"/>
            <w:vAlign w:val="bottom"/>
            <w:gridSpan w:val="2"/>
          </w:tcPr>
          <w:p>
            <w:pPr>
              <w:spacing w:after="0"/>
              <w:rPr>
                <w:sz w:val="15"/>
                <w:szCs w:val="15"/>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10.11</w:t>
            </w:r>
          </w:p>
        </w:tc>
        <w:tc>
          <w:tcPr>
            <w:tcW w:w="720" w:type="dxa"/>
            <w:vAlign w:val="bottom"/>
          </w:tcPr>
          <w:p>
            <w:pPr>
              <w:spacing w:after="0"/>
              <w:rPr>
                <w:sz w:val="24"/>
                <w:szCs w:val="24"/>
                <w:color w:val="auto"/>
              </w:rPr>
            </w:pPr>
          </w:p>
        </w:tc>
        <w:tc>
          <w:tcPr>
            <w:tcW w:w="8740" w:type="dxa"/>
            <w:vAlign w:val="bottom"/>
            <w:tcBorders>
              <w:bottom w:val="single" w:sz="8" w:color="0000EE"/>
            </w:tcBorders>
            <w:gridSpan w:val="21"/>
          </w:tcPr>
          <w:p>
            <w:pPr>
              <w:spacing w:after="0"/>
              <w:rPr>
                <w:rFonts w:ascii="Arial" w:cs="Arial" w:eastAsia="Arial" w:hAnsi="Arial"/>
                <w:sz w:val="17"/>
                <w:szCs w:val="17"/>
                <w:color w:val="0000EE"/>
                <w:w w:val="91"/>
              </w:rPr>
            </w:pPr>
            <w:hyperlink r:id="rId412">
              <w:r>
                <w:rPr>
                  <w:rFonts w:ascii="Arial" w:cs="Arial" w:eastAsia="Arial" w:hAnsi="Arial"/>
                  <w:sz w:val="17"/>
                  <w:szCs w:val="17"/>
                  <w:color w:val="0000EE"/>
                  <w:w w:val="91"/>
                </w:rPr>
                <w:t>Credit Agreement, dated July 16, 2019, by and among DH Holdings, AIDH Buyer, LLC, Administrative Agent, the lenders party</w:t>
              </w:r>
            </w:hyperlink>
          </w:p>
        </w:tc>
        <w:tc>
          <w:tcPr>
            <w:tcW w:w="140" w:type="dxa"/>
            <w:vAlign w:val="bottom"/>
            <w:gridSpan w:val="6"/>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80" w:type="dxa"/>
            <w:vAlign w:val="bottom"/>
            <w:tcBorders>
              <w:bottom w:val="single" w:sz="8" w:color="0000EE"/>
            </w:tcBorders>
            <w:gridSpan w:val="14"/>
          </w:tcPr>
          <w:p>
            <w:pPr>
              <w:spacing w:after="0" w:line="183" w:lineRule="exact"/>
              <w:rPr>
                <w:rFonts w:ascii="Arial" w:cs="Arial" w:eastAsia="Arial" w:hAnsi="Arial"/>
                <w:sz w:val="17"/>
                <w:szCs w:val="17"/>
                <w:color w:val="0000EE"/>
                <w:w w:val="90"/>
              </w:rPr>
            </w:pPr>
            <w:hyperlink r:id="rId412">
              <w:r>
                <w:rPr>
                  <w:rFonts w:ascii="Arial" w:cs="Arial" w:eastAsia="Arial" w:hAnsi="Arial"/>
                  <w:sz w:val="17"/>
                  <w:szCs w:val="17"/>
                  <w:color w:val="0000EE"/>
                  <w:w w:val="90"/>
                </w:rPr>
                <w:t>thereto and the issuing banks from time to time party thereto (incorporated by reference to Exhibit 10.11 to the Company’s</w:t>
              </w:r>
            </w:hyperlink>
          </w:p>
        </w:tc>
        <w:tc>
          <w:tcPr>
            <w:tcW w:w="600" w:type="dxa"/>
            <w:vAlign w:val="bottom"/>
            <w:gridSpan w:val="13"/>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80" w:type="dxa"/>
            <w:vAlign w:val="bottom"/>
            <w:gridSpan w:val="27"/>
          </w:tcPr>
          <w:p>
            <w:pPr>
              <w:spacing w:after="0" w:line="183" w:lineRule="exact"/>
              <w:rPr>
                <w:rFonts w:ascii="Arial" w:cs="Arial" w:eastAsia="Arial" w:hAnsi="Arial"/>
                <w:sz w:val="17"/>
                <w:szCs w:val="17"/>
                <w:color w:val="0000EE"/>
              </w:rPr>
            </w:pPr>
            <w:hyperlink r:id="rId412">
              <w:r>
                <w:rPr>
                  <w:rFonts w:ascii="Arial" w:cs="Arial" w:eastAsia="Arial" w:hAnsi="Arial"/>
                  <w:sz w:val="17"/>
                  <w:szCs w:val="17"/>
                  <w:color w:val="0000EE"/>
                </w:rPr>
                <w:t>registration statement (File No. 333-258990) filed with the SEC on August 20, 2021).</w:t>
              </w:r>
            </w:hyperlink>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10.12</w:t>
            </w:r>
          </w:p>
        </w:tc>
        <w:tc>
          <w:tcPr>
            <w:tcW w:w="720" w:type="dxa"/>
            <w:vAlign w:val="bottom"/>
          </w:tcPr>
          <w:p>
            <w:pPr>
              <w:spacing w:after="0"/>
              <w:rPr>
                <w:sz w:val="24"/>
                <w:szCs w:val="24"/>
                <w:color w:val="auto"/>
              </w:rPr>
            </w:pPr>
          </w:p>
        </w:tc>
        <w:tc>
          <w:tcPr>
            <w:tcW w:w="8860" w:type="dxa"/>
            <w:vAlign w:val="bottom"/>
            <w:tcBorders>
              <w:bottom w:val="single" w:sz="8" w:color="0000EE"/>
            </w:tcBorders>
            <w:gridSpan w:val="26"/>
          </w:tcPr>
          <w:p>
            <w:pPr>
              <w:spacing w:after="0"/>
              <w:rPr>
                <w:rFonts w:ascii="Arial" w:cs="Arial" w:eastAsia="Arial" w:hAnsi="Arial"/>
                <w:sz w:val="17"/>
                <w:szCs w:val="17"/>
                <w:color w:val="0000EE"/>
                <w:w w:val="90"/>
              </w:rPr>
            </w:pPr>
            <w:hyperlink r:id="rId413">
              <w:r>
                <w:rPr>
                  <w:rFonts w:ascii="Arial" w:cs="Arial" w:eastAsia="Arial" w:hAnsi="Arial"/>
                  <w:sz w:val="17"/>
                  <w:szCs w:val="17"/>
                  <w:color w:val="0000EE"/>
                  <w:w w:val="90"/>
                </w:rPr>
                <w:t>Credit Agreement, dated September 17, 2021, by and among DH Holdings and Administrative Agent, the lenders party thereto and</w:t>
              </w:r>
            </w:hyperlink>
          </w:p>
        </w:tc>
        <w:tc>
          <w:tcPr>
            <w:tcW w:w="20" w:type="dxa"/>
            <w:vAlign w:val="bottom"/>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580" w:type="dxa"/>
            <w:vAlign w:val="bottom"/>
            <w:tcBorders>
              <w:bottom w:val="single" w:sz="8" w:color="0000EE"/>
            </w:tcBorders>
            <w:gridSpan w:val="18"/>
          </w:tcPr>
          <w:p>
            <w:pPr>
              <w:spacing w:after="0" w:line="183" w:lineRule="exact"/>
              <w:rPr>
                <w:rFonts w:ascii="Arial" w:cs="Arial" w:eastAsia="Arial" w:hAnsi="Arial"/>
                <w:sz w:val="17"/>
                <w:szCs w:val="17"/>
                <w:color w:val="0000EE"/>
                <w:w w:val="90"/>
              </w:rPr>
            </w:pPr>
            <w:hyperlink r:id="rId413">
              <w:r>
                <w:rPr>
                  <w:rFonts w:ascii="Arial" w:cs="Arial" w:eastAsia="Arial" w:hAnsi="Arial"/>
                  <w:sz w:val="17"/>
                  <w:szCs w:val="17"/>
                  <w:color w:val="0000EE"/>
                  <w:w w:val="90"/>
                </w:rPr>
                <w:t>the issuing banks from time to time party thereto (incorporated by reference to Exhibit 10.1 to the Company’s current report on</w:t>
              </w:r>
            </w:hyperlink>
          </w:p>
        </w:tc>
        <w:tc>
          <w:tcPr>
            <w:tcW w:w="300" w:type="dxa"/>
            <w:vAlign w:val="bottom"/>
            <w:gridSpan w:val="9"/>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0" w:type="dxa"/>
            <w:vAlign w:val="bottom"/>
            <w:tcBorders>
              <w:bottom w:val="single" w:sz="8" w:color="0000EE"/>
            </w:tcBorders>
            <w:gridSpan w:val="6"/>
          </w:tcPr>
          <w:p>
            <w:pPr>
              <w:spacing w:after="0" w:line="183" w:lineRule="exact"/>
              <w:rPr>
                <w:rFonts w:ascii="Arial" w:cs="Arial" w:eastAsia="Arial" w:hAnsi="Arial"/>
                <w:sz w:val="17"/>
                <w:szCs w:val="17"/>
                <w:color w:val="0000EE"/>
                <w:w w:val="91"/>
              </w:rPr>
            </w:pPr>
            <w:hyperlink r:id="rId413">
              <w:r>
                <w:rPr>
                  <w:rFonts w:ascii="Arial" w:cs="Arial" w:eastAsia="Arial" w:hAnsi="Arial"/>
                  <w:sz w:val="17"/>
                  <w:szCs w:val="17"/>
                  <w:color w:val="0000EE"/>
                  <w:w w:val="91"/>
                </w:rPr>
                <w:t>Form 8-K (File No. 001-40815), filed with the SEC on September 20, 2021).</w:t>
              </w:r>
            </w:hyperlink>
          </w:p>
        </w:tc>
        <w:tc>
          <w:tcPr>
            <w:tcW w:w="3680" w:type="dxa"/>
            <w:vAlign w:val="bottom"/>
            <w:gridSpan w:val="21"/>
          </w:tcPr>
          <w:p>
            <w:pPr>
              <w:spacing w:after="0"/>
              <w:rPr>
                <w:sz w:val="15"/>
                <w:szCs w:val="15"/>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10.13</w:t>
            </w:r>
          </w:p>
        </w:tc>
        <w:tc>
          <w:tcPr>
            <w:tcW w:w="720" w:type="dxa"/>
            <w:vAlign w:val="bottom"/>
          </w:tcPr>
          <w:p>
            <w:pPr>
              <w:spacing w:after="0"/>
              <w:rPr>
                <w:sz w:val="24"/>
                <w:szCs w:val="24"/>
                <w:color w:val="auto"/>
              </w:rPr>
            </w:pPr>
          </w:p>
        </w:tc>
        <w:tc>
          <w:tcPr>
            <w:tcW w:w="8380" w:type="dxa"/>
            <w:vAlign w:val="bottom"/>
            <w:tcBorders>
              <w:bottom w:val="single" w:sz="8" w:color="0000EE"/>
            </w:tcBorders>
            <w:gridSpan w:val="17"/>
          </w:tcPr>
          <w:p>
            <w:pPr>
              <w:spacing w:after="0"/>
              <w:rPr>
                <w:rFonts w:ascii="Arial" w:cs="Arial" w:eastAsia="Arial" w:hAnsi="Arial"/>
                <w:sz w:val="17"/>
                <w:szCs w:val="17"/>
                <w:color w:val="0000EE"/>
                <w:w w:val="90"/>
              </w:rPr>
            </w:pPr>
            <w:hyperlink r:id="rId414">
              <w:r>
                <w:rPr>
                  <w:rFonts w:ascii="Arial" w:cs="Arial" w:eastAsia="Arial" w:hAnsi="Arial"/>
                  <w:sz w:val="17"/>
                  <w:szCs w:val="17"/>
                  <w:color w:val="0000EE"/>
                  <w:w w:val="90"/>
                </w:rPr>
                <w:t>Form of Reorganization Agreement between Definitive Healthcare Corp., AIDH TopCo, LLC and the parties named therein</w:t>
              </w:r>
            </w:hyperlink>
          </w:p>
        </w:tc>
        <w:tc>
          <w:tcPr>
            <w:tcW w:w="500" w:type="dxa"/>
            <w:vAlign w:val="bottom"/>
            <w:gridSpan w:val="10"/>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740" w:type="dxa"/>
            <w:vAlign w:val="bottom"/>
            <w:tcBorders>
              <w:bottom w:val="single" w:sz="8" w:color="0000EE"/>
            </w:tcBorders>
            <w:gridSpan w:val="21"/>
          </w:tcPr>
          <w:p>
            <w:pPr>
              <w:spacing w:after="0" w:line="183" w:lineRule="exact"/>
              <w:rPr>
                <w:rFonts w:ascii="Arial" w:cs="Arial" w:eastAsia="Arial" w:hAnsi="Arial"/>
                <w:sz w:val="17"/>
                <w:szCs w:val="17"/>
                <w:color w:val="0000EE"/>
                <w:w w:val="90"/>
              </w:rPr>
            </w:pPr>
            <w:hyperlink r:id="rId414">
              <w:r>
                <w:rPr>
                  <w:rFonts w:ascii="Arial" w:cs="Arial" w:eastAsia="Arial" w:hAnsi="Arial"/>
                  <w:sz w:val="17"/>
                  <w:szCs w:val="17"/>
                  <w:color w:val="0000EE"/>
                  <w:w w:val="90"/>
                </w:rPr>
                <w:t>(incorporated by reference to Exhibit 10.12 to the Company’s registration statement (File No. 333-258990) filed with the SEC on</w:t>
              </w:r>
            </w:hyperlink>
          </w:p>
        </w:tc>
        <w:tc>
          <w:tcPr>
            <w:tcW w:w="140" w:type="dxa"/>
            <w:vAlign w:val="bottom"/>
            <w:gridSpan w:val="6"/>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Borders>
              <w:bottom w:val="single" w:sz="8" w:color="0000EE"/>
            </w:tcBorders>
          </w:tcPr>
          <w:p>
            <w:pPr>
              <w:spacing w:after="0" w:line="183" w:lineRule="exact"/>
              <w:rPr>
                <w:rFonts w:ascii="Arial" w:cs="Arial" w:eastAsia="Arial" w:hAnsi="Arial"/>
                <w:sz w:val="17"/>
                <w:szCs w:val="17"/>
                <w:color w:val="0000EE"/>
                <w:w w:val="89"/>
              </w:rPr>
            </w:pPr>
            <w:hyperlink r:id="rId414">
              <w:r>
                <w:rPr>
                  <w:rFonts w:ascii="Arial" w:cs="Arial" w:eastAsia="Arial" w:hAnsi="Arial"/>
                  <w:sz w:val="17"/>
                  <w:szCs w:val="17"/>
                  <w:color w:val="0000EE"/>
                  <w:w w:val="89"/>
                </w:rPr>
                <w:t>August 20, 2021).</w:t>
              </w:r>
            </w:hyperlink>
          </w:p>
        </w:tc>
        <w:tc>
          <w:tcPr>
            <w:tcW w:w="7660" w:type="dxa"/>
            <w:vAlign w:val="bottom"/>
            <w:gridSpan w:val="26"/>
          </w:tcPr>
          <w:p>
            <w:pPr>
              <w:spacing w:after="0"/>
              <w:rPr>
                <w:sz w:val="15"/>
                <w:szCs w:val="15"/>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10.14</w:t>
            </w:r>
          </w:p>
        </w:tc>
        <w:tc>
          <w:tcPr>
            <w:tcW w:w="720" w:type="dxa"/>
            <w:vAlign w:val="bottom"/>
          </w:tcPr>
          <w:p>
            <w:pPr>
              <w:spacing w:after="0"/>
              <w:rPr>
                <w:sz w:val="24"/>
                <w:szCs w:val="24"/>
                <w:color w:val="auto"/>
              </w:rPr>
            </w:pPr>
          </w:p>
        </w:tc>
        <w:tc>
          <w:tcPr>
            <w:tcW w:w="8820" w:type="dxa"/>
            <w:vAlign w:val="bottom"/>
            <w:tcBorders>
              <w:bottom w:val="single" w:sz="8" w:color="0000EE"/>
            </w:tcBorders>
            <w:gridSpan w:val="24"/>
          </w:tcPr>
          <w:p>
            <w:pPr>
              <w:spacing w:after="0"/>
              <w:rPr>
                <w:rFonts w:ascii="Arial" w:cs="Arial" w:eastAsia="Arial" w:hAnsi="Arial"/>
                <w:sz w:val="17"/>
                <w:szCs w:val="17"/>
                <w:color w:val="0000EE"/>
                <w:w w:val="90"/>
              </w:rPr>
            </w:pPr>
            <w:hyperlink r:id="rId415">
              <w:r>
                <w:rPr>
                  <w:rFonts w:ascii="Arial" w:cs="Arial" w:eastAsia="Arial" w:hAnsi="Arial"/>
                  <w:sz w:val="17"/>
                  <w:szCs w:val="17"/>
                  <w:color w:val="0000EE"/>
                  <w:w w:val="90"/>
                </w:rPr>
                <w:t>Form of Registration Rights Agreement by and among Definitive Healthcare Corp. and the Unitholders (incorporated by reference</w:t>
              </w:r>
            </w:hyperlink>
          </w:p>
        </w:tc>
        <w:tc>
          <w:tcPr>
            <w:tcW w:w="60" w:type="dxa"/>
            <w:vAlign w:val="bottom"/>
            <w:gridSpan w:val="3"/>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160" w:type="dxa"/>
            <w:vAlign w:val="bottom"/>
            <w:tcBorders>
              <w:bottom w:val="single" w:sz="8" w:color="0000EE"/>
            </w:tcBorders>
            <w:gridSpan w:val="11"/>
          </w:tcPr>
          <w:p>
            <w:pPr>
              <w:spacing w:after="0" w:line="183" w:lineRule="exact"/>
              <w:rPr>
                <w:rFonts w:ascii="Arial" w:cs="Arial" w:eastAsia="Arial" w:hAnsi="Arial"/>
                <w:sz w:val="17"/>
                <w:szCs w:val="17"/>
                <w:color w:val="0000EE"/>
                <w:w w:val="91"/>
              </w:rPr>
            </w:pPr>
            <w:hyperlink r:id="rId415">
              <w:r>
                <w:rPr>
                  <w:rFonts w:ascii="Arial" w:cs="Arial" w:eastAsia="Arial" w:hAnsi="Arial"/>
                  <w:sz w:val="17"/>
                  <w:szCs w:val="17"/>
                  <w:color w:val="0000EE"/>
                  <w:w w:val="91"/>
                </w:rPr>
                <w:t>to Exhibit 10.13 to the Company’s registration statement (File No. 333-258990) filed with the SEC on August 20, 2021).</w:t>
              </w:r>
            </w:hyperlink>
          </w:p>
        </w:tc>
        <w:tc>
          <w:tcPr>
            <w:tcW w:w="720" w:type="dxa"/>
            <w:vAlign w:val="bottom"/>
            <w:gridSpan w:val="16"/>
          </w:tcPr>
          <w:p>
            <w:pPr>
              <w:spacing w:after="0"/>
              <w:rPr>
                <w:sz w:val="15"/>
                <w:szCs w:val="15"/>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10.15</w:t>
            </w:r>
          </w:p>
        </w:tc>
        <w:tc>
          <w:tcPr>
            <w:tcW w:w="720" w:type="dxa"/>
            <w:vAlign w:val="bottom"/>
          </w:tcPr>
          <w:p>
            <w:pPr>
              <w:spacing w:after="0"/>
              <w:rPr>
                <w:sz w:val="24"/>
                <w:szCs w:val="24"/>
                <w:color w:val="auto"/>
              </w:rPr>
            </w:pPr>
          </w:p>
        </w:tc>
        <w:tc>
          <w:tcPr>
            <w:tcW w:w="8880" w:type="dxa"/>
            <w:vAlign w:val="bottom"/>
            <w:gridSpan w:val="27"/>
          </w:tcPr>
          <w:p>
            <w:pPr>
              <w:spacing w:after="0"/>
              <w:rPr>
                <w:rFonts w:ascii="Arial" w:cs="Arial" w:eastAsia="Arial" w:hAnsi="Arial"/>
                <w:sz w:val="17"/>
                <w:szCs w:val="17"/>
                <w:color w:val="0000EE"/>
                <w:w w:val="95"/>
              </w:rPr>
            </w:pPr>
            <w:hyperlink r:id="rId416">
              <w:r>
                <w:rPr>
                  <w:rFonts w:ascii="Arial" w:cs="Arial" w:eastAsia="Arial" w:hAnsi="Arial"/>
                  <w:sz w:val="17"/>
                  <w:szCs w:val="17"/>
                  <w:color w:val="0000EE"/>
                  <w:w w:val="95"/>
                </w:rPr>
                <w:t>Form of Tax Receivable Agreement between Definitive Healthcare Corp. and the TRA Parties (incorporated by reference to</w:t>
              </w:r>
            </w:hyperlink>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360" w:type="dxa"/>
            <w:vAlign w:val="bottom"/>
            <w:tcBorders>
              <w:top w:val="single" w:sz="8" w:color="0000EE"/>
            </w:tcBorders>
            <w:gridSpan w:val="16"/>
          </w:tcPr>
          <w:p>
            <w:pPr>
              <w:spacing w:after="0" w:line="183" w:lineRule="exact"/>
              <w:rPr>
                <w:rFonts w:ascii="Arial" w:cs="Arial" w:eastAsia="Arial" w:hAnsi="Arial"/>
                <w:sz w:val="17"/>
                <w:szCs w:val="17"/>
                <w:color w:val="0000EE"/>
                <w:w w:val="94"/>
              </w:rPr>
            </w:pPr>
            <w:hyperlink r:id="rId416">
              <w:r>
                <w:rPr>
                  <w:rFonts w:ascii="Arial" w:cs="Arial" w:eastAsia="Arial" w:hAnsi="Arial"/>
                  <w:sz w:val="17"/>
                  <w:szCs w:val="17"/>
                  <w:color w:val="0000EE"/>
                  <w:w w:val="94"/>
                </w:rPr>
                <w:t>Exhibit 10.14 to the Company’s registration statement (File No. 333- 258990) filed with the SEC on August 20, 2021).</w:t>
              </w:r>
            </w:hyperlink>
          </w:p>
        </w:tc>
        <w:tc>
          <w:tcPr>
            <w:tcW w:w="520" w:type="dxa"/>
            <w:vAlign w:val="bottom"/>
            <w:gridSpan w:val="11"/>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24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10.16</w:t>
            </w:r>
          </w:p>
        </w:tc>
        <w:tc>
          <w:tcPr>
            <w:tcW w:w="720" w:type="dxa"/>
            <w:vAlign w:val="bottom"/>
          </w:tcPr>
          <w:p>
            <w:pPr>
              <w:spacing w:after="0"/>
              <w:rPr>
                <w:sz w:val="24"/>
                <w:szCs w:val="24"/>
                <w:color w:val="auto"/>
              </w:rPr>
            </w:pPr>
          </w:p>
        </w:tc>
        <w:tc>
          <w:tcPr>
            <w:tcW w:w="8880" w:type="dxa"/>
            <w:vAlign w:val="bottom"/>
            <w:gridSpan w:val="27"/>
          </w:tcPr>
          <w:p>
            <w:pPr>
              <w:spacing w:after="0"/>
              <w:rPr>
                <w:rFonts w:ascii="Arial" w:cs="Arial" w:eastAsia="Arial" w:hAnsi="Arial"/>
                <w:sz w:val="17"/>
                <w:szCs w:val="17"/>
                <w:color w:val="0000EE"/>
                <w:w w:val="91"/>
              </w:rPr>
            </w:pPr>
            <w:hyperlink r:id="rId417">
              <w:r>
                <w:rPr>
                  <w:rFonts w:ascii="Arial" w:cs="Arial" w:eastAsia="Arial" w:hAnsi="Arial"/>
                  <w:sz w:val="17"/>
                  <w:szCs w:val="17"/>
                  <w:color w:val="0000EE"/>
                  <w:w w:val="91"/>
                </w:rPr>
                <w:t>Form of Nominating Agreement between the Company and Advent (incorporated by reference to Exhibit 10.15 to the Company’s</w:t>
              </w:r>
            </w:hyperlink>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760" w:type="dxa"/>
            <w:vAlign w:val="bottom"/>
            <w:tcBorders>
              <w:top w:val="single" w:sz="8" w:color="0000EE"/>
            </w:tcBorders>
            <w:gridSpan w:val="22"/>
          </w:tcPr>
          <w:p>
            <w:pPr>
              <w:spacing w:after="0" w:line="183" w:lineRule="exact"/>
              <w:rPr>
                <w:rFonts w:ascii="Arial" w:cs="Arial" w:eastAsia="Arial" w:hAnsi="Arial"/>
                <w:sz w:val="17"/>
                <w:szCs w:val="17"/>
                <w:color w:val="0000EE"/>
              </w:rPr>
            </w:pPr>
            <w:hyperlink r:id="rId417">
              <w:r>
                <w:rPr>
                  <w:rFonts w:ascii="Arial" w:cs="Arial" w:eastAsia="Arial" w:hAnsi="Arial"/>
                  <w:sz w:val="17"/>
                  <w:szCs w:val="17"/>
                  <w:color w:val="0000EE"/>
                </w:rPr>
                <w:t>registration statement (File No. 333-258990) filed with the SEC on August 20, 2021).</w:t>
              </w:r>
            </w:hyperlink>
          </w:p>
        </w:tc>
        <w:tc>
          <w:tcPr>
            <w:tcW w:w="120" w:type="dxa"/>
            <w:vAlign w:val="bottom"/>
            <w:gridSpan w:val="5"/>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10.17</w:t>
            </w:r>
          </w:p>
        </w:tc>
        <w:tc>
          <w:tcPr>
            <w:tcW w:w="720" w:type="dxa"/>
            <w:vAlign w:val="bottom"/>
          </w:tcPr>
          <w:p>
            <w:pPr>
              <w:spacing w:after="0"/>
              <w:rPr>
                <w:sz w:val="24"/>
                <w:szCs w:val="24"/>
                <w:color w:val="auto"/>
              </w:rPr>
            </w:pPr>
          </w:p>
        </w:tc>
        <w:tc>
          <w:tcPr>
            <w:tcW w:w="8880" w:type="dxa"/>
            <w:vAlign w:val="bottom"/>
            <w:gridSpan w:val="27"/>
          </w:tcPr>
          <w:p>
            <w:pPr>
              <w:spacing w:after="0"/>
              <w:rPr>
                <w:rFonts w:ascii="Arial" w:cs="Arial" w:eastAsia="Arial" w:hAnsi="Arial"/>
                <w:sz w:val="17"/>
                <w:szCs w:val="17"/>
                <w:color w:val="0000EE"/>
                <w:w w:val="93"/>
              </w:rPr>
            </w:pPr>
            <w:hyperlink r:id="rId418">
              <w:r>
                <w:rPr>
                  <w:rFonts w:ascii="Arial" w:cs="Arial" w:eastAsia="Arial" w:hAnsi="Arial"/>
                  <w:sz w:val="17"/>
                  <w:szCs w:val="17"/>
                  <w:color w:val="0000EE"/>
                  <w:w w:val="93"/>
                </w:rPr>
                <w:t>Form of Nominating Agreement between the Company and SE VII DHC AIV, L.P (incorporated by reference to Exhibit 10.16 to</w:t>
              </w:r>
            </w:hyperlink>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720" w:type="dxa"/>
            <w:vAlign w:val="bottom"/>
            <w:tcBorders>
              <w:top w:val="single" w:sz="8" w:color="0000EE"/>
            </w:tcBorders>
            <w:gridSpan w:val="20"/>
          </w:tcPr>
          <w:p>
            <w:pPr>
              <w:spacing w:after="0" w:line="183" w:lineRule="exact"/>
              <w:rPr>
                <w:rFonts w:ascii="Arial" w:cs="Arial" w:eastAsia="Arial" w:hAnsi="Arial"/>
                <w:sz w:val="17"/>
                <w:szCs w:val="17"/>
                <w:color w:val="0000EE"/>
              </w:rPr>
            </w:pPr>
            <w:hyperlink r:id="rId418">
              <w:r>
                <w:rPr>
                  <w:rFonts w:ascii="Arial" w:cs="Arial" w:eastAsia="Arial" w:hAnsi="Arial"/>
                  <w:sz w:val="17"/>
                  <w:szCs w:val="17"/>
                  <w:color w:val="0000EE"/>
                </w:rPr>
                <w:t>the Company’s registration statement (File No. 333-258990) filed with the SEC on August 20, 2021).</w:t>
              </w:r>
            </w:hyperlink>
          </w:p>
        </w:tc>
        <w:tc>
          <w:tcPr>
            <w:tcW w:w="160" w:type="dxa"/>
            <w:vAlign w:val="bottom"/>
            <w:gridSpan w:val="7"/>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24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10.18</w:t>
            </w:r>
          </w:p>
        </w:tc>
        <w:tc>
          <w:tcPr>
            <w:tcW w:w="720" w:type="dxa"/>
            <w:vAlign w:val="bottom"/>
          </w:tcPr>
          <w:p>
            <w:pPr>
              <w:spacing w:after="0"/>
              <w:rPr>
                <w:sz w:val="24"/>
                <w:szCs w:val="24"/>
                <w:color w:val="auto"/>
              </w:rPr>
            </w:pPr>
          </w:p>
        </w:tc>
        <w:tc>
          <w:tcPr>
            <w:tcW w:w="8340" w:type="dxa"/>
            <w:vAlign w:val="bottom"/>
            <w:tcBorders>
              <w:bottom w:val="single" w:sz="8" w:color="0000EE"/>
            </w:tcBorders>
            <w:gridSpan w:val="15"/>
          </w:tcPr>
          <w:p>
            <w:pPr>
              <w:spacing w:after="0"/>
              <w:rPr>
                <w:rFonts w:ascii="Arial" w:cs="Arial" w:eastAsia="Arial" w:hAnsi="Arial"/>
                <w:sz w:val="17"/>
                <w:szCs w:val="17"/>
                <w:color w:val="0000EE"/>
                <w:w w:val="90"/>
              </w:rPr>
            </w:pPr>
            <w:hyperlink r:id="rId419">
              <w:r>
                <w:rPr>
                  <w:rFonts w:ascii="Arial" w:cs="Arial" w:eastAsia="Arial" w:hAnsi="Arial"/>
                  <w:sz w:val="17"/>
                  <w:szCs w:val="17"/>
                  <w:color w:val="0000EE"/>
                  <w:w w:val="90"/>
                </w:rPr>
                <w:t>Form of Nominating Agreement between the Company and Jason Krantz (incorporated by reference to Exhibit 10.17 to the</w:t>
              </w:r>
            </w:hyperlink>
          </w:p>
        </w:tc>
        <w:tc>
          <w:tcPr>
            <w:tcW w:w="540" w:type="dxa"/>
            <w:vAlign w:val="bottom"/>
            <w:gridSpan w:val="12"/>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0" w:type="dxa"/>
            <w:vAlign w:val="bottom"/>
            <w:tcBorders>
              <w:bottom w:val="single" w:sz="8" w:color="0000EE"/>
            </w:tcBorders>
            <w:gridSpan w:val="8"/>
          </w:tcPr>
          <w:p>
            <w:pPr>
              <w:spacing w:after="0" w:line="183" w:lineRule="exact"/>
              <w:rPr>
                <w:rFonts w:ascii="Arial" w:cs="Arial" w:eastAsia="Arial" w:hAnsi="Arial"/>
                <w:sz w:val="17"/>
                <w:szCs w:val="17"/>
                <w:color w:val="0000EE"/>
                <w:w w:val="90"/>
              </w:rPr>
            </w:pPr>
            <w:hyperlink r:id="rId419">
              <w:r>
                <w:rPr>
                  <w:rFonts w:ascii="Arial" w:cs="Arial" w:eastAsia="Arial" w:hAnsi="Arial"/>
                  <w:sz w:val="17"/>
                  <w:szCs w:val="17"/>
                  <w:color w:val="0000EE"/>
                  <w:w w:val="90"/>
                </w:rPr>
                <w:t>Company’s registration statement (File No. 333-258990) filed with the SEC on August 20, 2021).</w:t>
              </w:r>
            </w:hyperlink>
          </w:p>
        </w:tc>
        <w:tc>
          <w:tcPr>
            <w:tcW w:w="2280" w:type="dxa"/>
            <w:vAlign w:val="bottom"/>
            <w:gridSpan w:val="19"/>
          </w:tcPr>
          <w:p>
            <w:pPr>
              <w:spacing w:after="0"/>
              <w:rPr>
                <w:sz w:val="15"/>
                <w:szCs w:val="15"/>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10.19</w:t>
            </w:r>
          </w:p>
        </w:tc>
        <w:tc>
          <w:tcPr>
            <w:tcW w:w="720" w:type="dxa"/>
            <w:vAlign w:val="bottom"/>
          </w:tcPr>
          <w:p>
            <w:pPr>
              <w:spacing w:after="0"/>
              <w:rPr>
                <w:sz w:val="24"/>
                <w:szCs w:val="24"/>
                <w:color w:val="auto"/>
              </w:rPr>
            </w:pPr>
          </w:p>
        </w:tc>
        <w:tc>
          <w:tcPr>
            <w:tcW w:w="8260" w:type="dxa"/>
            <w:vAlign w:val="bottom"/>
            <w:tcBorders>
              <w:bottom w:val="single" w:sz="8" w:color="0000EE"/>
            </w:tcBorders>
            <w:gridSpan w:val="13"/>
          </w:tcPr>
          <w:p>
            <w:pPr>
              <w:spacing w:after="0"/>
              <w:rPr>
                <w:rFonts w:ascii="Arial" w:cs="Arial" w:eastAsia="Arial" w:hAnsi="Arial"/>
                <w:sz w:val="17"/>
                <w:szCs w:val="17"/>
                <w:color w:val="0000EE"/>
                <w:w w:val="89"/>
              </w:rPr>
            </w:pPr>
            <w:hyperlink r:id="rId420">
              <w:r>
                <w:rPr>
                  <w:rFonts w:ascii="Arial" w:cs="Arial" w:eastAsia="Arial" w:hAnsi="Arial"/>
                  <w:sz w:val="17"/>
                  <w:szCs w:val="17"/>
                  <w:color w:val="0000EE"/>
                  <w:w w:val="89"/>
                </w:rPr>
                <w:t>Form of Reimbursement Agreement between Definitive Healthcare Corp. and Jason Krantz and certain other stockholders</w:t>
              </w:r>
            </w:hyperlink>
          </w:p>
        </w:tc>
        <w:tc>
          <w:tcPr>
            <w:tcW w:w="620" w:type="dxa"/>
            <w:vAlign w:val="bottom"/>
            <w:gridSpan w:val="14"/>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740" w:type="dxa"/>
            <w:vAlign w:val="bottom"/>
            <w:tcBorders>
              <w:bottom w:val="single" w:sz="8" w:color="0000EE"/>
            </w:tcBorders>
            <w:gridSpan w:val="21"/>
          </w:tcPr>
          <w:p>
            <w:pPr>
              <w:spacing w:after="0" w:line="183" w:lineRule="exact"/>
              <w:rPr>
                <w:rFonts w:ascii="Arial" w:cs="Arial" w:eastAsia="Arial" w:hAnsi="Arial"/>
                <w:sz w:val="17"/>
                <w:szCs w:val="17"/>
                <w:color w:val="0000EE"/>
                <w:w w:val="90"/>
              </w:rPr>
            </w:pPr>
            <w:hyperlink r:id="rId420">
              <w:r>
                <w:rPr>
                  <w:rFonts w:ascii="Arial" w:cs="Arial" w:eastAsia="Arial" w:hAnsi="Arial"/>
                  <w:sz w:val="17"/>
                  <w:szCs w:val="17"/>
                  <w:color w:val="0000EE"/>
                  <w:w w:val="90"/>
                </w:rPr>
                <w:t>(incorporated by reference to Exhibit 10.18 to the Company’s registration statement (File No. 333-258990) filed with the SEC on</w:t>
              </w:r>
            </w:hyperlink>
          </w:p>
        </w:tc>
        <w:tc>
          <w:tcPr>
            <w:tcW w:w="140" w:type="dxa"/>
            <w:vAlign w:val="bottom"/>
            <w:gridSpan w:val="6"/>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Borders>
              <w:bottom w:val="single" w:sz="8" w:color="0000EE"/>
            </w:tcBorders>
          </w:tcPr>
          <w:p>
            <w:pPr>
              <w:spacing w:after="0" w:line="183" w:lineRule="exact"/>
              <w:rPr>
                <w:rFonts w:ascii="Arial" w:cs="Arial" w:eastAsia="Arial" w:hAnsi="Arial"/>
                <w:sz w:val="17"/>
                <w:szCs w:val="17"/>
                <w:color w:val="0000EE"/>
                <w:w w:val="89"/>
              </w:rPr>
            </w:pPr>
            <w:hyperlink r:id="rId420">
              <w:r>
                <w:rPr>
                  <w:rFonts w:ascii="Arial" w:cs="Arial" w:eastAsia="Arial" w:hAnsi="Arial"/>
                  <w:sz w:val="17"/>
                  <w:szCs w:val="17"/>
                  <w:color w:val="0000EE"/>
                  <w:w w:val="89"/>
                </w:rPr>
                <w:t>August 20, 2021).</w:t>
              </w:r>
            </w:hyperlink>
          </w:p>
        </w:tc>
        <w:tc>
          <w:tcPr>
            <w:tcW w:w="7660" w:type="dxa"/>
            <w:vAlign w:val="bottom"/>
            <w:gridSpan w:val="26"/>
          </w:tcPr>
          <w:p>
            <w:pPr>
              <w:spacing w:after="0"/>
              <w:rPr>
                <w:sz w:val="15"/>
                <w:szCs w:val="15"/>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10.20</w:t>
            </w:r>
          </w:p>
        </w:tc>
        <w:tc>
          <w:tcPr>
            <w:tcW w:w="720" w:type="dxa"/>
            <w:vAlign w:val="bottom"/>
          </w:tcPr>
          <w:p>
            <w:pPr>
              <w:spacing w:after="0"/>
              <w:rPr>
                <w:sz w:val="24"/>
                <w:szCs w:val="24"/>
                <w:color w:val="auto"/>
              </w:rPr>
            </w:pPr>
          </w:p>
        </w:tc>
        <w:tc>
          <w:tcPr>
            <w:tcW w:w="8880" w:type="dxa"/>
            <w:vAlign w:val="bottom"/>
            <w:gridSpan w:val="27"/>
          </w:tcPr>
          <w:p>
            <w:pPr>
              <w:spacing w:after="0"/>
              <w:rPr>
                <w:rFonts w:ascii="Arial" w:cs="Arial" w:eastAsia="Arial" w:hAnsi="Arial"/>
                <w:sz w:val="17"/>
                <w:szCs w:val="17"/>
                <w:color w:val="0000EE"/>
                <w:w w:val="92"/>
              </w:rPr>
            </w:pPr>
            <w:hyperlink r:id="rId421">
              <w:r>
                <w:rPr>
                  <w:rFonts w:ascii="Arial" w:cs="Arial" w:eastAsia="Arial" w:hAnsi="Arial"/>
                  <w:sz w:val="17"/>
                  <w:szCs w:val="17"/>
                  <w:color w:val="0000EE"/>
                  <w:w w:val="92"/>
                </w:rPr>
                <w:t>Stock and Unit Purchase Agreement by and among Definitive Health Care Corp. and the parties named therein (incorporated by</w:t>
              </w:r>
            </w:hyperlink>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66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40" w:type="dxa"/>
            <w:vAlign w:val="bottom"/>
            <w:tcBorders>
              <w:bottom w:val="single" w:sz="8" w:color="0000EE"/>
            </w:tcBorders>
            <w:gridSpan w:val="25"/>
          </w:tcPr>
          <w:p>
            <w:pPr>
              <w:spacing w:after="0" w:line="183" w:lineRule="exact"/>
              <w:rPr>
                <w:rFonts w:ascii="Arial" w:cs="Arial" w:eastAsia="Arial" w:hAnsi="Arial"/>
                <w:sz w:val="17"/>
                <w:szCs w:val="17"/>
                <w:color w:val="0000EE"/>
                <w:w w:val="90"/>
              </w:rPr>
            </w:pPr>
            <w:hyperlink r:id="rId421">
              <w:r>
                <w:rPr>
                  <w:rFonts w:ascii="Arial" w:cs="Arial" w:eastAsia="Arial" w:hAnsi="Arial"/>
                  <w:sz w:val="17"/>
                  <w:szCs w:val="17"/>
                  <w:color w:val="0000EE"/>
                  <w:w w:val="90"/>
                </w:rPr>
                <w:t>reference to Exhibit 10.19 to the Company’s registration statement (File No. 333-258990) filed with the SEC on August 20, 2021).</w:t>
              </w:r>
            </w:hyperlink>
          </w:p>
        </w:tc>
        <w:tc>
          <w:tcPr>
            <w:tcW w:w="40" w:type="dxa"/>
            <w:vAlign w:val="bottom"/>
            <w:gridSpan w:val="2"/>
          </w:tcPr>
          <w:p>
            <w:pPr>
              <w:spacing w:after="0"/>
              <w:rPr>
                <w:sz w:val="15"/>
                <w:szCs w:val="15"/>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10.21</w:t>
            </w:r>
          </w:p>
        </w:tc>
        <w:tc>
          <w:tcPr>
            <w:tcW w:w="720" w:type="dxa"/>
            <w:vAlign w:val="bottom"/>
          </w:tcPr>
          <w:p>
            <w:pPr>
              <w:spacing w:after="0"/>
              <w:rPr>
                <w:sz w:val="24"/>
                <w:szCs w:val="24"/>
                <w:color w:val="auto"/>
              </w:rPr>
            </w:pPr>
          </w:p>
        </w:tc>
        <w:tc>
          <w:tcPr>
            <w:tcW w:w="8220" w:type="dxa"/>
            <w:vAlign w:val="bottom"/>
            <w:tcBorders>
              <w:bottom w:val="single" w:sz="8" w:color="0000EE"/>
            </w:tcBorders>
            <w:gridSpan w:val="12"/>
          </w:tcPr>
          <w:p>
            <w:pPr>
              <w:spacing w:after="0"/>
              <w:rPr>
                <w:rFonts w:ascii="Arial" w:cs="Arial" w:eastAsia="Arial" w:hAnsi="Arial"/>
                <w:sz w:val="17"/>
                <w:szCs w:val="17"/>
                <w:color w:val="0000EE"/>
                <w:w w:val="89"/>
              </w:rPr>
            </w:pPr>
            <w:hyperlink w:anchor="page334">
              <w:r>
                <w:rPr>
                  <w:rFonts w:ascii="Arial" w:cs="Arial" w:eastAsia="Arial" w:hAnsi="Arial"/>
                  <w:sz w:val="17"/>
                  <w:szCs w:val="17"/>
                  <w:color w:val="0000EE"/>
                  <w:w w:val="89"/>
                </w:rPr>
                <w:t>Stock and Unit Purchase Agreement by and among Definitive Healthcare Corp. and the parties named therein, dated as of</w:t>
              </w:r>
            </w:hyperlink>
          </w:p>
        </w:tc>
        <w:tc>
          <w:tcPr>
            <w:tcW w:w="660" w:type="dxa"/>
            <w:vAlign w:val="bottom"/>
            <w:gridSpan w:val="15"/>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80" w:type="dxa"/>
            <w:vAlign w:val="bottom"/>
            <w:gridSpan w:val="27"/>
          </w:tcPr>
          <w:p>
            <w:pPr>
              <w:spacing w:after="0" w:line="183" w:lineRule="exact"/>
              <w:rPr>
                <w:rFonts w:ascii="Arial" w:cs="Arial" w:eastAsia="Arial" w:hAnsi="Arial"/>
                <w:sz w:val="17"/>
                <w:szCs w:val="17"/>
                <w:color w:val="0000EE"/>
              </w:rPr>
            </w:pPr>
            <w:hyperlink w:anchor="page334">
              <w:r>
                <w:rPr>
                  <w:rFonts w:ascii="Arial" w:cs="Arial" w:eastAsia="Arial" w:hAnsi="Arial"/>
                  <w:sz w:val="17"/>
                  <w:szCs w:val="17"/>
                  <w:color w:val="0000EE"/>
                </w:rPr>
                <w:t>November 10, 2021.</w:t>
              </w:r>
            </w:hyperlink>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78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21.1</w:t>
            </w:r>
          </w:p>
        </w:tc>
        <w:tc>
          <w:tcPr>
            <w:tcW w:w="720" w:type="dxa"/>
            <w:vAlign w:val="bottom"/>
          </w:tcPr>
          <w:p>
            <w:pPr>
              <w:spacing w:after="0"/>
              <w:rPr>
                <w:sz w:val="24"/>
                <w:szCs w:val="24"/>
                <w:color w:val="auto"/>
              </w:rPr>
            </w:pPr>
          </w:p>
        </w:tc>
        <w:tc>
          <w:tcPr>
            <w:tcW w:w="8800" w:type="dxa"/>
            <w:vAlign w:val="bottom"/>
            <w:tcBorders>
              <w:bottom w:val="single" w:sz="8" w:color="0000EE"/>
            </w:tcBorders>
            <w:gridSpan w:val="23"/>
          </w:tcPr>
          <w:p>
            <w:pPr>
              <w:spacing w:after="0"/>
              <w:rPr>
                <w:rFonts w:ascii="Arial" w:cs="Arial" w:eastAsia="Arial" w:hAnsi="Arial"/>
                <w:sz w:val="17"/>
                <w:szCs w:val="17"/>
                <w:color w:val="0000EE"/>
                <w:w w:val="90"/>
              </w:rPr>
            </w:pPr>
            <w:hyperlink r:id="rId422">
              <w:r>
                <w:rPr>
                  <w:rFonts w:ascii="Arial" w:cs="Arial" w:eastAsia="Arial" w:hAnsi="Arial"/>
                  <w:sz w:val="17"/>
                  <w:szCs w:val="17"/>
                  <w:color w:val="0000EE"/>
                  <w:w w:val="90"/>
                </w:rPr>
                <w:t>List of subsidiaries (incorporated by reference to Exhibit 21.1 to the Company’s registration statement on Form S-1 (File No. 333-</w:t>
              </w:r>
            </w:hyperlink>
          </w:p>
        </w:tc>
        <w:tc>
          <w:tcPr>
            <w:tcW w:w="80" w:type="dxa"/>
            <w:vAlign w:val="bottom"/>
            <w:gridSpan w:val="4"/>
          </w:tcPr>
          <w:p>
            <w:pPr>
              <w:spacing w:after="0"/>
              <w:rPr>
                <w:sz w:val="24"/>
                <w:szCs w:val="24"/>
                <w:color w:val="auto"/>
              </w:rPr>
            </w:pP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80" w:type="dxa"/>
            <w:vAlign w:val="bottom"/>
            <w:gridSpan w:val="27"/>
          </w:tcPr>
          <w:p>
            <w:pPr>
              <w:spacing w:after="0" w:line="183" w:lineRule="exact"/>
              <w:rPr>
                <w:rFonts w:ascii="Arial" w:cs="Arial" w:eastAsia="Arial" w:hAnsi="Arial"/>
                <w:sz w:val="17"/>
                <w:szCs w:val="17"/>
                <w:color w:val="0000EE"/>
              </w:rPr>
            </w:pPr>
            <w:hyperlink r:id="rId422">
              <w:r>
                <w:rPr>
                  <w:rFonts w:ascii="Arial" w:cs="Arial" w:eastAsia="Arial" w:hAnsi="Arial"/>
                  <w:sz w:val="17"/>
                  <w:szCs w:val="17"/>
                  <w:color w:val="0000EE"/>
                </w:rPr>
                <w:t>258990)</w:t>
              </w:r>
              <w:r>
                <w:rPr>
                  <w:rFonts w:ascii="Arial" w:cs="Arial" w:eastAsia="Arial" w:hAnsi="Arial"/>
                  <w:sz w:val="17"/>
                  <w:szCs w:val="17"/>
                  <w:u w:val="single" w:color="auto"/>
                  <w:color w:val="0000EE"/>
                </w:rPr>
                <w:t>,</w:t>
              </w:r>
              <w:r>
                <w:rPr>
                  <w:rFonts w:ascii="Arial" w:cs="Arial" w:eastAsia="Arial" w:hAnsi="Arial"/>
                  <w:sz w:val="17"/>
                  <w:szCs w:val="17"/>
                  <w:color w:val="0000EE"/>
                </w:rPr>
                <w:t xml:space="preserve"> filed with the SEC on August 20, 2021).</w:t>
              </w:r>
            </w:hyperlink>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860" w:type="dxa"/>
            <w:vAlign w:val="bottom"/>
            <w:gridSpan w:val="17"/>
          </w:tcPr>
          <w:p>
            <w:pPr>
              <w:spacing w:after="0" w:line="20" w:lineRule="exact"/>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7"/>
                <w:szCs w:val="17"/>
                <w:color w:val="auto"/>
              </w:rPr>
              <w:t>23.1</w:t>
            </w:r>
          </w:p>
        </w:tc>
        <w:tc>
          <w:tcPr>
            <w:tcW w:w="720" w:type="dxa"/>
            <w:vAlign w:val="bottom"/>
          </w:tcPr>
          <w:p>
            <w:pPr>
              <w:spacing w:after="0"/>
              <w:rPr>
                <w:sz w:val="24"/>
                <w:szCs w:val="24"/>
                <w:color w:val="auto"/>
              </w:rPr>
            </w:pPr>
          </w:p>
        </w:tc>
        <w:tc>
          <w:tcPr>
            <w:tcW w:w="8880" w:type="dxa"/>
            <w:vAlign w:val="bottom"/>
            <w:gridSpan w:val="27"/>
          </w:tcPr>
          <w:p>
            <w:pPr>
              <w:spacing w:after="0"/>
              <w:rPr>
                <w:rFonts w:ascii="Arial" w:cs="Arial" w:eastAsia="Arial" w:hAnsi="Arial"/>
                <w:sz w:val="17"/>
                <w:szCs w:val="17"/>
                <w:color w:val="0000EE"/>
              </w:rPr>
            </w:pPr>
            <w:hyperlink w:anchor="page343">
              <w:r>
                <w:rPr>
                  <w:rFonts w:ascii="Arial" w:cs="Arial" w:eastAsia="Arial" w:hAnsi="Arial"/>
                  <w:sz w:val="17"/>
                  <w:szCs w:val="17"/>
                  <w:color w:val="0000EE"/>
                </w:rPr>
                <w:t>Consent of Deloitte &amp; Touche LLP, Independent Registered Public Accounting Firm, as to Definitive Healthcare Corp.</w:t>
              </w:r>
            </w:hyperlink>
          </w:p>
        </w:tc>
      </w:tr>
      <w:tr>
        <w:trPr>
          <w:trHeight w:val="359"/>
        </w:trPr>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4660" w:type="dxa"/>
            <w:vAlign w:val="bottom"/>
            <w:tcBorders>
              <w:top w:val="single" w:sz="8" w:color="0000EE"/>
            </w:tcBorders>
            <w:gridSpan w:val="7"/>
          </w:tcPr>
          <w:p>
            <w:pPr>
              <w:ind w:left="300"/>
              <w:spacing w:after="0"/>
              <w:rPr>
                <w:sz w:val="20"/>
                <w:szCs w:val="20"/>
                <w:color w:val="auto"/>
              </w:rPr>
            </w:pPr>
            <w:r>
              <w:rPr>
                <w:rFonts w:ascii="Arial" w:cs="Arial" w:eastAsia="Arial" w:hAnsi="Arial"/>
                <w:sz w:val="17"/>
                <w:szCs w:val="17"/>
                <w:color w:val="auto"/>
              </w:rPr>
              <w:t>II-4</w:t>
            </w:r>
          </w:p>
        </w:tc>
        <w:tc>
          <w:tcPr>
            <w:tcW w:w="860" w:type="dxa"/>
            <w:vAlign w:val="bottom"/>
            <w:gridSpan w:val="17"/>
          </w:tcPr>
          <w:p>
            <w:pPr>
              <w:spacing w:after="0"/>
              <w:rPr>
                <w:sz w:val="24"/>
                <w:szCs w:val="24"/>
                <w:color w:val="auto"/>
              </w:rPr>
            </w:pPr>
          </w:p>
        </w:tc>
      </w:tr>
    </w:tbl>
    <w:p>
      <w:pPr>
        <w:sectPr>
          <w:pgSz w:w="11900" w:h="16838" w:orient="portrait"/>
          <w:cols w:equalWidth="0" w:num="1">
            <w:col w:w="10720"/>
          </w:cols>
          <w:pgMar w:left="320" w:top="465" w:right="859" w:bottom="1440" w:gutter="0" w:footer="0" w:header="0"/>
        </w:sectPr>
      </w:pPr>
    </w:p>
    <w:bookmarkStart w:id="287" w:name="page288"/>
    <w:bookmarkEnd w:id="2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3260" w:type="dxa"/>
            <w:vAlign w:val="bottom"/>
          </w:tcPr>
          <w:p>
            <w:pPr>
              <w:spacing w:after="0"/>
              <w:rPr>
                <w:sz w:val="14"/>
                <w:szCs w:val="14"/>
                <w:color w:val="auto"/>
              </w:rPr>
            </w:pPr>
          </w:p>
        </w:tc>
        <w:tc>
          <w:tcPr>
            <w:tcW w:w="5600" w:type="dxa"/>
            <w:vAlign w:val="bottom"/>
            <w:gridSpan w:val="5"/>
          </w:tcPr>
          <w:p>
            <w:pPr>
              <w:ind w:left="96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6"/>
        </w:trPr>
        <w:tc>
          <w:tcPr>
            <w:tcW w:w="740" w:type="dxa"/>
            <w:vAlign w:val="bottom"/>
            <w:gridSpan w:val="2"/>
          </w:tcPr>
          <w:p>
            <w:pPr>
              <w:spacing w:after="0"/>
              <w:rPr>
                <w:sz w:val="20"/>
                <w:szCs w:val="20"/>
                <w:color w:val="auto"/>
              </w:rPr>
            </w:pPr>
            <w:r>
              <w:rPr>
                <w:rFonts w:ascii="Arial" w:cs="Arial" w:eastAsia="Arial" w:hAnsi="Arial"/>
                <w:sz w:val="17"/>
                <w:szCs w:val="17"/>
                <w:color w:val="auto"/>
              </w:rPr>
              <w:t>23.2</w:t>
            </w:r>
          </w:p>
        </w:tc>
        <w:tc>
          <w:tcPr>
            <w:tcW w:w="500" w:type="dxa"/>
            <w:vAlign w:val="bottom"/>
          </w:tcPr>
          <w:p>
            <w:pPr>
              <w:spacing w:after="0"/>
              <w:rPr>
                <w:sz w:val="21"/>
                <w:szCs w:val="21"/>
                <w:color w:val="auto"/>
              </w:rPr>
            </w:pPr>
          </w:p>
        </w:tc>
        <w:tc>
          <w:tcPr>
            <w:tcW w:w="752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344">
              <w:r>
                <w:rPr>
                  <w:rFonts w:ascii="Arial" w:cs="Arial" w:eastAsia="Arial" w:hAnsi="Arial"/>
                  <w:sz w:val="17"/>
                  <w:szCs w:val="17"/>
                  <w:color w:val="0000EE"/>
                  <w:w w:val="91"/>
                </w:rPr>
                <w:t>Consent of Deloitte &amp; Touche LLP, Independent Registered Public Accounting Firm, as to AIDH TopCo, LLC.</w:t>
              </w:r>
            </w:hyperlink>
          </w:p>
        </w:tc>
        <w:tc>
          <w:tcPr>
            <w:tcW w:w="1340" w:type="dxa"/>
            <w:vAlign w:val="bottom"/>
          </w:tcPr>
          <w:p>
            <w:pPr>
              <w:spacing w:after="0"/>
              <w:rPr>
                <w:sz w:val="21"/>
                <w:szCs w:val="21"/>
                <w:color w:val="auto"/>
              </w:rPr>
            </w:pPr>
          </w:p>
        </w:tc>
      </w:tr>
      <w:tr>
        <w:trPr>
          <w:trHeight w:val="284"/>
        </w:trPr>
        <w:tc>
          <w:tcPr>
            <w:tcW w:w="740" w:type="dxa"/>
            <w:vAlign w:val="bottom"/>
            <w:gridSpan w:val="2"/>
          </w:tcPr>
          <w:p>
            <w:pPr>
              <w:spacing w:after="0"/>
              <w:rPr>
                <w:sz w:val="20"/>
                <w:szCs w:val="20"/>
                <w:color w:val="auto"/>
              </w:rPr>
            </w:pPr>
            <w:r>
              <w:rPr>
                <w:rFonts w:ascii="Arial" w:cs="Arial" w:eastAsia="Arial" w:hAnsi="Arial"/>
                <w:sz w:val="17"/>
                <w:szCs w:val="17"/>
                <w:color w:val="auto"/>
              </w:rPr>
              <w:t>23.3</w:t>
            </w:r>
          </w:p>
        </w:tc>
        <w:tc>
          <w:tcPr>
            <w:tcW w:w="500" w:type="dxa"/>
            <w:vAlign w:val="bottom"/>
          </w:tcPr>
          <w:p>
            <w:pPr>
              <w:spacing w:after="0"/>
              <w:rPr>
                <w:sz w:val="24"/>
                <w:szCs w:val="24"/>
                <w:color w:val="auto"/>
              </w:rPr>
            </w:pPr>
          </w:p>
        </w:tc>
        <w:tc>
          <w:tcPr>
            <w:tcW w:w="454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332">
              <w:r>
                <w:rPr>
                  <w:rFonts w:ascii="Arial" w:cs="Arial" w:eastAsia="Arial" w:hAnsi="Arial"/>
                  <w:sz w:val="17"/>
                  <w:szCs w:val="17"/>
                  <w:color w:val="0000EE"/>
                  <w:w w:val="92"/>
                </w:rPr>
                <w:t>Consent of Weil, Gotshal &amp; Manges LLP (included in Exhibit 5.1).</w:t>
              </w:r>
            </w:hyperlink>
          </w:p>
        </w:tc>
        <w:tc>
          <w:tcPr>
            <w:tcW w:w="4320" w:type="dxa"/>
            <w:vAlign w:val="bottom"/>
            <w:gridSpan w:val="3"/>
          </w:tcPr>
          <w:p>
            <w:pPr>
              <w:spacing w:after="0"/>
              <w:rPr>
                <w:sz w:val="24"/>
                <w:szCs w:val="24"/>
                <w:color w:val="auto"/>
              </w:rPr>
            </w:pPr>
          </w:p>
        </w:tc>
      </w:tr>
      <w:tr>
        <w:trPr>
          <w:trHeight w:val="284"/>
        </w:trPr>
        <w:tc>
          <w:tcPr>
            <w:tcW w:w="740" w:type="dxa"/>
            <w:vAlign w:val="bottom"/>
            <w:gridSpan w:val="2"/>
          </w:tcPr>
          <w:p>
            <w:pPr>
              <w:spacing w:after="0"/>
              <w:rPr>
                <w:sz w:val="20"/>
                <w:szCs w:val="20"/>
                <w:color w:val="auto"/>
              </w:rPr>
            </w:pPr>
            <w:r>
              <w:rPr>
                <w:rFonts w:ascii="Arial" w:cs="Arial" w:eastAsia="Arial" w:hAnsi="Arial"/>
                <w:sz w:val="17"/>
                <w:szCs w:val="17"/>
                <w:color w:val="auto"/>
              </w:rPr>
              <w:t>24.1</w:t>
            </w:r>
          </w:p>
        </w:tc>
        <w:tc>
          <w:tcPr>
            <w:tcW w:w="500" w:type="dxa"/>
            <w:vAlign w:val="bottom"/>
          </w:tcPr>
          <w:p>
            <w:pPr>
              <w:spacing w:after="0"/>
              <w:rPr>
                <w:sz w:val="24"/>
                <w:szCs w:val="24"/>
                <w:color w:val="auto"/>
              </w:rPr>
            </w:pPr>
          </w:p>
        </w:tc>
        <w:tc>
          <w:tcPr>
            <w:tcW w:w="8860" w:type="dxa"/>
            <w:vAlign w:val="bottom"/>
            <w:gridSpan w:val="6"/>
          </w:tcPr>
          <w:p>
            <w:pPr>
              <w:spacing w:after="0"/>
              <w:rPr>
                <w:rFonts w:ascii="Arial" w:cs="Arial" w:eastAsia="Arial" w:hAnsi="Arial"/>
                <w:sz w:val="17"/>
                <w:szCs w:val="17"/>
                <w:color w:val="0000EE"/>
              </w:rPr>
            </w:pPr>
            <w:hyperlink w:anchor="page289">
              <w:r>
                <w:rPr>
                  <w:rFonts w:ascii="Arial" w:cs="Arial" w:eastAsia="Arial" w:hAnsi="Arial"/>
                  <w:sz w:val="17"/>
                  <w:szCs w:val="17"/>
                  <w:color w:val="0000EE"/>
                </w:rPr>
                <w:t>Power of Attorney (included on signature page).</w:t>
              </w:r>
            </w:hyperlink>
          </w:p>
        </w:tc>
      </w:tr>
      <w:tr>
        <w:trPr>
          <w:trHeight w:val="20"/>
        </w:trPr>
        <w:tc>
          <w:tcPr>
            <w:tcW w:w="1240" w:type="dxa"/>
            <w:vAlign w:val="bottom"/>
            <w:gridSpan w:val="3"/>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r>
      <w:tr>
        <w:trPr>
          <w:trHeight w:val="309"/>
        </w:trPr>
        <w:tc>
          <w:tcPr>
            <w:tcW w:w="1240" w:type="dxa"/>
            <w:vAlign w:val="bottom"/>
            <w:gridSpan w:val="3"/>
          </w:tcPr>
          <w:p>
            <w:pPr>
              <w:spacing w:after="0"/>
              <w:rPr>
                <w:sz w:val="20"/>
                <w:szCs w:val="20"/>
                <w:color w:val="auto"/>
              </w:rPr>
            </w:pPr>
            <w:r>
              <w:rPr>
                <w:rFonts w:ascii="Arial" w:cs="Arial" w:eastAsia="Arial" w:hAnsi="Arial"/>
                <w:sz w:val="17"/>
                <w:szCs w:val="17"/>
                <w:color w:val="auto"/>
              </w:rPr>
              <w:t>101.INS*</w:t>
            </w:r>
          </w:p>
        </w:tc>
        <w:tc>
          <w:tcPr>
            <w:tcW w:w="8860" w:type="dxa"/>
            <w:vAlign w:val="bottom"/>
            <w:gridSpan w:val="6"/>
          </w:tcPr>
          <w:p>
            <w:pPr>
              <w:spacing w:after="0"/>
              <w:rPr>
                <w:sz w:val="20"/>
                <w:szCs w:val="20"/>
                <w:color w:val="auto"/>
              </w:rPr>
            </w:pPr>
            <w:r>
              <w:rPr>
                <w:rFonts w:ascii="Arial" w:cs="Arial" w:eastAsia="Arial" w:hAnsi="Arial"/>
                <w:sz w:val="17"/>
                <w:szCs w:val="17"/>
                <w:color w:val="auto"/>
                <w:w w:val="91"/>
              </w:rPr>
              <w:t>Inline XBRL Instance Document – the instance document does not appear in the Interactive Data File because its XBRL tags are</w:t>
            </w:r>
          </w:p>
        </w:tc>
      </w:tr>
      <w:tr>
        <w:trPr>
          <w:trHeight w:val="214"/>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60" w:type="dxa"/>
            <w:vAlign w:val="bottom"/>
            <w:gridSpan w:val="6"/>
          </w:tcPr>
          <w:p>
            <w:pPr>
              <w:spacing w:after="0"/>
              <w:rPr>
                <w:sz w:val="20"/>
                <w:szCs w:val="20"/>
                <w:color w:val="auto"/>
              </w:rPr>
            </w:pPr>
            <w:r>
              <w:rPr>
                <w:rFonts w:ascii="Arial" w:cs="Arial" w:eastAsia="Arial" w:hAnsi="Arial"/>
                <w:sz w:val="17"/>
                <w:szCs w:val="17"/>
                <w:color w:val="auto"/>
              </w:rPr>
              <w:t>embedded within the Inline XBRL document</w:t>
            </w:r>
          </w:p>
        </w:tc>
      </w:tr>
      <w:tr>
        <w:trPr>
          <w:trHeight w:val="304"/>
        </w:trPr>
        <w:tc>
          <w:tcPr>
            <w:tcW w:w="1240" w:type="dxa"/>
            <w:vAlign w:val="bottom"/>
            <w:gridSpan w:val="3"/>
          </w:tcPr>
          <w:p>
            <w:pPr>
              <w:spacing w:after="0"/>
              <w:rPr>
                <w:sz w:val="20"/>
                <w:szCs w:val="20"/>
                <w:color w:val="auto"/>
              </w:rPr>
            </w:pPr>
            <w:r>
              <w:rPr>
                <w:rFonts w:ascii="Arial" w:cs="Arial" w:eastAsia="Arial" w:hAnsi="Arial"/>
                <w:sz w:val="17"/>
                <w:szCs w:val="17"/>
                <w:color w:val="auto"/>
              </w:rPr>
              <w:t>101.SCH*</w:t>
            </w:r>
          </w:p>
        </w:tc>
        <w:tc>
          <w:tcPr>
            <w:tcW w:w="8860" w:type="dxa"/>
            <w:vAlign w:val="bottom"/>
            <w:gridSpan w:val="6"/>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304"/>
        </w:trPr>
        <w:tc>
          <w:tcPr>
            <w:tcW w:w="1240" w:type="dxa"/>
            <w:vAlign w:val="bottom"/>
            <w:gridSpan w:val="3"/>
          </w:tcPr>
          <w:p>
            <w:pPr>
              <w:spacing w:after="0"/>
              <w:rPr>
                <w:sz w:val="20"/>
                <w:szCs w:val="20"/>
                <w:color w:val="auto"/>
              </w:rPr>
            </w:pPr>
            <w:r>
              <w:rPr>
                <w:rFonts w:ascii="Arial" w:cs="Arial" w:eastAsia="Arial" w:hAnsi="Arial"/>
                <w:sz w:val="17"/>
                <w:szCs w:val="17"/>
                <w:color w:val="auto"/>
              </w:rPr>
              <w:t>101.CAL*</w:t>
            </w:r>
          </w:p>
        </w:tc>
        <w:tc>
          <w:tcPr>
            <w:tcW w:w="8860" w:type="dxa"/>
            <w:vAlign w:val="bottom"/>
            <w:gridSpan w:val="6"/>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304"/>
        </w:trPr>
        <w:tc>
          <w:tcPr>
            <w:tcW w:w="1240" w:type="dxa"/>
            <w:vAlign w:val="bottom"/>
            <w:gridSpan w:val="3"/>
          </w:tcPr>
          <w:p>
            <w:pPr>
              <w:spacing w:after="0"/>
              <w:rPr>
                <w:sz w:val="20"/>
                <w:szCs w:val="20"/>
                <w:color w:val="auto"/>
              </w:rPr>
            </w:pPr>
            <w:r>
              <w:rPr>
                <w:rFonts w:ascii="Arial" w:cs="Arial" w:eastAsia="Arial" w:hAnsi="Arial"/>
                <w:sz w:val="17"/>
                <w:szCs w:val="17"/>
                <w:color w:val="auto"/>
              </w:rPr>
              <w:t>101.DEF*</w:t>
            </w:r>
          </w:p>
        </w:tc>
        <w:tc>
          <w:tcPr>
            <w:tcW w:w="8860" w:type="dxa"/>
            <w:vAlign w:val="bottom"/>
            <w:gridSpan w:val="6"/>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304"/>
        </w:trPr>
        <w:tc>
          <w:tcPr>
            <w:tcW w:w="1240" w:type="dxa"/>
            <w:vAlign w:val="bottom"/>
            <w:gridSpan w:val="3"/>
          </w:tcPr>
          <w:p>
            <w:pPr>
              <w:spacing w:after="0"/>
              <w:rPr>
                <w:sz w:val="20"/>
                <w:szCs w:val="20"/>
                <w:color w:val="auto"/>
              </w:rPr>
            </w:pPr>
            <w:r>
              <w:rPr>
                <w:rFonts w:ascii="Arial" w:cs="Arial" w:eastAsia="Arial" w:hAnsi="Arial"/>
                <w:sz w:val="17"/>
                <w:szCs w:val="17"/>
                <w:color w:val="auto"/>
              </w:rPr>
              <w:t>101.LAB*</w:t>
            </w:r>
          </w:p>
        </w:tc>
        <w:tc>
          <w:tcPr>
            <w:tcW w:w="8860" w:type="dxa"/>
            <w:vAlign w:val="bottom"/>
            <w:gridSpan w:val="6"/>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304"/>
        </w:trPr>
        <w:tc>
          <w:tcPr>
            <w:tcW w:w="1240" w:type="dxa"/>
            <w:vAlign w:val="bottom"/>
            <w:gridSpan w:val="3"/>
          </w:tcPr>
          <w:p>
            <w:pPr>
              <w:spacing w:after="0"/>
              <w:rPr>
                <w:sz w:val="20"/>
                <w:szCs w:val="20"/>
                <w:color w:val="auto"/>
              </w:rPr>
            </w:pPr>
            <w:r>
              <w:rPr>
                <w:rFonts w:ascii="Arial" w:cs="Arial" w:eastAsia="Arial" w:hAnsi="Arial"/>
                <w:sz w:val="17"/>
                <w:szCs w:val="17"/>
                <w:color w:val="auto"/>
              </w:rPr>
              <w:t>101.PRE*</w:t>
            </w:r>
          </w:p>
        </w:tc>
        <w:tc>
          <w:tcPr>
            <w:tcW w:w="8860" w:type="dxa"/>
            <w:vAlign w:val="bottom"/>
            <w:gridSpan w:val="6"/>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92"/>
        </w:trPr>
        <w:tc>
          <w:tcPr>
            <w:tcW w:w="740" w:type="dxa"/>
            <w:vAlign w:val="bottom"/>
            <w:gridSpan w:val="2"/>
          </w:tcPr>
          <w:p>
            <w:pPr>
              <w:spacing w:after="0"/>
              <w:rPr>
                <w:sz w:val="20"/>
                <w:szCs w:val="20"/>
                <w:color w:val="auto"/>
              </w:rPr>
            </w:pPr>
            <w:r>
              <w:rPr>
                <w:rFonts w:ascii="Arial" w:cs="Arial" w:eastAsia="Arial" w:hAnsi="Arial"/>
                <w:sz w:val="17"/>
                <w:szCs w:val="17"/>
                <w:color w:val="auto"/>
              </w:rPr>
              <w:t>104*</w:t>
            </w:r>
          </w:p>
        </w:tc>
        <w:tc>
          <w:tcPr>
            <w:tcW w:w="500" w:type="dxa"/>
            <w:vAlign w:val="bottom"/>
          </w:tcPr>
          <w:p>
            <w:pPr>
              <w:spacing w:after="0"/>
              <w:rPr>
                <w:sz w:val="24"/>
                <w:szCs w:val="24"/>
                <w:color w:val="auto"/>
              </w:rPr>
            </w:pPr>
          </w:p>
        </w:tc>
        <w:tc>
          <w:tcPr>
            <w:tcW w:w="8860" w:type="dxa"/>
            <w:vAlign w:val="bottom"/>
            <w:gridSpan w:val="6"/>
          </w:tcPr>
          <w:p>
            <w:pPr>
              <w:spacing w:after="0"/>
              <w:rPr>
                <w:sz w:val="20"/>
                <w:szCs w:val="20"/>
                <w:color w:val="auto"/>
              </w:rPr>
            </w:pPr>
            <w:r>
              <w:rPr>
                <w:rFonts w:ascii="Arial" w:cs="Arial" w:eastAsia="Arial" w:hAnsi="Arial"/>
                <w:sz w:val="17"/>
                <w:szCs w:val="17"/>
                <w:color w:val="auto"/>
                <w:w w:val="91"/>
              </w:rPr>
              <w:t>Cover Page Interactive Data File (formatted as inline XBRL with applicable taxonomy extension information contained in Exhibits</w:t>
            </w:r>
          </w:p>
        </w:tc>
      </w:tr>
      <w:tr>
        <w:trPr>
          <w:trHeight w:val="214"/>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101.*)</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187" w:lineRule="exact"/>
        <w:rPr>
          <w:sz w:val="20"/>
          <w:szCs w:val="20"/>
          <w:color w:val="auto"/>
        </w:rPr>
      </w:pPr>
    </w:p>
    <w:p>
      <w:pPr>
        <w:ind w:left="880" w:right="7800" w:hanging="423"/>
        <w:spacing w:after="0" w:line="401" w:lineRule="auto"/>
        <w:tabs>
          <w:tab w:leader="none" w:pos="715"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 Schedules: </w:t>
      </w:r>
      <w:r>
        <w:rPr>
          <w:rFonts w:ascii="Arial" w:cs="Arial" w:eastAsia="Arial" w:hAnsi="Arial"/>
          <w:sz w:val="17"/>
          <w:szCs w:val="17"/>
          <w:color w:val="auto"/>
        </w:rPr>
        <w:t>None.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Item 17. Undertakings</w:t>
      </w:r>
    </w:p>
    <w:p>
      <w:pPr>
        <w:spacing w:after="0" w:line="112" w:lineRule="exact"/>
        <w:rPr>
          <w:sz w:val="20"/>
          <w:szCs w:val="20"/>
          <w:color w:val="auto"/>
        </w:rPr>
      </w:pPr>
    </w:p>
    <w:p>
      <w:pPr>
        <w:ind w:left="460" w:right="20" w:firstLine="413"/>
        <w:spacing w:after="0" w:line="303"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3" w:lineRule="exact"/>
        <w:rPr>
          <w:sz w:val="20"/>
          <w:szCs w:val="20"/>
          <w:color w:val="auto"/>
        </w:rPr>
      </w:pPr>
    </w:p>
    <w:p>
      <w:pPr>
        <w:ind w:left="460" w:right="200" w:firstLine="413"/>
        <w:spacing w:after="0" w:line="269"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undersigned registrant hereby undertakes that:</w:t>
      </w:r>
    </w:p>
    <w:p>
      <w:pPr>
        <w:spacing w:after="0" w:line="121" w:lineRule="exact"/>
        <w:rPr>
          <w:sz w:val="20"/>
          <w:szCs w:val="20"/>
          <w:color w:val="auto"/>
        </w:rPr>
      </w:pPr>
    </w:p>
    <w:p>
      <w:pPr>
        <w:ind w:left="860" w:hanging="403"/>
        <w:spacing w:after="0" w:line="284" w:lineRule="auto"/>
        <w:tabs>
          <w:tab w:leader="none" w:pos="8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8" w:lineRule="exact"/>
        <w:rPr>
          <w:rFonts w:ascii="Arial" w:cs="Arial" w:eastAsia="Arial" w:hAnsi="Arial"/>
          <w:sz w:val="16"/>
          <w:szCs w:val="16"/>
          <w:color w:val="auto"/>
        </w:rPr>
      </w:pPr>
    </w:p>
    <w:p>
      <w:pPr>
        <w:ind w:left="860" w:right="60" w:hanging="403"/>
        <w:spacing w:after="0" w:line="260" w:lineRule="auto"/>
        <w:tabs>
          <w:tab w:leader="none" w:pos="8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760"/>
          </w:cols>
          <w:pgMar w:left="320" w:top="465" w:right="81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4">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SIGNATURES</w:t>
      </w:r>
    </w:p>
    <w:p>
      <w:pPr>
        <w:spacing w:after="0" w:line="214" w:lineRule="exact"/>
        <w:rPr>
          <w:sz w:val="20"/>
          <w:szCs w:val="20"/>
          <w:color w:val="auto"/>
        </w:rPr>
      </w:pPr>
    </w:p>
    <w:p>
      <w:pPr>
        <w:ind w:left="460" w:right="160" w:firstLine="413"/>
        <w:spacing w:after="0" w:line="303"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Framingham, State of Massachusetts, on November 15, 2021.</w:t>
      </w:r>
    </w:p>
    <w:p>
      <w:pPr>
        <w:spacing w:after="0" w:line="165" w:lineRule="exact"/>
        <w:rPr>
          <w:sz w:val="20"/>
          <w:szCs w:val="20"/>
          <w:color w:val="auto"/>
        </w:rPr>
      </w:pPr>
    </w:p>
    <w:p>
      <w:pPr>
        <w:ind w:left="6660"/>
        <w:spacing w:after="0"/>
        <w:rPr>
          <w:sz w:val="20"/>
          <w:szCs w:val="20"/>
          <w:color w:val="auto"/>
        </w:rPr>
      </w:pPr>
      <w:r>
        <w:rPr>
          <w:rFonts w:ascii="Arial" w:cs="Arial" w:eastAsia="Arial" w:hAnsi="Arial"/>
          <w:sz w:val="17"/>
          <w:szCs w:val="17"/>
          <w:b w:val="1"/>
          <w:bCs w:val="1"/>
          <w:color w:val="auto"/>
        </w:rPr>
        <w:t>Definitive Healthcare Corp.</w:t>
      </w:r>
    </w:p>
    <w:p>
      <w:pPr>
        <w:spacing w:after="0" w:line="214"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12700</wp:posOffset>
            </wp:positionV>
            <wp:extent cx="241236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5">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2" w:lineRule="exact"/>
        <w:rPr>
          <w:sz w:val="20"/>
          <w:szCs w:val="20"/>
          <w:color w:val="auto"/>
        </w:rPr>
      </w:pPr>
    </w:p>
    <w:p>
      <w:pPr>
        <w:ind w:left="7000"/>
        <w:spacing w:after="0"/>
        <w:tabs>
          <w:tab w:leader="none" w:pos="7560" w:val="left"/>
        </w:tabs>
        <w:rPr>
          <w:sz w:val="20"/>
          <w:szCs w:val="20"/>
          <w:color w:val="auto"/>
        </w:rPr>
      </w:pPr>
      <w:r>
        <w:rPr>
          <w:rFonts w:ascii="Arial" w:cs="Arial" w:eastAsia="Arial" w:hAnsi="Arial"/>
          <w:sz w:val="17"/>
          <w:szCs w:val="17"/>
          <w:color w:val="auto"/>
        </w:rPr>
        <w:t>Name</w:t>
        <w:tab/>
        <w:t>Richard Booth</w:t>
      </w:r>
    </w:p>
    <w:p>
      <w:pPr>
        <w:spacing w:after="0" w:line="19" w:lineRule="exact"/>
        <w:rPr>
          <w:sz w:val="20"/>
          <w:szCs w:val="20"/>
          <w:color w:val="auto"/>
        </w:rPr>
      </w:pPr>
    </w:p>
    <w:p>
      <w:pPr>
        <w:ind w:left="7000"/>
        <w:spacing w:after="0"/>
        <w:tabs>
          <w:tab w:leader="none" w:pos="7560" w:val="left"/>
        </w:tabs>
        <w:rPr>
          <w:sz w:val="20"/>
          <w:szCs w:val="20"/>
          <w:color w:val="auto"/>
        </w:rPr>
      </w:pPr>
      <w:r>
        <w:rPr>
          <w:rFonts w:ascii="Arial" w:cs="Arial" w:eastAsia="Arial" w:hAnsi="Arial"/>
          <w:sz w:val="17"/>
          <w:szCs w:val="17"/>
          <w:color w:val="auto"/>
        </w:rPr>
        <w:t>Title:</w:t>
        <w:tab/>
        <w:t>Chief Financial Officer</w:t>
      </w:r>
    </w:p>
    <w:p>
      <w:pPr>
        <w:spacing w:after="0" w:line="198" w:lineRule="exact"/>
        <w:rPr>
          <w:sz w:val="20"/>
          <w:szCs w:val="20"/>
          <w:color w:val="auto"/>
        </w:rPr>
      </w:pPr>
    </w:p>
    <w:p>
      <w:pPr>
        <w:ind w:left="460" w:firstLine="413"/>
        <w:spacing w:after="0" w:line="252" w:lineRule="auto"/>
        <w:rPr>
          <w:sz w:val="20"/>
          <w:szCs w:val="20"/>
          <w:color w:val="auto"/>
        </w:rPr>
      </w:pPr>
      <w:r>
        <w:rPr>
          <w:rFonts w:ascii="Arial" w:cs="Arial" w:eastAsia="Arial" w:hAnsi="Arial"/>
          <w:sz w:val="17"/>
          <w:szCs w:val="17"/>
          <w:color w:val="auto"/>
        </w:rPr>
        <w:t>KNOW ALL MEN BY THESE PRESENTS, that each of the undersigned constitutes and appoints each of Jason Krantz or Richard Booth, or any of them, each acting alone, his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of 1933),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82" w:lineRule="exact"/>
        <w:rPr>
          <w:sz w:val="20"/>
          <w:szCs w:val="20"/>
          <w:color w:val="auto"/>
        </w:rPr>
      </w:pPr>
    </w:p>
    <w:p>
      <w:pPr>
        <w:ind w:left="460" w:right="180" w:firstLine="413"/>
        <w:spacing w:after="0" w:line="272"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November 15, 2021.</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18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18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w:t>
            </w:r>
          </w:p>
        </w:tc>
        <w:tc>
          <w:tcPr>
            <w:tcW w:w="1340" w:type="dxa"/>
            <w:vAlign w:val="bottom"/>
          </w:tcPr>
          <w:p>
            <w:pPr>
              <w:spacing w:after="0"/>
              <w:rPr>
                <w:sz w:val="14"/>
                <w:szCs w:val="14"/>
                <w:color w:val="auto"/>
              </w:rPr>
            </w:pPr>
          </w:p>
        </w:tc>
      </w:tr>
      <w:tr>
        <w:trPr>
          <w:trHeight w:val="385"/>
        </w:trPr>
        <w:tc>
          <w:tcPr>
            <w:tcW w:w="41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8"/>
              </w:rPr>
              <w:t>/s/ Jason Krantz</w:t>
            </w:r>
          </w:p>
        </w:tc>
        <w:tc>
          <w:tcPr>
            <w:tcW w:w="4660" w:type="dxa"/>
            <w:vAlign w:val="bottom"/>
            <w:gridSpan w:val="3"/>
          </w:tcPr>
          <w:p>
            <w:pPr>
              <w:jc w:val="center"/>
              <w:ind w:left="1616"/>
              <w:spacing w:after="0"/>
              <w:rPr>
                <w:sz w:val="20"/>
                <w:szCs w:val="20"/>
                <w:color w:val="auto"/>
              </w:rPr>
            </w:pPr>
            <w:r>
              <w:rPr>
                <w:rFonts w:ascii="Arial" w:cs="Arial" w:eastAsia="Arial" w:hAnsi="Arial"/>
                <w:sz w:val="17"/>
                <w:szCs w:val="17"/>
                <w:color w:val="auto"/>
                <w:w w:val="93"/>
              </w:rPr>
              <w:t>Chief Executive Officer and Director</w:t>
            </w:r>
          </w:p>
        </w:tc>
      </w:tr>
      <w:tr>
        <w:trPr>
          <w:trHeight w:val="208"/>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88"/>
              </w:rPr>
              <w:t>Jason Krantz</w:t>
            </w:r>
          </w:p>
        </w:tc>
        <w:tc>
          <w:tcPr>
            <w:tcW w:w="4660" w:type="dxa"/>
            <w:vAlign w:val="bottom"/>
            <w:gridSpan w:val="3"/>
          </w:tcPr>
          <w:p>
            <w:pPr>
              <w:jc w:val="center"/>
              <w:ind w:left="1616"/>
              <w:spacing w:after="0"/>
              <w:rPr>
                <w:sz w:val="20"/>
                <w:szCs w:val="20"/>
                <w:color w:val="auto"/>
              </w:rPr>
            </w:pPr>
            <w:r>
              <w:rPr>
                <w:rFonts w:ascii="Arial" w:cs="Arial" w:eastAsia="Arial" w:hAnsi="Arial"/>
                <w:sz w:val="17"/>
                <w:szCs w:val="17"/>
                <w:color w:val="auto"/>
                <w:w w:val="93"/>
              </w:rPr>
              <w:t>(Principal Executive Officer)</w:t>
            </w:r>
          </w:p>
        </w:tc>
      </w:tr>
      <w:tr>
        <w:trPr>
          <w:trHeight w:val="406"/>
        </w:trPr>
        <w:tc>
          <w:tcPr>
            <w:tcW w:w="41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0"/>
              </w:rPr>
              <w:t>/s/ Robert Musslewhite</w:t>
            </w:r>
          </w:p>
        </w:tc>
        <w:tc>
          <w:tcPr>
            <w:tcW w:w="4660" w:type="dxa"/>
            <w:vAlign w:val="bottom"/>
            <w:gridSpan w:val="3"/>
          </w:tcPr>
          <w:p>
            <w:pPr>
              <w:jc w:val="center"/>
              <w:ind w:left="1616"/>
              <w:spacing w:after="0"/>
              <w:rPr>
                <w:sz w:val="20"/>
                <w:szCs w:val="20"/>
                <w:color w:val="auto"/>
              </w:rPr>
            </w:pPr>
            <w:r>
              <w:rPr>
                <w:rFonts w:ascii="Arial" w:cs="Arial" w:eastAsia="Arial" w:hAnsi="Arial"/>
                <w:sz w:val="17"/>
                <w:szCs w:val="17"/>
                <w:color w:val="auto"/>
                <w:w w:val="89"/>
              </w:rPr>
              <w:t>President and Director</w:t>
            </w:r>
          </w:p>
        </w:tc>
      </w:tr>
      <w:tr>
        <w:trPr>
          <w:trHeight w:val="208"/>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91"/>
              </w:rPr>
              <w:t>Robert Musslewhite</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05"/>
        </w:trPr>
        <w:tc>
          <w:tcPr>
            <w:tcW w:w="4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0"/>
              </w:rPr>
              <w:t>/s/ Richard Booth</w:t>
            </w:r>
          </w:p>
        </w:tc>
        <w:tc>
          <w:tcPr>
            <w:tcW w:w="4660" w:type="dxa"/>
            <w:vAlign w:val="bottom"/>
            <w:gridSpan w:val="3"/>
          </w:tcPr>
          <w:p>
            <w:pPr>
              <w:jc w:val="center"/>
              <w:ind w:left="1616"/>
              <w:spacing w:after="0"/>
              <w:rPr>
                <w:sz w:val="20"/>
                <w:szCs w:val="20"/>
                <w:color w:val="auto"/>
              </w:rPr>
            </w:pPr>
            <w:r>
              <w:rPr>
                <w:rFonts w:ascii="Arial" w:cs="Arial" w:eastAsia="Arial" w:hAnsi="Arial"/>
                <w:sz w:val="17"/>
                <w:szCs w:val="17"/>
                <w:color w:val="auto"/>
                <w:w w:val="93"/>
              </w:rPr>
              <w:t>Chief Financial Officer (Principal Financial</w:t>
            </w:r>
          </w:p>
        </w:tc>
      </w:tr>
      <w:tr>
        <w:trPr>
          <w:trHeight w:val="208"/>
        </w:trPr>
        <w:tc>
          <w:tcPr>
            <w:tcW w:w="4160" w:type="dxa"/>
            <w:vAlign w:val="bottom"/>
            <w:gridSpan w:val="3"/>
          </w:tcPr>
          <w:p>
            <w:pPr>
              <w:jc w:val="center"/>
              <w:ind w:right="20"/>
              <w:spacing w:after="0"/>
              <w:rPr>
                <w:sz w:val="20"/>
                <w:szCs w:val="20"/>
                <w:color w:val="auto"/>
              </w:rPr>
            </w:pPr>
            <w:r>
              <w:rPr>
                <w:rFonts w:ascii="Arial" w:cs="Arial" w:eastAsia="Arial" w:hAnsi="Arial"/>
                <w:sz w:val="17"/>
                <w:szCs w:val="17"/>
                <w:color w:val="auto"/>
                <w:w w:val="90"/>
              </w:rPr>
              <w:t>Richard Booth</w:t>
            </w:r>
          </w:p>
        </w:tc>
        <w:tc>
          <w:tcPr>
            <w:tcW w:w="4660" w:type="dxa"/>
            <w:vAlign w:val="bottom"/>
            <w:gridSpan w:val="3"/>
          </w:tcPr>
          <w:p>
            <w:pPr>
              <w:jc w:val="center"/>
              <w:ind w:left="1616"/>
              <w:spacing w:after="0"/>
              <w:rPr>
                <w:sz w:val="20"/>
                <w:szCs w:val="20"/>
                <w:color w:val="auto"/>
              </w:rPr>
            </w:pPr>
            <w:r>
              <w:rPr>
                <w:rFonts w:ascii="Arial" w:cs="Arial" w:eastAsia="Arial" w:hAnsi="Arial"/>
                <w:sz w:val="17"/>
                <w:szCs w:val="17"/>
                <w:color w:val="auto"/>
                <w:w w:val="93"/>
              </w:rPr>
              <w:t>Officer and Principal Accounting Officer)</w:t>
            </w:r>
          </w:p>
        </w:tc>
      </w:tr>
      <w:tr>
        <w:trPr>
          <w:trHeight w:val="406"/>
        </w:trPr>
        <w:tc>
          <w:tcPr>
            <w:tcW w:w="4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0"/>
              </w:rPr>
              <w:t>/s/ Jill Larsen</w:t>
            </w:r>
          </w:p>
        </w:tc>
        <w:tc>
          <w:tcPr>
            <w:tcW w:w="4660" w:type="dxa"/>
            <w:vAlign w:val="bottom"/>
            <w:gridSpan w:val="3"/>
          </w:tcPr>
          <w:p>
            <w:pPr>
              <w:jc w:val="center"/>
              <w:ind w:left="1616"/>
              <w:spacing w:after="0"/>
              <w:rPr>
                <w:sz w:val="20"/>
                <w:szCs w:val="20"/>
                <w:color w:val="auto"/>
              </w:rPr>
            </w:pPr>
            <w:r>
              <w:rPr>
                <w:rFonts w:ascii="Arial" w:cs="Arial" w:eastAsia="Arial" w:hAnsi="Arial"/>
                <w:sz w:val="17"/>
                <w:szCs w:val="17"/>
                <w:color w:val="auto"/>
                <w:w w:val="94"/>
              </w:rPr>
              <w:t>Director</w:t>
            </w:r>
          </w:p>
        </w:tc>
      </w:tr>
      <w:tr>
        <w:trPr>
          <w:trHeight w:val="208"/>
        </w:trPr>
        <w:tc>
          <w:tcPr>
            <w:tcW w:w="416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Jill Larsen</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06"/>
        </w:trPr>
        <w:tc>
          <w:tcPr>
            <w:tcW w:w="4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4"/>
              </w:rPr>
              <w:t>/s/ Chris Mitchell</w:t>
            </w:r>
          </w:p>
        </w:tc>
        <w:tc>
          <w:tcPr>
            <w:tcW w:w="4660" w:type="dxa"/>
            <w:vAlign w:val="bottom"/>
            <w:gridSpan w:val="3"/>
          </w:tcPr>
          <w:p>
            <w:pPr>
              <w:jc w:val="center"/>
              <w:ind w:left="1616"/>
              <w:spacing w:after="0"/>
              <w:rPr>
                <w:sz w:val="20"/>
                <w:szCs w:val="20"/>
                <w:color w:val="auto"/>
              </w:rPr>
            </w:pPr>
            <w:r>
              <w:rPr>
                <w:rFonts w:ascii="Arial" w:cs="Arial" w:eastAsia="Arial" w:hAnsi="Arial"/>
                <w:sz w:val="17"/>
                <w:szCs w:val="17"/>
                <w:color w:val="auto"/>
                <w:w w:val="94"/>
              </w:rPr>
              <w:t>Director</w:t>
            </w:r>
          </w:p>
        </w:tc>
      </w:tr>
      <w:tr>
        <w:trPr>
          <w:trHeight w:val="208"/>
        </w:trPr>
        <w:tc>
          <w:tcPr>
            <w:tcW w:w="4160" w:type="dxa"/>
            <w:vAlign w:val="bottom"/>
            <w:gridSpan w:val="3"/>
          </w:tcPr>
          <w:p>
            <w:pPr>
              <w:jc w:val="center"/>
              <w:ind w:right="20"/>
              <w:spacing w:after="0"/>
              <w:rPr>
                <w:sz w:val="20"/>
                <w:szCs w:val="20"/>
                <w:color w:val="auto"/>
              </w:rPr>
            </w:pPr>
            <w:r>
              <w:rPr>
                <w:rFonts w:ascii="Arial" w:cs="Arial" w:eastAsia="Arial" w:hAnsi="Arial"/>
                <w:sz w:val="17"/>
                <w:szCs w:val="17"/>
                <w:color w:val="auto"/>
                <w:w w:val="96"/>
              </w:rPr>
              <w:t>Chris Mitchell</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06"/>
        </w:trPr>
        <w:tc>
          <w:tcPr>
            <w:tcW w:w="4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0"/>
              </w:rPr>
              <w:t>/s/ Jeff Haywood</w:t>
            </w:r>
          </w:p>
        </w:tc>
        <w:tc>
          <w:tcPr>
            <w:tcW w:w="4660" w:type="dxa"/>
            <w:vAlign w:val="bottom"/>
            <w:gridSpan w:val="3"/>
          </w:tcPr>
          <w:p>
            <w:pPr>
              <w:jc w:val="center"/>
              <w:ind w:left="1616"/>
              <w:spacing w:after="0"/>
              <w:rPr>
                <w:sz w:val="20"/>
                <w:szCs w:val="20"/>
                <w:color w:val="auto"/>
              </w:rPr>
            </w:pPr>
            <w:r>
              <w:rPr>
                <w:rFonts w:ascii="Arial" w:cs="Arial" w:eastAsia="Arial" w:hAnsi="Arial"/>
                <w:sz w:val="17"/>
                <w:szCs w:val="17"/>
                <w:color w:val="auto"/>
                <w:w w:val="94"/>
              </w:rPr>
              <w:t>Director</w:t>
            </w:r>
          </w:p>
        </w:tc>
      </w:tr>
      <w:tr>
        <w:trPr>
          <w:trHeight w:val="208"/>
        </w:trPr>
        <w:tc>
          <w:tcPr>
            <w:tcW w:w="416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Jeff Haywood</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06"/>
        </w:trPr>
        <w:tc>
          <w:tcPr>
            <w:tcW w:w="41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9"/>
              </w:rPr>
              <w:t>/s/ Lauren Young</w:t>
            </w:r>
          </w:p>
        </w:tc>
        <w:tc>
          <w:tcPr>
            <w:tcW w:w="4660" w:type="dxa"/>
            <w:vAlign w:val="bottom"/>
            <w:gridSpan w:val="3"/>
          </w:tcPr>
          <w:p>
            <w:pPr>
              <w:jc w:val="center"/>
              <w:ind w:left="1616"/>
              <w:spacing w:after="0"/>
              <w:rPr>
                <w:sz w:val="20"/>
                <w:szCs w:val="20"/>
                <w:color w:val="auto"/>
              </w:rPr>
            </w:pPr>
            <w:r>
              <w:rPr>
                <w:rFonts w:ascii="Arial" w:cs="Arial" w:eastAsia="Arial" w:hAnsi="Arial"/>
                <w:sz w:val="17"/>
                <w:szCs w:val="17"/>
                <w:color w:val="auto"/>
                <w:w w:val="94"/>
              </w:rPr>
              <w:t>Director</w:t>
            </w:r>
          </w:p>
        </w:tc>
      </w:tr>
      <w:tr>
        <w:trPr>
          <w:trHeight w:val="208"/>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89"/>
              </w:rPr>
              <w:t>Lauren Young</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06"/>
        </w:trPr>
        <w:tc>
          <w:tcPr>
            <w:tcW w:w="41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9"/>
              </w:rPr>
              <w:t>/s/ Chris Egan</w:t>
            </w:r>
          </w:p>
        </w:tc>
        <w:tc>
          <w:tcPr>
            <w:tcW w:w="4660" w:type="dxa"/>
            <w:vAlign w:val="bottom"/>
            <w:gridSpan w:val="3"/>
          </w:tcPr>
          <w:p>
            <w:pPr>
              <w:jc w:val="center"/>
              <w:ind w:left="1616"/>
              <w:spacing w:after="0"/>
              <w:rPr>
                <w:sz w:val="20"/>
                <w:szCs w:val="20"/>
                <w:color w:val="auto"/>
              </w:rPr>
            </w:pPr>
            <w:r>
              <w:rPr>
                <w:rFonts w:ascii="Arial" w:cs="Arial" w:eastAsia="Arial" w:hAnsi="Arial"/>
                <w:sz w:val="17"/>
                <w:szCs w:val="17"/>
                <w:color w:val="auto"/>
                <w:w w:val="94"/>
              </w:rPr>
              <w:t>Director</w:t>
            </w:r>
          </w:p>
        </w:tc>
      </w:tr>
      <w:tr>
        <w:trPr>
          <w:trHeight w:val="208"/>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90"/>
              </w:rPr>
              <w:t>Chris Egan</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ectPr>
          <w:pgSz w:w="11900" w:h="16838" w:orient="portrait"/>
          <w:cols w:equalWidth="0" w:num="1">
            <w:col w:w="10760"/>
          </w:cols>
          <w:pgMar w:left="320" w:top="465" w:right="81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6">
                      <a:extLst>
                        <a:ext uri="{28A0092B-C50C-407E-A947-70E740481C1C}"/>
                      </a:extLst>
                    </a:blip>
                    <a:srcRect/>
                    <a:stretch>
                      <a:fillRect/>
                    </a:stretch>
                  </pic:blipFill>
                  <pic:spPr bwMode="auto">
                    <a:xfrm>
                      <a:off x="0" y="0"/>
                      <a:ext cx="7182485" cy="527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1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3040" w:type="dxa"/>
            <w:vAlign w:val="bottom"/>
          </w:tcPr>
          <w:p>
            <w:pPr>
              <w:spacing w:after="0"/>
              <w:rPr>
                <w:sz w:val="14"/>
                <w:szCs w:val="14"/>
                <w:color w:val="auto"/>
              </w:rPr>
            </w:pPr>
          </w:p>
        </w:tc>
        <w:tc>
          <w:tcPr>
            <w:tcW w:w="4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Title</w:t>
            </w: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4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2"/>
              </w:rPr>
              <w:t>/s/ D. Randall Winn</w:t>
            </w:r>
          </w:p>
        </w:tc>
        <w:tc>
          <w:tcPr>
            <w:tcW w:w="3460" w:type="dxa"/>
            <w:vAlign w:val="bottom"/>
            <w:gridSpan w:val="3"/>
          </w:tcPr>
          <w:p>
            <w:pPr>
              <w:jc w:val="center"/>
              <w:ind w:left="2816"/>
              <w:spacing w:after="0"/>
              <w:rPr>
                <w:sz w:val="20"/>
                <w:szCs w:val="20"/>
                <w:color w:val="auto"/>
              </w:rPr>
            </w:pPr>
            <w:r>
              <w:rPr>
                <w:rFonts w:ascii="Arial" w:cs="Arial" w:eastAsia="Arial" w:hAnsi="Arial"/>
                <w:sz w:val="17"/>
                <w:szCs w:val="17"/>
                <w:color w:val="auto"/>
                <w:w w:val="94"/>
              </w:rPr>
              <w:t>Director</w:t>
            </w:r>
          </w:p>
        </w:tc>
      </w:tr>
      <w:tr>
        <w:trPr>
          <w:trHeight w:val="208"/>
        </w:trPr>
        <w:tc>
          <w:tcPr>
            <w:tcW w:w="416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D. Randall Winn</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6"/>
        </w:trPr>
        <w:tc>
          <w:tcPr>
            <w:tcW w:w="4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0"/>
              </w:rPr>
              <w:t>/s/ Samuel Allen Hamood</w:t>
            </w:r>
          </w:p>
        </w:tc>
        <w:tc>
          <w:tcPr>
            <w:tcW w:w="3460" w:type="dxa"/>
            <w:vAlign w:val="bottom"/>
            <w:gridSpan w:val="3"/>
          </w:tcPr>
          <w:p>
            <w:pPr>
              <w:jc w:val="center"/>
              <w:ind w:left="2816"/>
              <w:spacing w:after="0"/>
              <w:rPr>
                <w:sz w:val="20"/>
                <w:szCs w:val="20"/>
                <w:color w:val="auto"/>
              </w:rPr>
            </w:pPr>
            <w:r>
              <w:rPr>
                <w:rFonts w:ascii="Arial" w:cs="Arial" w:eastAsia="Arial" w:hAnsi="Arial"/>
                <w:sz w:val="17"/>
                <w:szCs w:val="17"/>
                <w:color w:val="auto"/>
                <w:w w:val="94"/>
              </w:rPr>
              <w:t>Director</w:t>
            </w:r>
          </w:p>
        </w:tc>
      </w:tr>
      <w:tr>
        <w:trPr>
          <w:trHeight w:val="208"/>
        </w:trPr>
        <w:tc>
          <w:tcPr>
            <w:tcW w:w="416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Samuel Allen Hamood</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6"/>
        </w:trPr>
        <w:tc>
          <w:tcPr>
            <w:tcW w:w="4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1"/>
              </w:rPr>
              <w:t>/s/ Kathleen A. Winters</w:t>
            </w:r>
          </w:p>
        </w:tc>
        <w:tc>
          <w:tcPr>
            <w:tcW w:w="3460" w:type="dxa"/>
            <w:vAlign w:val="bottom"/>
            <w:gridSpan w:val="3"/>
          </w:tcPr>
          <w:p>
            <w:pPr>
              <w:jc w:val="center"/>
              <w:ind w:left="2816"/>
              <w:spacing w:after="0"/>
              <w:rPr>
                <w:sz w:val="20"/>
                <w:szCs w:val="20"/>
                <w:color w:val="auto"/>
              </w:rPr>
            </w:pPr>
            <w:r>
              <w:rPr>
                <w:rFonts w:ascii="Arial" w:cs="Arial" w:eastAsia="Arial" w:hAnsi="Arial"/>
                <w:sz w:val="17"/>
                <w:szCs w:val="17"/>
                <w:color w:val="auto"/>
                <w:w w:val="94"/>
              </w:rPr>
              <w:t>Director</w:t>
            </w:r>
          </w:p>
        </w:tc>
      </w:tr>
      <w:tr>
        <w:trPr>
          <w:trHeight w:val="208"/>
        </w:trPr>
        <w:tc>
          <w:tcPr>
            <w:tcW w:w="416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Kathleen A. Winters</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ectPr>
          <w:pgSz w:w="11900" w:h="16838" w:orient="portrait"/>
          <w:cols w:equalWidth="0" w:num="1">
            <w:col w:w="10139"/>
          </w:cols>
          <w:pgMar w:left="320" w:top="465" w:right="1440" w:bottom="1440" w:gutter="0" w:footer="0" w:header="0"/>
        </w:sectPr>
      </w:pPr>
    </w:p>
    <w:bookmarkStart w:id="290" w:name="page291"/>
    <w:bookmarkEnd w:id="290"/>
    <w:p>
      <w:pPr>
        <w:jc w:val="right"/>
        <w:spacing w:after="0"/>
        <w:rPr>
          <w:sz w:val="20"/>
          <w:szCs w:val="20"/>
          <w:color w:val="auto"/>
        </w:rPr>
      </w:pPr>
      <w:r>
        <w:rPr>
          <w:rFonts w:ascii="Arial" w:cs="Arial" w:eastAsia="Arial" w:hAnsi="Arial"/>
          <w:sz w:val="17"/>
          <w:szCs w:val="17"/>
          <w:b w:val="1"/>
          <w:bCs w:val="1"/>
          <w:color w:val="auto"/>
        </w:rPr>
        <w:t>Exhibit 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Definitive Healthcare Corp.</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11,000,000 Shares of Class A Common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Underwriting Agreement</w:t>
      </w:r>
    </w:p>
    <w:p>
      <w:pPr>
        <w:spacing w:after="0" w:line="210"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 2021</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Barclays Capital Inc.</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Representatives of the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several Underwriters listed</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Schedule 1 hereto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 Goldman Sachs &amp; Co. LLC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200 West Street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10282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 J.P. Morgan Securities LLC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383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10179</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1585 Broadway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10036</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 Barclays Capital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745 Seventh Avenue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10019</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0" w:lineRule="exact"/>
        <w:rPr>
          <w:sz w:val="20"/>
          <w:szCs w:val="20"/>
          <w:color w:val="auto"/>
        </w:rPr>
      </w:pPr>
    </w:p>
    <w:p>
      <w:pPr>
        <w:ind w:right="120" w:firstLine="413"/>
        <w:spacing w:after="0" w:line="270" w:lineRule="auto"/>
        <w:rPr>
          <w:sz w:val="20"/>
          <w:szCs w:val="20"/>
          <w:color w:val="auto"/>
        </w:rPr>
      </w:pPr>
      <w:r>
        <w:rPr>
          <w:rFonts w:ascii="Arial" w:cs="Arial" w:eastAsia="Arial" w:hAnsi="Arial"/>
          <w:sz w:val="16"/>
          <w:szCs w:val="16"/>
          <w:color w:val="auto"/>
        </w:rPr>
        <w:t>Definitive Healthcare Corp., a Delaware corporation (the “Company”), proposes to issue and sell to the several underwriters listed in Schedule 1 hereto (the “Underwriters”), for whom you are acting as representatives (the “Representatives”), an aggregate of 11,000,000 shares of Class A common stock, par value $0.001 per share (“Class A Common Stock”), of the Company (the “Underwritten Shares”). The Class A Common Stock and the Class B common stock, par value $0.001, of the Company are collectively referred to herein as the “Common Stock.” In addition, the Company proposes to issue and sell, at the option of the Underwriters, up to an additional 1,650,000 shares of Class A Common Stock of the Company (the “Option Shares”). The Underwritten Shares and the Option Shares are herein referred to as the “Shares.” The shares of Class A Common Stock of the Company to be outstanding after giving effect to the sale of the Shares are referred to herein as the “Stock.”</w:t>
      </w:r>
    </w:p>
    <w:p>
      <w:pPr>
        <w:sectPr>
          <w:pgSz w:w="11900" w:h="16838" w:orient="portrait"/>
          <w:cols w:equalWidth="0" w:num="1">
            <w:col w:w="10340"/>
          </w:cols>
          <w:pgMar w:left="780" w:top="123" w:right="779" w:bottom="1440" w:gutter="0" w:footer="0" w:header="0"/>
        </w:sectPr>
      </w:pPr>
    </w:p>
    <w:bookmarkStart w:id="291" w:name="page292"/>
    <w:bookmarkEnd w:id="291"/>
    <w:p>
      <w:pPr>
        <w:ind w:right="340" w:firstLine="4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For the avoidance of doubt, it shall be understood and agreed that any and all references in this underwriting agreement (this “Agreement”) to “subsidiaries” of the Company shall be deemed to include AIDH TopCo, LLC, a Delaware limited liability company (“Definitive OpCo”), and its subsidiaries. The Company and Definitive OpCo are collectively referred to herein as the “Definitive Parties.”</w:t>
      </w:r>
    </w:p>
    <w:p>
      <w:pPr>
        <w:spacing w:after="0" w:line="56" w:lineRule="exact"/>
        <w:rPr>
          <w:sz w:val="20"/>
          <w:szCs w:val="20"/>
          <w:color w:val="auto"/>
        </w:rPr>
      </w:pPr>
    </w:p>
    <w:p>
      <w:pPr>
        <w:ind w:firstLine="410"/>
        <w:spacing w:after="0" w:line="287" w:lineRule="auto"/>
        <w:tabs>
          <w:tab w:leader="none" w:pos="582" w:val="left"/>
        </w:tabs>
        <w:numPr>
          <w:ilvl w:val="0"/>
          <w:numId w:val="223"/>
        </w:numPr>
        <w:rPr>
          <w:rFonts w:ascii="Arial" w:cs="Arial" w:eastAsia="Arial" w:hAnsi="Arial"/>
          <w:sz w:val="15"/>
          <w:szCs w:val="15"/>
          <w:color w:val="auto"/>
        </w:rPr>
      </w:pPr>
      <w:r>
        <w:rPr>
          <w:rFonts w:ascii="Arial" w:cs="Arial" w:eastAsia="Arial" w:hAnsi="Arial"/>
          <w:sz w:val="15"/>
          <w:szCs w:val="15"/>
          <w:u w:val="single" w:color="auto"/>
          <w:color w:val="auto"/>
        </w:rPr>
        <w:t>Registration Statement</w:t>
      </w:r>
      <w:r>
        <w:rPr>
          <w:rFonts w:ascii="Arial" w:cs="Arial" w:eastAsia="Arial" w:hAnsi="Arial"/>
          <w:sz w:val="15"/>
          <w:szCs w:val="15"/>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59" w:lineRule="exact"/>
        <w:rPr>
          <w:sz w:val="20"/>
          <w:szCs w:val="20"/>
          <w:color w:val="auto"/>
        </w:rPr>
      </w:pPr>
    </w:p>
    <w:p>
      <w:pPr>
        <w:ind w:right="100" w:firstLine="413"/>
        <w:spacing w:after="0" w:line="311" w:lineRule="auto"/>
        <w:rPr>
          <w:sz w:val="20"/>
          <w:szCs w:val="20"/>
          <w:color w:val="auto"/>
        </w:rPr>
      </w:pPr>
      <w:r>
        <w:rPr>
          <w:rFonts w:ascii="Arial" w:cs="Arial" w:eastAsia="Arial" w:hAnsi="Arial"/>
          <w:sz w:val="15"/>
          <w:szCs w:val="15"/>
          <w:color w:val="auto"/>
        </w:rPr>
        <w:t>At or prior to the Applicable Time (as defined below), the Company had prepared the following information (collectively, with the pricing information set forth on Annex A, the “Pricing Disclosure Package”): a Preliminary Prospectus dated [•], 2021, as updated by a Preliminary Prospectus dated [•], 2021, and each “free-writing prospectus” (as defined pursuant to Rule 405 under the Securities Act) listed on Annex A hereto.</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“Applicable Time” means [•] [A/P].M., New York City time, on [•], 2021.</w:t>
      </w:r>
    </w:p>
    <w:p>
      <w:pPr>
        <w:spacing w:after="0" w:line="108" w:lineRule="exact"/>
        <w:rPr>
          <w:sz w:val="20"/>
          <w:szCs w:val="20"/>
          <w:color w:val="auto"/>
        </w:rPr>
      </w:pPr>
    </w:p>
    <w:p>
      <w:pPr>
        <w:ind w:right="140" w:firstLine="410"/>
        <w:spacing w:after="0" w:line="256" w:lineRule="auto"/>
        <w:tabs>
          <w:tab w:leader="none" w:pos="582"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Purchase of the Shares</w:t>
      </w:r>
      <w:r>
        <w:rPr>
          <w:rFonts w:ascii="Arial" w:cs="Arial" w:eastAsia="Arial" w:hAnsi="Arial"/>
          <w:sz w:val="17"/>
          <w:szCs w:val="17"/>
          <w:color w:val="auto"/>
        </w:rPr>
        <w:t>. (a) 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320"/>
          </w:cols>
          <w:pgMar w:left="780" w:top="267" w:right="799" w:bottom="1440" w:gutter="0" w:footer="0" w:header="0"/>
        </w:sectPr>
      </w:pPr>
    </w:p>
    <w:bookmarkStart w:id="292" w:name="page293"/>
    <w:bookmarkEnd w:id="292"/>
    <w:p>
      <w:pPr>
        <w:ind w:right="40" w:firstLine="413"/>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Company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the Company.</w:t>
      </w:r>
    </w:p>
    <w:p>
      <w:pPr>
        <w:spacing w:after="0" w:line="174" w:lineRule="exact"/>
        <w:rPr>
          <w:sz w:val="20"/>
          <w:szCs w:val="20"/>
          <w:color w:val="auto"/>
        </w:rPr>
      </w:pPr>
    </w:p>
    <w:p>
      <w:pPr>
        <w:ind w:firstLine="413"/>
        <w:spacing w:after="0" w:line="293" w:lineRule="auto"/>
        <w:rPr>
          <w:sz w:val="20"/>
          <w:szCs w:val="20"/>
          <w:color w:val="auto"/>
        </w:rPr>
      </w:pPr>
      <w:r>
        <w:rPr>
          <w:rFonts w:ascii="Arial" w:cs="Arial" w:eastAsia="Arial" w:hAnsi="Arial"/>
          <w:sz w:val="15"/>
          <w:szCs w:val="15"/>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54" w:lineRule="exact"/>
        <w:rPr>
          <w:sz w:val="20"/>
          <w:szCs w:val="20"/>
          <w:color w:val="auto"/>
        </w:rPr>
      </w:pPr>
    </w:p>
    <w:p>
      <w:pPr>
        <w:ind w:right="160" w:firstLine="410"/>
        <w:spacing w:after="0" w:line="260" w:lineRule="auto"/>
        <w:tabs>
          <w:tab w:leader="none" w:pos="652"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Definitive Parties understand that the Underwriters intend to make a public offering of the Shares, and initially to offer the Shares on the terms set forth in the Pricing Disclosure Package. The Definitive Parties acknowledge and agree that the Underwriters may offer and sell Shares to or through any affiliate of an Underwriter.</w:t>
      </w:r>
    </w:p>
    <w:p>
      <w:pPr>
        <w:spacing w:after="0" w:line="73" w:lineRule="exact"/>
        <w:rPr>
          <w:rFonts w:ascii="Arial" w:cs="Arial" w:eastAsia="Arial" w:hAnsi="Arial"/>
          <w:sz w:val="17"/>
          <w:szCs w:val="17"/>
          <w:color w:val="auto"/>
        </w:rPr>
      </w:pPr>
    </w:p>
    <w:p>
      <w:pPr>
        <w:ind w:firstLine="410"/>
        <w:spacing w:after="0" w:line="270" w:lineRule="auto"/>
        <w:tabs>
          <w:tab w:leader="none" w:pos="64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Payment for the Shares shall be made by wire transfer in immediately available funds to the accounts specified by the Definitive Parties to the Representatives in the case of the Underwritten Shares, at the offices of Latham &amp; Watkins LLP, 330 North Wabash Avenue, Suite 2800, Chicago, Illinois 60611 at 10:00 A.M., New York City time, on [•], 2021, or at such other time or place on the same or such other date, not later than the fifth business day thereafter, as the Representatives, the Definitive Parties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72" w:lineRule="exact"/>
        <w:rPr>
          <w:sz w:val="20"/>
          <w:szCs w:val="20"/>
          <w:color w:val="auto"/>
        </w:rPr>
      </w:pPr>
    </w:p>
    <w:p>
      <w:pPr>
        <w:ind w:right="20" w:firstLine="413"/>
        <w:spacing w:after="0" w:line="256" w:lineRule="auto"/>
        <w:rPr>
          <w:sz w:val="20"/>
          <w:szCs w:val="20"/>
          <w:color w:val="auto"/>
        </w:rPr>
      </w:pPr>
      <w:r>
        <w:rPr>
          <w:rFonts w:ascii="Arial" w:cs="Arial" w:eastAsia="Arial" w:hAnsi="Arial"/>
          <w:sz w:val="17"/>
          <w:szCs w:val="17"/>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Definitive Parties. Delivery of the Shares shall be made through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320"/>
          </w:cols>
          <w:pgMar w:left="780" w:top="267" w:right="799" w:bottom="1440" w:gutter="0" w:footer="0" w:header="0"/>
        </w:sectPr>
      </w:pPr>
    </w:p>
    <w:bookmarkStart w:id="293" w:name="page294"/>
    <w:bookmarkEnd w:id="293"/>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the facilities of The Depository Trust Company (“DTC”) unless the Representatives shall otherwise instruct. The certificates for the Shares will be made available for inspection and packaging by the Representatives at the office of DTC or its designated custodian not later than 1:00 P.M., New York City time, on the business day prior to the Closing Date or the Additional Closing Date, as the case may be.</w:t>
      </w:r>
    </w:p>
    <w:p>
      <w:pPr>
        <w:spacing w:after="0" w:line="56" w:lineRule="exact"/>
        <w:rPr>
          <w:sz w:val="20"/>
          <w:szCs w:val="20"/>
          <w:color w:val="auto"/>
        </w:rPr>
      </w:pPr>
    </w:p>
    <w:p>
      <w:pPr>
        <w:ind w:right="100" w:firstLine="410"/>
        <w:spacing w:after="0" w:line="289" w:lineRule="auto"/>
        <w:tabs>
          <w:tab w:leader="none" w:pos="652" w:val="left"/>
        </w:tabs>
        <w:numPr>
          <w:ilvl w:val="0"/>
          <w:numId w:val="226"/>
        </w:numPr>
        <w:rPr>
          <w:rFonts w:ascii="Arial" w:cs="Arial" w:eastAsia="Arial" w:hAnsi="Arial"/>
          <w:sz w:val="15"/>
          <w:szCs w:val="15"/>
          <w:color w:val="auto"/>
        </w:rPr>
      </w:pPr>
      <w:r>
        <w:rPr>
          <w:rFonts w:ascii="Arial" w:cs="Arial" w:eastAsia="Arial" w:hAnsi="Arial"/>
          <w:sz w:val="15"/>
          <w:szCs w:val="15"/>
          <w:color w:val="auto"/>
        </w:rPr>
        <w:t>Each Definitive Party acknowledges and agrees that the Representatives and the other Underwriters are acting solely in the capacity of an arm’s length contractual counterparty to the Definitive Parties with respect to the offering of Shares contemplated hereby (including in connection with determining the terms of the offering) and not as a financial advisor or a fiduciary to, or an agent of, the Definitive Parties or any other person. Additionally, neither of the Representatives nor any other Underwriter is advising the Definitive Parties or any other person as to any legal, tax, investment, accounting or regulatory matters in any jurisdiction. The Definitive Parties shall consult with their own advisors concerning such matters and shall be responsible for making its own independent investigation and appraisal of the transactions contemplated hereby, and neither the Representatives nor any other Underwriter shall have any responsibility or liability to the Definitive Parties with respect thereto. Any review by the Representatives and the other Underwriters of the Definitive Parties, the transactions contemplated hereby or other matters relating to such transactions will be performed solely for the benefit of the Representatives and the other Underwriters and shall not be on behalf of the Definitive Parties.</w:t>
      </w:r>
    </w:p>
    <w:p>
      <w:pPr>
        <w:spacing w:after="0" w:line="56" w:lineRule="exact"/>
        <w:rPr>
          <w:sz w:val="20"/>
          <w:szCs w:val="20"/>
          <w:color w:val="auto"/>
        </w:rPr>
      </w:pPr>
    </w:p>
    <w:p>
      <w:pPr>
        <w:ind w:right="740" w:firstLine="410"/>
        <w:spacing w:after="0" w:line="272" w:lineRule="auto"/>
        <w:tabs>
          <w:tab w:leader="none" w:pos="582"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Definitive Parties</w:t>
      </w:r>
      <w:r>
        <w:rPr>
          <w:rFonts w:ascii="Arial" w:cs="Arial" w:eastAsia="Arial" w:hAnsi="Arial"/>
          <w:sz w:val="17"/>
          <w:szCs w:val="17"/>
          <w:color w:val="auto"/>
        </w:rPr>
        <w:t>. Each Definitive Party represents and warrants, jointly and severally, to each Underwriter that:</w:t>
      </w:r>
    </w:p>
    <w:p>
      <w:pPr>
        <w:spacing w:after="0" w:line="63" w:lineRule="exact"/>
        <w:rPr>
          <w:sz w:val="20"/>
          <w:szCs w:val="20"/>
          <w:color w:val="auto"/>
        </w:rPr>
      </w:pPr>
    </w:p>
    <w:p>
      <w:pPr>
        <w:ind w:right="40" w:firstLine="410"/>
        <w:spacing w:after="0" w:line="252" w:lineRule="auto"/>
        <w:tabs>
          <w:tab w:leader="none" w:pos="642" w:val="left"/>
        </w:tabs>
        <w:numPr>
          <w:ilvl w:val="0"/>
          <w:numId w:val="228"/>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Definitive Parties make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9(c) hereof.</w:t>
      </w:r>
    </w:p>
    <w:p>
      <w:pPr>
        <w:spacing w:after="0" w:line="80" w:lineRule="exact"/>
        <w:rPr>
          <w:rFonts w:ascii="Arial" w:cs="Arial" w:eastAsia="Arial" w:hAnsi="Arial"/>
          <w:sz w:val="17"/>
          <w:szCs w:val="17"/>
          <w:color w:val="auto"/>
        </w:rPr>
      </w:pPr>
    </w:p>
    <w:p>
      <w:pPr>
        <w:ind w:firstLine="410"/>
        <w:spacing w:after="0" w:line="253" w:lineRule="auto"/>
        <w:tabs>
          <w:tab w:leader="none" w:pos="652" w:val="left"/>
        </w:tabs>
        <w:numPr>
          <w:ilvl w:val="0"/>
          <w:numId w:val="228"/>
        </w:numPr>
        <w:rPr>
          <w:rFonts w:ascii="Arial" w:cs="Arial" w:eastAsia="Arial" w:hAnsi="Arial"/>
          <w:sz w:val="17"/>
          <w:szCs w:val="17"/>
          <w:color w:val="auto"/>
        </w:rPr>
      </w:pPr>
      <w:r>
        <w:rPr>
          <w:rFonts w:ascii="Arial" w:cs="Arial" w:eastAsia="Arial" w:hAnsi="Arial"/>
          <w:sz w:val="17"/>
          <w:szCs w:val="17"/>
          <w:i w:val="1"/>
          <w:iCs w:val="1"/>
          <w:color w:val="auto"/>
        </w:rPr>
        <w:t>Pricing Disclosure Package</w:t>
      </w:r>
      <w:r>
        <w:rPr>
          <w:rFonts w:ascii="Arial" w:cs="Arial" w:eastAsia="Arial" w:hAnsi="Arial"/>
          <w:sz w:val="17"/>
          <w:szCs w:val="17"/>
          <w:color w:val="auto"/>
        </w:rPr>
        <w:t>. The Pricing Disclosure Package as of the Applicable Time did not, and as of the Closing Date and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Definitive Parties make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320"/>
          </w:cols>
          <w:pgMar w:left="780" w:top="266" w:right="799" w:bottom="1440" w:gutter="0" w:footer="0" w:header="0"/>
        </w:sectPr>
      </w:pPr>
    </w:p>
    <w:bookmarkStart w:id="294" w:name="page295"/>
    <w:bookmarkEnd w:id="294"/>
    <w:p>
      <w:pPr>
        <w:ind w:left="3" w:right="40"/>
        <w:spacing w:after="0" w:line="31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being understood and agreed that the only such information furnished by any Underwriter consists of the information described as such in Section 9(c)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39" w:lineRule="exact"/>
        <w:rPr>
          <w:sz w:val="20"/>
          <w:szCs w:val="20"/>
          <w:color w:val="auto"/>
        </w:rPr>
      </w:pPr>
    </w:p>
    <w:p>
      <w:pPr>
        <w:ind w:left="3" w:firstLine="410"/>
        <w:spacing w:after="0" w:line="285" w:lineRule="auto"/>
        <w:tabs>
          <w:tab w:leader="none" w:pos="645" w:val="left"/>
        </w:tabs>
        <w:numPr>
          <w:ilvl w:val="1"/>
          <w:numId w:val="229"/>
        </w:numPr>
        <w:rPr>
          <w:rFonts w:ascii="Arial" w:cs="Arial" w:eastAsia="Arial" w:hAnsi="Arial"/>
          <w:sz w:val="15"/>
          <w:szCs w:val="15"/>
          <w:color w:val="auto"/>
        </w:rPr>
      </w:pPr>
      <w:r>
        <w:rPr>
          <w:rFonts w:ascii="Arial" w:cs="Arial" w:eastAsia="Arial" w:hAnsi="Arial"/>
          <w:sz w:val="15"/>
          <w:szCs w:val="15"/>
          <w:i w:val="1"/>
          <w:iCs w:val="1"/>
          <w:color w:val="auto"/>
        </w:rPr>
        <w:t xml:space="preserve">Issuer Free Writing Prospectus. </w:t>
      </w:r>
      <w:r>
        <w:rPr>
          <w:rFonts w:ascii="Arial" w:cs="Arial" w:eastAsia="Arial" w:hAnsi="Arial"/>
          <w:sz w:val="15"/>
          <w:szCs w:val="15"/>
          <w:color w:val="auto"/>
        </w:rPr>
        <w:t>Other than the Registration Statement, the Preliminary Prospectus and the Prospectus, neither of the Definitive</w:t>
      </w:r>
      <w:r>
        <w:rPr>
          <w:rFonts w:ascii="Arial" w:cs="Arial" w:eastAsia="Arial" w:hAnsi="Arial"/>
          <w:sz w:val="15"/>
          <w:szCs w:val="15"/>
          <w:i w:val="1"/>
          <w:iCs w:val="1"/>
          <w:color w:val="auto"/>
        </w:rPr>
        <w:t xml:space="preserve"> </w:t>
      </w:r>
      <w:r>
        <w:rPr>
          <w:rFonts w:ascii="Arial" w:cs="Arial" w:eastAsia="Arial" w:hAnsi="Arial"/>
          <w:sz w:val="15"/>
          <w:szCs w:val="15"/>
          <w:color w:val="auto"/>
        </w:rPr>
        <w:t>Parties (including their respective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any Definitive Party or any of its agents or representatives (other than a communication referred to in clause (i) below) an “Issuer Free Writing Prospectus”) other than</w:t>
      </w:r>
    </w:p>
    <w:p>
      <w:pPr>
        <w:ind w:left="3" w:right="20" w:hanging="3"/>
        <w:spacing w:after="0" w:line="285" w:lineRule="auto"/>
        <w:tabs>
          <w:tab w:leader="none" w:pos="204" w:val="left"/>
        </w:tabs>
        <w:numPr>
          <w:ilvl w:val="0"/>
          <w:numId w:val="230"/>
        </w:numPr>
        <w:rPr>
          <w:rFonts w:ascii="Arial" w:cs="Arial" w:eastAsia="Arial" w:hAnsi="Arial"/>
          <w:sz w:val="15"/>
          <w:szCs w:val="15"/>
          <w:color w:val="auto"/>
        </w:rPr>
      </w:pPr>
      <w:r>
        <w:rPr>
          <w:rFonts w:ascii="Arial" w:cs="Arial" w:eastAsia="Arial" w:hAnsi="Arial"/>
          <w:sz w:val="15"/>
          <w:szCs w:val="15"/>
          <w:color w:val="auto"/>
        </w:rPr>
        <w:t xml:space="preserve">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Definitive Parties make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9(c) hereof.</w:t>
      </w:r>
    </w:p>
    <w:p>
      <w:pPr>
        <w:spacing w:after="0" w:line="63" w:lineRule="exact"/>
        <w:rPr>
          <w:rFonts w:ascii="Arial" w:cs="Arial" w:eastAsia="Arial" w:hAnsi="Arial"/>
          <w:sz w:val="15"/>
          <w:szCs w:val="15"/>
          <w:color w:val="auto"/>
        </w:rPr>
      </w:pPr>
    </w:p>
    <w:p>
      <w:pPr>
        <w:ind w:left="3" w:right="300" w:firstLine="410"/>
        <w:spacing w:after="0" w:line="260" w:lineRule="auto"/>
        <w:tabs>
          <w:tab w:leader="none" w:pos="655" w:val="left"/>
        </w:tabs>
        <w:numPr>
          <w:ilvl w:val="1"/>
          <w:numId w:val="230"/>
        </w:numPr>
        <w:rPr>
          <w:rFonts w:ascii="Arial" w:cs="Arial" w:eastAsia="Arial" w:hAnsi="Arial"/>
          <w:sz w:val="17"/>
          <w:szCs w:val="17"/>
          <w:color w:val="auto"/>
        </w:rPr>
      </w:pPr>
      <w:r>
        <w:rPr>
          <w:rFonts w:ascii="Arial" w:cs="Arial" w:eastAsia="Arial" w:hAnsi="Arial"/>
          <w:sz w:val="17"/>
          <w:szCs w:val="17"/>
          <w:i w:val="1"/>
          <w:iCs w:val="1"/>
          <w:color w:val="auto"/>
        </w:rPr>
        <w:t>Emerging Growth Company</w:t>
      </w:r>
      <w:r>
        <w:rPr>
          <w:rFonts w:ascii="Arial" w:cs="Arial" w:eastAsia="Arial" w:hAnsi="Arial"/>
          <w:sz w:val="17"/>
          <w:szCs w:val="17"/>
          <w:color w:val="auto"/>
        </w:rPr>
        <w:t>. From the time of initial confidential submission of the Registration Statement to the Commission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hereof, the Company has been and is an “emerging growth company,” as defined in Section 2(a) of the Securities Act (an “Emerging Growth Company”).</w:t>
      </w:r>
    </w:p>
    <w:p>
      <w:pPr>
        <w:spacing w:after="0" w:line="73" w:lineRule="exact"/>
        <w:rPr>
          <w:rFonts w:ascii="Arial" w:cs="Arial" w:eastAsia="Arial" w:hAnsi="Arial"/>
          <w:sz w:val="17"/>
          <w:szCs w:val="17"/>
          <w:color w:val="auto"/>
        </w:rPr>
      </w:pPr>
    </w:p>
    <w:p>
      <w:pPr>
        <w:ind w:left="3" w:right="100" w:firstLine="410"/>
        <w:spacing w:after="0" w:line="303" w:lineRule="auto"/>
        <w:tabs>
          <w:tab w:leader="none" w:pos="645" w:val="left"/>
        </w:tabs>
        <w:numPr>
          <w:ilvl w:val="1"/>
          <w:numId w:val="230"/>
        </w:numPr>
        <w:rPr>
          <w:rFonts w:ascii="Arial" w:cs="Arial" w:eastAsia="Arial" w:hAnsi="Arial"/>
          <w:sz w:val="16"/>
          <w:szCs w:val="16"/>
          <w:color w:val="auto"/>
        </w:rPr>
      </w:pPr>
      <w:r>
        <w:rPr>
          <w:rFonts w:ascii="Arial" w:cs="Arial" w:eastAsia="Arial" w:hAnsi="Arial"/>
          <w:sz w:val="16"/>
          <w:szCs w:val="16"/>
          <w:i w:val="1"/>
          <w:iCs w:val="1"/>
          <w:color w:val="auto"/>
        </w:rPr>
        <w:t xml:space="preserve">Testing-the-Waters Communications. </w:t>
      </w:r>
      <w:r>
        <w:rPr>
          <w:rFonts w:ascii="Arial" w:cs="Arial" w:eastAsia="Arial" w:hAnsi="Arial"/>
          <w:sz w:val="16"/>
          <w:szCs w:val="16"/>
          <w:color w:val="auto"/>
        </w:rPr>
        <w:t>Neither Definitive Party has engaged in, or authorized any other person to engage in, any oral 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 with potential investors undertaken in reliance on either Section 5(d) of, or Rule 163B under, the Securities Act.</w:t>
      </w:r>
    </w:p>
    <w:p>
      <w:pPr>
        <w:spacing w:after="0" w:line="80" w:lineRule="exact"/>
        <w:rPr>
          <w:sz w:val="20"/>
          <w:szCs w:val="20"/>
          <w:color w:val="auto"/>
        </w:rPr>
      </w:pPr>
    </w:p>
    <w:p>
      <w:pPr>
        <w:jc w:val="center"/>
        <w:ind w:right="-42"/>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303"/>
          </w:cols>
          <w:pgMar w:left="777" w:top="266" w:right="819" w:bottom="1440" w:gutter="0" w:footer="0" w:header="0"/>
        </w:sectPr>
      </w:pPr>
    </w:p>
    <w:bookmarkStart w:id="295" w:name="page296"/>
    <w:bookmarkEnd w:id="295"/>
    <w:p>
      <w:pPr>
        <w:ind w:left="-40" w:right="40" w:firstLine="410"/>
        <w:spacing w:after="0" w:line="286" w:lineRule="auto"/>
        <w:tabs>
          <w:tab w:leader="none" w:pos="584" w:val="left"/>
        </w:tabs>
        <w:numPr>
          <w:ilvl w:val="0"/>
          <w:numId w:val="231"/>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 xml:space="preserve">Registration Statement and Prospectus. </w:t>
      </w:r>
      <w:r>
        <w:rPr>
          <w:rFonts w:ascii="Arial" w:cs="Arial" w:eastAsia="Arial" w:hAnsi="Arial"/>
          <w:sz w:val="15"/>
          <w:szCs w:val="15"/>
          <w:color w:val="auto"/>
        </w:rPr>
        <w:t>The Registration Statement has been declared effective by the Commission. No order suspending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effectiveness of the Registration Statement has been issued by the Commission, and no proceeding for that purpose or pursuant to Section 8A of the Securities Act against the Company or related to the offering of the Shares has been initiated or, to the Company’s knowledge,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Definitive Parties make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w:t>
      </w:r>
    </w:p>
    <w:p>
      <w:pPr>
        <w:spacing w:after="0" w:line="63" w:lineRule="exact"/>
        <w:rPr>
          <w:rFonts w:ascii="Arial" w:cs="Arial" w:eastAsia="Arial" w:hAnsi="Arial"/>
          <w:sz w:val="15"/>
          <w:szCs w:val="15"/>
          <w:color w:val="auto"/>
        </w:rPr>
      </w:pPr>
    </w:p>
    <w:p>
      <w:pPr>
        <w:ind w:left="-40" w:firstLine="410"/>
        <w:spacing w:after="0" w:line="266" w:lineRule="auto"/>
        <w:tabs>
          <w:tab w:leader="none" w:pos="612"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(including the related notes thereto) of the Definitive Parties and their consolidated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included in the Registration Statement, the Pricing Disclosure Package and the Prospectus comply in all material respects with the applicable requirements of the Securities Act and present fairly in all material respects the financial position of the Definitive Parties and their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in the case of unaudited financial statements, which are subject to normal year-end adjustments and do not contain certain footnotes as permitted by the applicable rules of the Commission, and any supporting schedules included in the Registration Statement present fairly in all material respects the information required to be stated therein; the other financial information included in the Registration Statement, the Pricing Disclosure Package and the Prospectus has been derived from the accounting records of the Definitive Parties and their consolidated subsidiaries and presents fairly in all material respects the information shown thereby; all disclosures included in the Registration Statement, the Pricing Disclosure Package and the Prospectus regarding “non-GAAP financial measures” (as such term is defined by the rules and regulation of the Commission) comply with Regulation G of the Securities Exchange Act of 1934, as amended (the “Exchange Act”) and Item 10 of Regulation S-K of the Securities Act, to the extent applicable; and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and the related notes thereto included in the Registration Statement, the Pricing Disclosure Package and the Prospectus have been prepared in accordance with the applicable requirements of the Securities Act and the assumptions underlying such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are reasonable and are set forth in the Registration Statement, the Pricing Disclosure Package and the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60"/>
          </w:cols>
          <w:pgMar w:left="820" w:top="266" w:right="819" w:bottom="1440" w:gutter="0" w:footer="0" w:header="0"/>
        </w:sectPr>
      </w:pPr>
    </w:p>
    <w:bookmarkStart w:id="296" w:name="page297"/>
    <w:bookmarkEnd w:id="296"/>
    <w:p>
      <w:pPr>
        <w:ind w:left="-20" w:firstLine="410"/>
        <w:spacing w:after="0" w:line="286" w:lineRule="auto"/>
        <w:tabs>
          <w:tab w:leader="none" w:pos="632" w:val="left"/>
        </w:tabs>
        <w:numPr>
          <w:ilvl w:val="0"/>
          <w:numId w:val="232"/>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 xml:space="preserve">No Material Adverse Change. </w:t>
      </w:r>
      <w:r>
        <w:rPr>
          <w:rFonts w:ascii="Arial" w:cs="Arial" w:eastAsia="Arial" w:hAnsi="Arial"/>
          <w:sz w:val="15"/>
          <w:szCs w:val="15"/>
          <w:color w:val="auto"/>
        </w:rPr>
        <w:t>Since the date of the most recent audited financial statements of the Definitive Parties included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the Pricing Disclosure Package and the Prospectus, (i) there has not been any change in the capital stock (other than (x) pursuant to the Reorganization Transactions and (y)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any Definitive Party or any of their subsidiaries (other than immaterial changes in short or long-term debt in the ordinary course of business), or any dividend or distribution of any kind declared, set aside for payment, paid or made by the any Definitive Party on any class of capital stock, or any material adverse change, or any development involving a prospective material adverse change, in or affecting the business, properties, management, financial position, stockholders’ equity or results of operations of the Company and its subsidiaries taken as a whole; (ii) neither of the Definitive Parties nor any of their respective subsidiaries has entered into any transaction or agreement (whether or not in the ordinary course of business) that is material to the Definitive Parties and their subsidiaries taken as a whole or incurred any liability or obligation, direct or contingent, that is material to the Definitive Parties and their subsidiaries taken as a whole; and (iii) neither of the Definitive Parties nor any of their respective subsidiaries has sustained any loss or interference with its business that is material to the Definitive Parties and their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57" w:lineRule="exact"/>
        <w:rPr>
          <w:rFonts w:ascii="Arial" w:cs="Arial" w:eastAsia="Arial" w:hAnsi="Arial"/>
          <w:sz w:val="15"/>
          <w:szCs w:val="15"/>
          <w:color w:val="auto"/>
        </w:rPr>
      </w:pPr>
    </w:p>
    <w:p>
      <w:pPr>
        <w:ind w:left="-20" w:right="20" w:firstLine="410"/>
        <w:spacing w:after="0" w:line="269" w:lineRule="auto"/>
        <w:tabs>
          <w:tab w:leader="none" w:pos="595" w:val="left"/>
        </w:tabs>
        <w:numPr>
          <w:ilvl w:val="0"/>
          <w:numId w:val="232"/>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Each Definitive Party and each subsidiary thereof has been duly organized and is validly existing and in</w:t>
      </w:r>
      <w:r>
        <w:rPr>
          <w:rFonts w:ascii="Arial" w:cs="Arial" w:eastAsia="Arial" w:hAnsi="Arial"/>
          <w:sz w:val="16"/>
          <w:szCs w:val="16"/>
          <w:i w:val="1"/>
          <w:iCs w:val="1"/>
          <w:color w:val="auto"/>
        </w:rPr>
        <w:t xml:space="preserve"> </w:t>
      </w:r>
      <w:r>
        <w:rPr>
          <w:rFonts w:ascii="Arial" w:cs="Arial" w:eastAsia="Arial" w:hAnsi="Arial"/>
          <w:sz w:val="16"/>
          <w:szCs w:val="16"/>
          <w:color w:val="auto"/>
        </w:rPr>
        <w:t>good standing under the laws of its respective jurisdiction of organization, is duly qualified to do business and is in good standing in each jurisdiction in which its respective lease of property or the conduct of their respective businesses requires such qualification, and has all power and authority necessary to hold its respective properties and to conduct the businesses in which it is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Definitive Parties and their subsidiaries taken as a whole or on the performance by the Definitive Parties of their respective obligations under this Agreement (a “Material Adverse Effect”). Each “significant subsidiary” of the Definitive Parties (as such term is defined in Rule 1-02(w) of Regulation S-X promulgated by the Commission) has been listed in Exhibit 21 to the Registration Statement.</w:t>
      </w:r>
    </w:p>
    <w:p>
      <w:pPr>
        <w:spacing w:after="0" w:line="68" w:lineRule="exact"/>
        <w:rPr>
          <w:rFonts w:ascii="Arial" w:cs="Arial" w:eastAsia="Arial" w:hAnsi="Arial"/>
          <w:sz w:val="16"/>
          <w:szCs w:val="16"/>
          <w:color w:val="auto"/>
        </w:rPr>
      </w:pPr>
    </w:p>
    <w:p>
      <w:pPr>
        <w:ind w:left="-20" w:firstLine="410"/>
        <w:spacing w:after="0" w:line="277" w:lineRule="auto"/>
        <w:tabs>
          <w:tab w:leader="none" w:pos="595" w:val="left"/>
        </w:tabs>
        <w:numPr>
          <w:ilvl w:val="0"/>
          <w:numId w:val="232"/>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Company has an authorized capitalization as set forth in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under the column of the capitalization table entitled “Actual” under the heading “Capitalization” and, after giving effect to the Offering Adjustments (as defined in the Registration Statement, the Pricing Disclosure Package and the Prospectus), the issuance of the Underwritten Shares and the use of the net proceeds therefrom as described in the Registration Statement, the Pricing Disclosure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80"/>
          </w:cols>
          <w:pgMar w:left="800" w:top="266" w:right="819" w:bottom="1440" w:gutter="0" w:footer="0" w:header="0"/>
        </w:sectPr>
      </w:pPr>
    </w:p>
    <w:bookmarkStart w:id="297" w:name="page298"/>
    <w:bookmarkEnd w:id="297"/>
    <w:p>
      <w:pPr>
        <w:ind w:right="40"/>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Package and the Prospectus, the Company would have an authorized capitalization as set forth under the column of the capitalization table entitled “Pro Forma” under the heading “Capitalization”; all the outstanding shares of capital stock of each Definitive Party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any of the Definitive Parties or their subsidiaries, or any contract, commitment, agreement, understanding or arrangement of any kind relating to the issuance of any capital stock of any Definitive Party or any such subsidiary, any such convertible or exchangeable securities or any such rights, warrants or options; the capital stock of the Definitive Parties conforms in all material respects to the description thereof contained in the Registration Statement, the Pricing Disclosure Package and the Prospectus; and all the outstanding shares of capital stock or other equity interests of each subsidiary owned, directly or indirectly, by either of the Definitive Parties have been duly and validly authorized and issued, are fully paid and non-assessable and are owned directly or indirectly by the Definitive Parties, free and clear of any lien, charge, encumbrance, security interest, restriction on voting or transfer or any other claim of any third party.</w:t>
      </w:r>
    </w:p>
    <w:p>
      <w:pPr>
        <w:spacing w:after="0" w:line="77" w:lineRule="exact"/>
        <w:rPr>
          <w:sz w:val="20"/>
          <w:szCs w:val="20"/>
          <w:color w:val="auto"/>
        </w:rPr>
      </w:pPr>
    </w:p>
    <w:p>
      <w:pPr>
        <w:ind w:firstLine="410"/>
        <w:spacing w:after="0" w:line="267" w:lineRule="auto"/>
        <w:tabs>
          <w:tab w:leader="none" w:pos="652"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With respect to the stock options (the “Stock Options”) granted pursuant to the stock-based compensation plans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Definitive Parties and their subsidiaries (the “Company Stock Plans”),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or similar governing body of the applicable Definitive Party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Market (the “Exchange”) and any other exchange on which Company securities are traded, and (iv) each such grant was properly accounted for in accordance with GAAP in the financial statements (including the related notes) of the applicable Definitive Party and disclosed in the Company’s filings with the Commission in accordance with the Exchange Act and all other applicable laws. The Definitive Parties have not knowingly granted, and there is no and has been no policy or practice of any Definitive Party of granting, Stock Options prior to, or otherwise coordinating the grant of Stock Options with, the release or other public announcement of material information regarding the Definitive Parties or their subsidiaries or their results of operations or prospects.</w:t>
      </w:r>
    </w:p>
    <w:p>
      <w:pPr>
        <w:spacing w:after="0" w:line="72" w:lineRule="exact"/>
        <w:rPr>
          <w:rFonts w:ascii="Arial" w:cs="Arial" w:eastAsia="Arial" w:hAnsi="Arial"/>
          <w:sz w:val="16"/>
          <w:szCs w:val="16"/>
          <w:color w:val="auto"/>
        </w:rPr>
      </w:pPr>
    </w:p>
    <w:p>
      <w:pPr>
        <w:ind w:right="200" w:firstLine="410"/>
        <w:spacing w:after="0" w:line="260" w:lineRule="auto"/>
        <w:tabs>
          <w:tab w:leader="none" w:pos="615"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 xml:space="preserve">Due Authorization. </w:t>
      </w:r>
      <w:r>
        <w:rPr>
          <w:rFonts w:ascii="Arial" w:cs="Arial" w:eastAsia="Arial" w:hAnsi="Arial"/>
          <w:sz w:val="17"/>
          <w:szCs w:val="17"/>
          <w:color w:val="auto"/>
        </w:rPr>
        <w:t>Each Definitive Party has full right, power and authority to execute and deliver this Agreement and to perform its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80"/>
          </w:cols>
          <w:pgMar w:left="780" w:top="266" w:right="839" w:bottom="1440" w:gutter="0" w:footer="0" w:header="0"/>
        </w:sectPr>
      </w:pPr>
    </w:p>
    <w:bookmarkStart w:id="298" w:name="page299"/>
    <w:bookmarkEnd w:id="298"/>
    <w:p>
      <w:pPr>
        <w:ind w:left="680" w:hanging="290"/>
        <w:spacing w:after="0"/>
        <w:tabs>
          <w:tab w:leader="none" w:pos="680" w:val="left"/>
        </w:tabs>
        <w:numPr>
          <w:ilvl w:val="0"/>
          <w:numId w:val="23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 xml:space="preserve">Underwriting Agreement. </w:t>
      </w:r>
      <w:r>
        <w:rPr>
          <w:rFonts w:ascii="Arial" w:cs="Arial" w:eastAsia="Arial" w:hAnsi="Arial"/>
          <w:sz w:val="17"/>
          <w:szCs w:val="17"/>
          <w:color w:val="auto"/>
        </w:rPr>
        <w:t>This Agreement has been duly authorized, executed and delivered by each Definitive Party.</w:t>
      </w:r>
    </w:p>
    <w:p>
      <w:pPr>
        <w:spacing w:after="0" w:line="108" w:lineRule="exact"/>
        <w:rPr>
          <w:rFonts w:ascii="Arial" w:cs="Arial" w:eastAsia="Arial" w:hAnsi="Arial"/>
          <w:sz w:val="17"/>
          <w:szCs w:val="17"/>
          <w:color w:val="auto"/>
        </w:rPr>
      </w:pPr>
    </w:p>
    <w:p>
      <w:pPr>
        <w:jc w:val="both"/>
        <w:ind w:left="-20" w:firstLine="410"/>
        <w:spacing w:after="0" w:line="256" w:lineRule="auto"/>
        <w:tabs>
          <w:tab w:leader="none" w:pos="632" w:val="left"/>
        </w:tabs>
        <w:numPr>
          <w:ilvl w:val="0"/>
          <w:numId w:val="234"/>
        </w:numPr>
        <w:rPr>
          <w:rFonts w:ascii="Arial" w:cs="Arial" w:eastAsia="Arial" w:hAnsi="Arial"/>
          <w:sz w:val="17"/>
          <w:szCs w:val="17"/>
          <w:color w:val="auto"/>
        </w:rPr>
      </w:pPr>
      <w:r>
        <w:rPr>
          <w:rFonts w:ascii="Arial" w:cs="Arial" w:eastAsia="Arial" w:hAnsi="Arial"/>
          <w:sz w:val="17"/>
          <w:szCs w:val="17"/>
          <w:i w:val="1"/>
          <w:iCs w:val="1"/>
          <w:color w:val="auto"/>
        </w:rPr>
        <w:t xml:space="preserve">The Shares. </w:t>
      </w:r>
      <w:r>
        <w:rPr>
          <w:rFonts w:ascii="Arial" w:cs="Arial" w:eastAsia="Arial" w:hAnsi="Arial"/>
          <w:sz w:val="17"/>
          <w:szCs w:val="17"/>
          <w:color w:val="auto"/>
        </w:rPr>
        <w:t>The Shares to be issued and sold by the Company hereunder have been duly authorized by the Company and, when issued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w:t>
      </w:r>
    </w:p>
    <w:p>
      <w:pPr>
        <w:spacing w:after="0" w:line="77" w:lineRule="exact"/>
        <w:rPr>
          <w:rFonts w:ascii="Arial" w:cs="Arial" w:eastAsia="Arial" w:hAnsi="Arial"/>
          <w:sz w:val="17"/>
          <w:szCs w:val="17"/>
          <w:color w:val="auto"/>
        </w:rPr>
      </w:pPr>
    </w:p>
    <w:p>
      <w:pPr>
        <w:ind w:left="-20" w:right="360" w:firstLine="410"/>
        <w:spacing w:after="0" w:line="272" w:lineRule="auto"/>
        <w:tabs>
          <w:tab w:leader="none" w:pos="632" w:val="left"/>
        </w:tabs>
        <w:numPr>
          <w:ilvl w:val="0"/>
          <w:numId w:val="234"/>
        </w:numPr>
        <w:rPr>
          <w:rFonts w:ascii="Arial" w:cs="Arial" w:eastAsia="Arial" w:hAnsi="Arial"/>
          <w:sz w:val="17"/>
          <w:szCs w:val="17"/>
          <w:color w:val="auto"/>
        </w:rPr>
      </w:pPr>
      <w:r>
        <w:rPr>
          <w:rFonts w:ascii="Arial" w:cs="Arial" w:eastAsia="Arial" w:hAnsi="Arial"/>
          <w:sz w:val="17"/>
          <w:szCs w:val="17"/>
          <w:i w:val="1"/>
          <w:iCs w:val="1"/>
          <w:color w:val="auto"/>
        </w:rPr>
        <w:t xml:space="preserve">Descriptions of the Underwriting Agreement. </w:t>
      </w:r>
      <w:r>
        <w:rPr>
          <w:rFonts w:ascii="Arial" w:cs="Arial" w:eastAsia="Arial" w:hAnsi="Arial"/>
          <w:sz w:val="17"/>
          <w:szCs w:val="17"/>
          <w:color w:val="auto"/>
        </w:rPr>
        <w:t>This Agreement conforms in all material respects to the description thereof contained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Pricing Disclosure Package and the Prospectus.</w:t>
      </w:r>
    </w:p>
    <w:p>
      <w:pPr>
        <w:spacing w:after="0" w:line="63" w:lineRule="exact"/>
        <w:rPr>
          <w:rFonts w:ascii="Arial" w:cs="Arial" w:eastAsia="Arial" w:hAnsi="Arial"/>
          <w:sz w:val="17"/>
          <w:szCs w:val="17"/>
          <w:color w:val="auto"/>
        </w:rPr>
      </w:pPr>
    </w:p>
    <w:p>
      <w:pPr>
        <w:ind w:left="-20" w:right="40" w:firstLine="410"/>
        <w:spacing w:after="0" w:line="291" w:lineRule="auto"/>
        <w:tabs>
          <w:tab w:leader="none" w:pos="632" w:val="left"/>
        </w:tabs>
        <w:numPr>
          <w:ilvl w:val="0"/>
          <w:numId w:val="234"/>
        </w:numPr>
        <w:rPr>
          <w:rFonts w:ascii="Arial" w:cs="Arial" w:eastAsia="Arial" w:hAnsi="Arial"/>
          <w:sz w:val="15"/>
          <w:szCs w:val="15"/>
          <w:color w:val="auto"/>
        </w:rPr>
      </w:pPr>
      <w:r>
        <w:rPr>
          <w:rFonts w:ascii="Arial" w:cs="Arial" w:eastAsia="Arial" w:hAnsi="Arial"/>
          <w:sz w:val="15"/>
          <w:szCs w:val="15"/>
          <w:i w:val="1"/>
          <w:iCs w:val="1"/>
          <w:color w:val="auto"/>
        </w:rPr>
        <w:t xml:space="preserve">No Violation or Default. </w:t>
      </w:r>
      <w:r>
        <w:rPr>
          <w:rFonts w:ascii="Arial" w:cs="Arial" w:eastAsia="Arial" w:hAnsi="Arial"/>
          <w:sz w:val="15"/>
          <w:szCs w:val="15"/>
          <w:color w:val="auto"/>
        </w:rPr>
        <w:t>Neither of the Definitive Parties nor any of their respective subsidiaries is (i) in violation of its respective charter or</w:t>
      </w:r>
      <w:r>
        <w:rPr>
          <w:rFonts w:ascii="Arial" w:cs="Arial" w:eastAsia="Arial" w:hAnsi="Arial"/>
          <w:sz w:val="15"/>
          <w:szCs w:val="15"/>
          <w:i w:val="1"/>
          <w:iCs w:val="1"/>
          <w:color w:val="auto"/>
        </w:rPr>
        <w:t xml:space="preserve"> </w:t>
      </w:r>
      <w:r>
        <w:rPr>
          <w:rFonts w:ascii="Arial" w:cs="Arial" w:eastAsia="Arial" w:hAnsi="Arial"/>
          <w:sz w:val="15"/>
          <w:szCs w:val="15"/>
          <w:color w:val="auto"/>
        </w:rPr>
        <w:t>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any such Definitive Party or any of its subsidiaries is a party or by which any such Definitive Party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55" w:lineRule="exact"/>
        <w:rPr>
          <w:rFonts w:ascii="Arial" w:cs="Arial" w:eastAsia="Arial" w:hAnsi="Arial"/>
          <w:sz w:val="15"/>
          <w:szCs w:val="15"/>
          <w:color w:val="auto"/>
        </w:rPr>
      </w:pPr>
    </w:p>
    <w:p>
      <w:pPr>
        <w:ind w:left="-20" w:firstLine="410"/>
        <w:spacing w:after="0" w:line="287" w:lineRule="auto"/>
        <w:tabs>
          <w:tab w:leader="none" w:pos="632" w:val="left"/>
        </w:tabs>
        <w:numPr>
          <w:ilvl w:val="0"/>
          <w:numId w:val="234"/>
        </w:numPr>
        <w:rPr>
          <w:rFonts w:ascii="Arial" w:cs="Arial" w:eastAsia="Arial" w:hAnsi="Arial"/>
          <w:sz w:val="15"/>
          <w:szCs w:val="15"/>
          <w:color w:val="auto"/>
        </w:rPr>
      </w:pPr>
      <w:r>
        <w:rPr>
          <w:rFonts w:ascii="Arial" w:cs="Arial" w:eastAsia="Arial" w:hAnsi="Arial"/>
          <w:sz w:val="15"/>
          <w:szCs w:val="15"/>
          <w:i w:val="1"/>
          <w:iCs w:val="1"/>
          <w:color w:val="auto"/>
        </w:rPr>
        <w:t xml:space="preserve">No Conflicts. </w:t>
      </w:r>
      <w:r>
        <w:rPr>
          <w:rFonts w:ascii="Arial" w:cs="Arial" w:eastAsia="Arial" w:hAnsi="Arial"/>
          <w:sz w:val="15"/>
          <w:szCs w:val="15"/>
          <w:color w:val="auto"/>
        </w:rPr>
        <w:t>The execution, delivery and performance by each Definitive Party of each of this Agreement, the issuance and sale of the Shares</w:t>
      </w:r>
      <w:r>
        <w:rPr>
          <w:rFonts w:ascii="Arial" w:cs="Arial" w:eastAsia="Arial" w:hAnsi="Arial"/>
          <w:sz w:val="15"/>
          <w:szCs w:val="15"/>
          <w:i w:val="1"/>
          <w:iCs w:val="1"/>
          <w:color w:val="auto"/>
        </w:rPr>
        <w:t xml:space="preserve"> </w:t>
      </w:r>
      <w:r>
        <w:rPr>
          <w:rFonts w:ascii="Arial" w:cs="Arial" w:eastAsia="Arial" w:hAnsi="Arial"/>
          <w:sz w:val="15"/>
          <w:szCs w:val="15"/>
          <w:color w:val="auto"/>
        </w:rPr>
        <w:t>by the Company and the consummation by each Definitive Party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any Definitive Party or any of their subsidiaries pursuant to, any indenture, mortgage, deed of trust, loan agreement or other agreement or instrument to which any Definitive Party or any of their subsidiaries is a party or by which any Definitive Party or any of their subsidiaries is bound or to which any property, right or asset of any Definitive Party or any of their significant subsidiaries is subject, (ii) result in any violation of the provisions of the charter or by-laws or similar organizational documents of any Definitive Party or any of their significant subsidiaries or (iii) result in the violation of any law or statute or any judgment, order, rule or regulation of any court or arbitrator or governmental or regulatory authority having jurisdiction over the Definitive Parties or any of their significant subsidiaries, except, in the case of clauses (i) and (iii) above, for any such conflict, breach, violation, default, lien, charge or encumbrance that would not, individually or in the aggregate, reasonably be expected to have a Material Adverse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80"/>
          </w:cols>
          <w:pgMar w:left="800" w:top="267" w:right="819" w:bottom="1440" w:gutter="0" w:footer="0" w:header="0"/>
        </w:sectPr>
      </w:pPr>
    </w:p>
    <w:bookmarkStart w:id="299" w:name="page300"/>
    <w:bookmarkEnd w:id="299"/>
    <w:p>
      <w:pPr>
        <w:ind w:right="40" w:firstLine="410"/>
        <w:spacing w:after="0" w:line="253" w:lineRule="auto"/>
        <w:tabs>
          <w:tab w:leader="none" w:pos="624"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 xml:space="preserve">No Consents Required. </w:t>
      </w:r>
      <w:r>
        <w:rPr>
          <w:rFonts w:ascii="Arial" w:cs="Arial" w:eastAsia="Arial" w:hAnsi="Arial"/>
          <w:sz w:val="17"/>
          <w:szCs w:val="17"/>
          <w:color w:val="auto"/>
        </w:rPr>
        <w:t>No consent, approval, authorization, order,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each of the Definitive Parties of this Agreement and the consummation of the transactions contemplated by the this Agreement, except for the registration of the Shares under the Securities Act and the Exchange Act and such consents, approvals, authorizations, orders and registrations or qualifications as may be required by the Financial Industry Regulatory Authority, Inc. (“FINRA”), the Exchange and under applicable state securities laws in connection with the purchase and distribution of the Shares by the Underwriters.</w:t>
      </w:r>
    </w:p>
    <w:p>
      <w:pPr>
        <w:spacing w:after="0" w:line="80" w:lineRule="exact"/>
        <w:rPr>
          <w:rFonts w:ascii="Arial" w:cs="Arial" w:eastAsia="Arial" w:hAnsi="Arial"/>
          <w:sz w:val="17"/>
          <w:szCs w:val="17"/>
          <w:color w:val="auto"/>
        </w:rPr>
      </w:pPr>
    </w:p>
    <w:p>
      <w:pPr>
        <w:ind w:firstLine="410"/>
        <w:spacing w:after="0" w:line="268" w:lineRule="auto"/>
        <w:tabs>
          <w:tab w:leader="none" w:pos="633"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demands, claims, suits, arbitrations, inquiries or proceedings (“Actions”) pending to which any Definitive Party or any of their subsidiaries is or may be a party or to which any property of any Definitive Party or any of their subsidiaries is or may be the subject that, individually or in the aggregate, if determined adversely to any Definitive Party or any of their subsidiaries, would reasonably be expected to have a Material Adverse Effect; to the knowledge of the Definitive Parties,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70" w:lineRule="exact"/>
        <w:rPr>
          <w:rFonts w:ascii="Arial" w:cs="Arial" w:eastAsia="Arial" w:hAnsi="Arial"/>
          <w:sz w:val="16"/>
          <w:szCs w:val="16"/>
          <w:color w:val="auto"/>
        </w:rPr>
      </w:pPr>
    </w:p>
    <w:p>
      <w:pPr>
        <w:jc w:val="both"/>
        <w:ind w:right="240" w:firstLine="410"/>
        <w:spacing w:after="0" w:line="256" w:lineRule="auto"/>
        <w:tabs>
          <w:tab w:leader="none" w:pos="615"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Deloitte &amp; Touche LLP, who have certified certain financial statements of the Company and Definitive OpCo and</w:t>
      </w:r>
      <w:r>
        <w:rPr>
          <w:rFonts w:ascii="Arial" w:cs="Arial" w:eastAsia="Arial" w:hAnsi="Arial"/>
          <w:sz w:val="17"/>
          <w:szCs w:val="17"/>
          <w:i w:val="1"/>
          <w:iCs w:val="1"/>
          <w:color w:val="auto"/>
        </w:rPr>
        <w:t xml:space="preserve"> </w:t>
      </w:r>
      <w:r>
        <w:rPr>
          <w:rFonts w:ascii="Arial" w:cs="Arial" w:eastAsia="Arial" w:hAnsi="Arial"/>
          <w:sz w:val="17"/>
          <w:szCs w:val="17"/>
          <w:color w:val="auto"/>
        </w:rPr>
        <w:t>their subsidiaries, is an independent registered public accounting firm with respect to the Company, Definitive OpCo and their respective subsidiaries within the applicable rules and regulations adopted by the Commission and the Public Company Accounting Oversight Board (United States) and as required by the Securities Act.</w:t>
      </w:r>
    </w:p>
    <w:p>
      <w:pPr>
        <w:spacing w:after="0" w:line="77" w:lineRule="exact"/>
        <w:rPr>
          <w:rFonts w:ascii="Arial" w:cs="Arial" w:eastAsia="Arial" w:hAnsi="Arial"/>
          <w:sz w:val="17"/>
          <w:szCs w:val="17"/>
          <w:color w:val="auto"/>
        </w:rPr>
      </w:pPr>
    </w:p>
    <w:p>
      <w:pPr>
        <w:ind w:firstLine="410"/>
        <w:spacing w:after="0" w:line="256" w:lineRule="auto"/>
        <w:tabs>
          <w:tab w:leader="none" w:pos="652"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t xml:space="preserve">Title to Real and Personal Property. </w:t>
      </w:r>
      <w:r>
        <w:rPr>
          <w:rFonts w:ascii="Arial" w:cs="Arial" w:eastAsia="Arial" w:hAnsi="Arial"/>
          <w:sz w:val="17"/>
          <w:szCs w:val="17"/>
          <w:color w:val="auto"/>
        </w:rPr>
        <w:t>Neither of the Definitive Parties nor any of their respective subsidiaries own any real property. Each</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Definitive Party and its subsidiaries have valid rights to lease or otherwise use, all items of real and personal property that are material to their respective businesses, in each case free and clear of all liens, encumbrances, claims and defects and imperfections of title except those that (i) would not, individually or in the aggregate, be reasonably expected to have a Material Adverse Effect.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320"/>
          </w:cols>
          <w:pgMar w:left="780" w:top="267" w:right="799" w:bottom="1440" w:gutter="0" w:footer="0" w:header="0"/>
        </w:sectPr>
      </w:pPr>
    </w:p>
    <w:bookmarkStart w:id="300" w:name="page301"/>
    <w:bookmarkEnd w:id="300"/>
    <w:p>
      <w:pPr>
        <w:ind w:right="40" w:firstLine="410"/>
        <w:spacing w:after="0" w:line="290" w:lineRule="auto"/>
        <w:tabs>
          <w:tab w:leader="none" w:pos="652" w:val="left"/>
        </w:tabs>
        <w:numPr>
          <w:ilvl w:val="0"/>
          <w:numId w:val="236"/>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 xml:space="preserve">Intellectual Property. </w:t>
      </w:r>
      <w:r>
        <w:rPr>
          <w:rFonts w:ascii="Arial" w:cs="Arial" w:eastAsia="Arial" w:hAnsi="Arial"/>
          <w:sz w:val="15"/>
          <w:szCs w:val="15"/>
          <w:color w:val="auto"/>
        </w:rPr>
        <w:t>Except as would not reasonably be expected, individually or in the aggregate, to have a Material Adverse Effect, (i) each</w:t>
      </w:r>
      <w:r>
        <w:rPr>
          <w:rFonts w:ascii="Arial" w:cs="Arial" w:eastAsia="Arial" w:hAnsi="Arial"/>
          <w:sz w:val="15"/>
          <w:szCs w:val="15"/>
          <w:i w:val="1"/>
          <w:iCs w:val="1"/>
          <w:color w:val="auto"/>
        </w:rPr>
        <w:t xml:space="preserve"> </w:t>
      </w:r>
      <w:r>
        <w:rPr>
          <w:rFonts w:ascii="Arial" w:cs="Arial" w:eastAsia="Arial" w:hAnsi="Arial"/>
          <w:sz w:val="15"/>
          <w:szCs w:val="15"/>
          <w:color w:val="auto"/>
        </w:rPr>
        <w:t>Definitive Party and its subsidiaries owns or has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the conduct of its respective business; (ii) the Definitive Parties and their subsidiaries’ conduct of their respective businesses does not infringe, misappropriate or otherwise violate any Intellectual Property of any person; (iii) the Definitive Parties and their subsidiaries have not received any written notice of any claim relating to Intellectual Property; and (iv) to the knowledge of the Definitive Parties, the Intellectual Property owned by the Definitive Parties and their subsidiaries is not being infringed, misappropriated or otherwise violated by any person.</w:t>
      </w:r>
    </w:p>
    <w:p>
      <w:pPr>
        <w:spacing w:after="0" w:line="54" w:lineRule="exact"/>
        <w:rPr>
          <w:rFonts w:ascii="Arial" w:cs="Arial" w:eastAsia="Arial" w:hAnsi="Arial"/>
          <w:sz w:val="15"/>
          <w:szCs w:val="15"/>
          <w:color w:val="auto"/>
        </w:rPr>
      </w:pPr>
    </w:p>
    <w:p>
      <w:pPr>
        <w:ind w:firstLine="410"/>
        <w:spacing w:after="0" w:line="256" w:lineRule="auto"/>
        <w:tabs>
          <w:tab w:leader="none" w:pos="690" w:val="left"/>
        </w:tabs>
        <w:numPr>
          <w:ilvl w:val="0"/>
          <w:numId w:val="236"/>
        </w:numPr>
        <w:rPr>
          <w:rFonts w:ascii="Arial" w:cs="Arial" w:eastAsia="Arial" w:hAnsi="Arial"/>
          <w:sz w:val="17"/>
          <w:szCs w:val="17"/>
          <w:color w:val="auto"/>
        </w:rPr>
      </w:pPr>
      <w:r>
        <w:rPr>
          <w:rFonts w:ascii="Arial" w:cs="Arial" w:eastAsia="Arial" w:hAnsi="Arial"/>
          <w:sz w:val="17"/>
          <w:szCs w:val="17"/>
          <w:i w:val="1"/>
          <w:iCs w:val="1"/>
          <w:color w:val="auto"/>
        </w:rPr>
        <w:t xml:space="preserve">No Undisclosed Relationships. </w:t>
      </w:r>
      <w:r>
        <w:rPr>
          <w:rFonts w:ascii="Arial" w:cs="Arial" w:eastAsia="Arial" w:hAnsi="Arial"/>
          <w:sz w:val="17"/>
          <w:szCs w:val="17"/>
          <w:color w:val="auto"/>
        </w:rPr>
        <w:t>No relationship, direct or indirect, exists between or among any Definitive Party or any of their subsidiaries, on</w:t>
      </w:r>
      <w:r>
        <w:rPr>
          <w:rFonts w:ascii="Arial" w:cs="Arial" w:eastAsia="Arial" w:hAnsi="Arial"/>
          <w:sz w:val="17"/>
          <w:szCs w:val="17"/>
          <w:i w:val="1"/>
          <w:iCs w:val="1"/>
          <w:color w:val="auto"/>
        </w:rPr>
        <w:t xml:space="preserve"> </w:t>
      </w:r>
      <w:r>
        <w:rPr>
          <w:rFonts w:ascii="Arial" w:cs="Arial" w:eastAsia="Arial" w:hAnsi="Arial"/>
          <w:sz w:val="17"/>
          <w:szCs w:val="17"/>
          <w:color w:val="auto"/>
        </w:rPr>
        <w:t>the one hand, and the directors, officers, stockholders, customers, suppliers or other affiliates of any Definitive Party or any of their subsidiaries, on the other, that is required by the Securities Act to be described in each of the Registration Statement and the Prospectus and that is not so described in such documents and in the Pricing Disclosure Package.</w:t>
      </w:r>
    </w:p>
    <w:p>
      <w:pPr>
        <w:spacing w:after="0" w:line="77" w:lineRule="exact"/>
        <w:rPr>
          <w:rFonts w:ascii="Arial" w:cs="Arial" w:eastAsia="Arial" w:hAnsi="Arial"/>
          <w:sz w:val="17"/>
          <w:szCs w:val="17"/>
          <w:color w:val="auto"/>
        </w:rPr>
      </w:pPr>
    </w:p>
    <w:p>
      <w:pPr>
        <w:ind w:right="40" w:firstLine="410"/>
        <w:spacing w:after="0" w:line="277" w:lineRule="auto"/>
        <w:tabs>
          <w:tab w:leader="none" w:pos="652"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 xml:space="preserve">Investment Company Act. </w:t>
      </w:r>
      <w:r>
        <w:rPr>
          <w:rFonts w:ascii="Arial" w:cs="Arial" w:eastAsia="Arial" w:hAnsi="Arial"/>
          <w:sz w:val="16"/>
          <w:szCs w:val="16"/>
          <w:color w:val="auto"/>
        </w:rPr>
        <w:t>Each Definitive Party is not and, after giving effect to the offering and sale of the Shares and the application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thereof received by the Company as described in the Registration Statement, the Pricing Disclosure Package and the Prospectus, will not be an “investment company” or an entity controlled by an “investment company” within the meaning of the Investment Company Act of 1940, as amended, and the rules and regulations of the Commission thereunder (collectively, the “Investment Company Act”).</w:t>
      </w:r>
    </w:p>
    <w:p>
      <w:pPr>
        <w:spacing w:after="0" w:line="62" w:lineRule="exact"/>
        <w:rPr>
          <w:rFonts w:ascii="Arial" w:cs="Arial" w:eastAsia="Arial" w:hAnsi="Arial"/>
          <w:sz w:val="16"/>
          <w:szCs w:val="16"/>
          <w:color w:val="auto"/>
        </w:rPr>
      </w:pPr>
    </w:p>
    <w:p>
      <w:pPr>
        <w:ind w:firstLine="410"/>
        <w:spacing w:after="0" w:line="290" w:lineRule="auto"/>
        <w:tabs>
          <w:tab w:leader="none" w:pos="652" w:val="left"/>
        </w:tabs>
        <w:numPr>
          <w:ilvl w:val="0"/>
          <w:numId w:val="236"/>
        </w:numPr>
        <w:rPr>
          <w:rFonts w:ascii="Arial" w:cs="Arial" w:eastAsia="Arial" w:hAnsi="Arial"/>
          <w:sz w:val="15"/>
          <w:szCs w:val="15"/>
          <w:color w:val="auto"/>
        </w:rPr>
      </w:pPr>
      <w:r>
        <w:rPr>
          <w:rFonts w:ascii="Arial" w:cs="Arial" w:eastAsia="Arial" w:hAnsi="Arial"/>
          <w:sz w:val="15"/>
          <w:szCs w:val="15"/>
          <w:i w:val="1"/>
          <w:iCs w:val="1"/>
          <w:color w:val="auto"/>
        </w:rPr>
        <w:t xml:space="preserve">Taxes. </w:t>
      </w:r>
      <w:r>
        <w:rPr>
          <w:rFonts w:ascii="Arial" w:cs="Arial" w:eastAsia="Arial" w:hAnsi="Arial"/>
          <w:sz w:val="15"/>
          <w:szCs w:val="15"/>
          <w:color w:val="auto"/>
        </w:rPr>
        <w:t>Each Definitive Party and its subsidiaries have filed all federal, state, local and foreign tax returns that are required to be filed or have</w:t>
      </w:r>
      <w:r>
        <w:rPr>
          <w:rFonts w:ascii="Arial" w:cs="Arial" w:eastAsia="Arial" w:hAnsi="Arial"/>
          <w:sz w:val="15"/>
          <w:szCs w:val="15"/>
          <w:i w:val="1"/>
          <w:iCs w:val="1"/>
          <w:color w:val="auto"/>
        </w:rPr>
        <w:t xml:space="preserve"> </w:t>
      </w:r>
      <w:r>
        <w:rPr>
          <w:rFonts w:ascii="Arial" w:cs="Arial" w:eastAsia="Arial" w:hAnsi="Arial"/>
          <w:sz w:val="15"/>
          <w:szCs w:val="15"/>
          <w:color w:val="auto"/>
        </w:rPr>
        <w:t>requested extensions thereof (except in any case in which the failure to file would not reasonably be expected to have a Material Adverse Effect) and have paid all taxes for which the Company and its subsidiaries are liable (except for cases in which failure to pay would not reasonably be expected to have a Material Adverse Effect, or, except as currently being contested in good faith and for which reserves required by GAAP have been created in the financial statements of a Definitive Party); and, except as otherwise disclosed in the Registration Statement, the Pricing Disclosure Package and the Prospectus, there is no tax deficiency that has been asserted against any Definitive Party or any of its subsidiaries or any of their respective properties or assets (nor does any Definitive Party nor any of its subsidiaries have any notice or knowledge of any tax deficiency) which could reasonably be expected to be determined adversely to any Definitive Party or its subsidiaries and which could be reasonably be expected to have a Material Adverse Effect.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320"/>
          </w:cols>
          <w:pgMar w:left="780" w:top="266" w:right="799" w:bottom="1440" w:gutter="0" w:footer="0" w:header="0"/>
        </w:sectPr>
      </w:pPr>
    </w:p>
    <w:bookmarkStart w:id="301" w:name="page302"/>
    <w:bookmarkEnd w:id="301"/>
    <w:p>
      <w:pPr>
        <w:ind w:left="-20" w:firstLine="410"/>
        <w:spacing w:after="0" w:line="289" w:lineRule="auto"/>
        <w:tabs>
          <w:tab w:leader="none" w:pos="622" w:val="left"/>
        </w:tabs>
        <w:numPr>
          <w:ilvl w:val="0"/>
          <w:numId w:val="237"/>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 xml:space="preserve">Licenses and Permits. </w:t>
      </w:r>
      <w:r>
        <w:rPr>
          <w:rFonts w:ascii="Arial" w:cs="Arial" w:eastAsia="Arial" w:hAnsi="Arial"/>
          <w:sz w:val="15"/>
          <w:szCs w:val="15"/>
          <w:color w:val="auto"/>
        </w:rPr>
        <w:t>Each Definitive Party and its subsidiaries possess all licenses, sub-licenses, certificates, permits and other authorizations</w:t>
      </w:r>
      <w:r>
        <w:rPr>
          <w:rFonts w:ascii="Arial" w:cs="Arial" w:eastAsia="Arial" w:hAnsi="Arial"/>
          <w:sz w:val="15"/>
          <w:szCs w:val="15"/>
          <w:i w:val="1"/>
          <w:iCs w:val="1"/>
          <w:color w:val="auto"/>
        </w:rPr>
        <w:t xml:space="preserve"> </w:t>
      </w:r>
      <w:r>
        <w:rPr>
          <w:rFonts w:ascii="Arial" w:cs="Arial" w:eastAsia="Arial" w:hAnsi="Arial"/>
          <w:sz w:val="15"/>
          <w:szCs w:val="15"/>
          <w:color w:val="auto"/>
        </w:rPr>
        <w:t>issued by, and have made all declarations and filings with, the appropriate federal, state, local or foreign governmental or regulatory authorities that are necessary for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be reasonably expected to have a Material Adverse Effect; and except as described in each of the Registration Statement, the Pricing Disclosure Package and the Prospectus, neither of the Definitive Parties nor any of their respective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has not and would not, individually or in the aggregate, reasonably be expected to have a Material Adverse Effect.</w:t>
      </w:r>
    </w:p>
    <w:p>
      <w:pPr>
        <w:spacing w:after="0" w:line="56" w:lineRule="exact"/>
        <w:rPr>
          <w:sz w:val="20"/>
          <w:szCs w:val="20"/>
          <w:color w:val="auto"/>
        </w:rPr>
      </w:pPr>
    </w:p>
    <w:p>
      <w:pPr>
        <w:ind w:left="-20" w:firstLine="410"/>
        <w:spacing w:after="0" w:line="311" w:lineRule="auto"/>
        <w:tabs>
          <w:tab w:leader="none" w:pos="697" w:val="left"/>
        </w:tabs>
        <w:numPr>
          <w:ilvl w:val="0"/>
          <w:numId w:val="238"/>
        </w:numPr>
        <w:rPr>
          <w:rFonts w:ascii="Arial" w:cs="Arial" w:eastAsia="Arial" w:hAnsi="Arial"/>
          <w:sz w:val="15"/>
          <w:szCs w:val="15"/>
          <w:color w:val="auto"/>
        </w:rPr>
      </w:pPr>
      <w:r>
        <w:rPr>
          <w:rFonts w:ascii="Arial" w:cs="Arial" w:eastAsia="Arial" w:hAnsi="Arial"/>
          <w:sz w:val="15"/>
          <w:szCs w:val="15"/>
          <w:i w:val="1"/>
          <w:iCs w:val="1"/>
          <w:color w:val="auto"/>
        </w:rPr>
        <w:t xml:space="preserve">No Labor Disputes. </w:t>
      </w:r>
      <w:r>
        <w:rPr>
          <w:rFonts w:ascii="Arial" w:cs="Arial" w:eastAsia="Arial" w:hAnsi="Arial"/>
          <w:sz w:val="15"/>
          <w:szCs w:val="15"/>
          <w:color w:val="auto"/>
        </w:rPr>
        <w:t>No labor disturbance by or dispute with employees of the any Definitive Party or any of their subsidiaries exists or, to the</w:t>
      </w:r>
      <w:r>
        <w:rPr>
          <w:rFonts w:ascii="Arial" w:cs="Arial" w:eastAsia="Arial" w:hAnsi="Arial"/>
          <w:sz w:val="15"/>
          <w:szCs w:val="15"/>
          <w:i w:val="1"/>
          <w:iCs w:val="1"/>
          <w:color w:val="auto"/>
        </w:rPr>
        <w:t xml:space="preserve"> </w:t>
      </w:r>
      <w:r>
        <w:rPr>
          <w:rFonts w:ascii="Arial" w:cs="Arial" w:eastAsia="Arial" w:hAnsi="Arial"/>
          <w:sz w:val="15"/>
          <w:szCs w:val="15"/>
          <w:color w:val="auto"/>
        </w:rPr>
        <w:t>knowledge of the Definitive Parties, is contemplated or threatened, and no Definitive Party is not aware of any existing or imminent labor disturbance by, or dispute with, the employees of any of its or its subsidiaries’ principal suppliers or contractors, except as would not have a Material Adverse Effect.</w:t>
      </w:r>
    </w:p>
    <w:p>
      <w:pPr>
        <w:spacing w:after="0" w:line="38" w:lineRule="exact"/>
        <w:rPr>
          <w:rFonts w:ascii="Arial" w:cs="Arial" w:eastAsia="Arial" w:hAnsi="Arial"/>
          <w:sz w:val="15"/>
          <w:szCs w:val="15"/>
          <w:color w:val="auto"/>
        </w:rPr>
      </w:pPr>
    </w:p>
    <w:p>
      <w:pPr>
        <w:ind w:left="-20" w:firstLine="410"/>
        <w:spacing w:after="0" w:line="285" w:lineRule="auto"/>
        <w:tabs>
          <w:tab w:leader="none" w:pos="716" w:val="left"/>
        </w:tabs>
        <w:numPr>
          <w:ilvl w:val="0"/>
          <w:numId w:val="238"/>
        </w:numPr>
        <w:rPr>
          <w:rFonts w:ascii="Arial" w:cs="Arial" w:eastAsia="Arial" w:hAnsi="Arial"/>
          <w:sz w:val="15"/>
          <w:szCs w:val="15"/>
          <w:color w:val="auto"/>
        </w:rPr>
      </w:pPr>
      <w:r>
        <w:rPr>
          <w:rFonts w:ascii="Arial" w:cs="Arial" w:eastAsia="Arial" w:hAnsi="Arial"/>
          <w:sz w:val="15"/>
          <w:szCs w:val="15"/>
          <w:i w:val="1"/>
          <w:iCs w:val="1"/>
          <w:color w:val="auto"/>
        </w:rPr>
        <w:t>Certain Environmental Matters</w:t>
      </w:r>
      <w:r>
        <w:rPr>
          <w:rFonts w:ascii="Arial" w:cs="Arial" w:eastAsia="Arial" w:hAnsi="Arial"/>
          <w:sz w:val="15"/>
          <w:szCs w:val="15"/>
          <w:color w:val="auto"/>
        </w:rPr>
        <w:t>. (i) Each of the Definitive Parties and their subsidiaries (x) is in compliance with all, and have not violated</w:t>
      </w:r>
      <w:r>
        <w:rPr>
          <w:rFonts w:ascii="Arial" w:cs="Arial" w:eastAsia="Arial" w:hAnsi="Arial"/>
          <w:sz w:val="15"/>
          <w:szCs w:val="15"/>
          <w:i w:val="1"/>
          <w:iCs w:val="1"/>
          <w:color w:val="auto"/>
        </w:rPr>
        <w:t xml:space="preserve"> </w:t>
      </w:r>
      <w:r>
        <w:rPr>
          <w:rFonts w:ascii="Arial" w:cs="Arial" w:eastAsia="Arial" w:hAnsi="Arial"/>
          <w:sz w:val="15"/>
          <w:szCs w:val="15"/>
          <w:color w:val="auto"/>
        </w:rPr>
        <w:t>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has received and is in compliance with all, and has not violated any, permits, licenses, certificates or other authorizations or approvals required of it under any Environmental Laws to conduct its respective businesses; and (z) has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has no knowledge of any event or condition that would reasonably be expected to result in any such notice; (ii) there are no costs or liabilities associated with Environmental Laws of or relating to any Definitive Party or their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pending, or that is known to be contemplated, against any Definitive Party or any of their subsidiaries under any Environmental Laws in which a governmental entity is also a party, other than such proceeding regarding which it is reasonably believed no monetary sanctions of $300,000 or more will be imposed, (y) neither of the Definitive Parties nor any of their subsidiaries is aware of any current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Definitive Parties and their subsidiaries, and (z) neither of the Definitive Parties nor any of their subsidiaries currently anticipates material capital expenditures relating to any Environmental Laws.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300"/>
          </w:cols>
          <w:pgMar w:left="800" w:top="266" w:right="799" w:bottom="1440" w:gutter="0" w:footer="0" w:header="0"/>
        </w:sectPr>
      </w:pPr>
    </w:p>
    <w:bookmarkStart w:id="302" w:name="page303"/>
    <w:bookmarkEnd w:id="302"/>
    <w:p>
      <w:pPr>
        <w:ind w:left="-20" w:firstLine="410"/>
        <w:spacing w:after="0" w:line="284" w:lineRule="auto"/>
        <w:tabs>
          <w:tab w:leader="none" w:pos="697" w:val="left"/>
        </w:tabs>
        <w:numPr>
          <w:ilvl w:val="0"/>
          <w:numId w:val="239"/>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Compliance with ERISA</w:t>
      </w:r>
      <w:r>
        <w:rPr>
          <w:rFonts w:ascii="Arial" w:cs="Arial" w:eastAsia="Arial" w:hAnsi="Arial"/>
          <w:sz w:val="15"/>
          <w:szCs w:val="15"/>
          <w:color w:val="auto"/>
        </w:rPr>
        <w:t>. (i) Each employee benefit plan, within the meaning of Section 3(3) of the Employee Retirement Income Security</w:t>
      </w:r>
      <w:r>
        <w:rPr>
          <w:rFonts w:ascii="Arial" w:cs="Arial" w:eastAsia="Arial" w:hAnsi="Arial"/>
          <w:sz w:val="15"/>
          <w:szCs w:val="15"/>
          <w:i w:val="1"/>
          <w:iCs w:val="1"/>
          <w:color w:val="auto"/>
        </w:rPr>
        <w:t xml:space="preserve"> </w:t>
      </w:r>
      <w:r>
        <w:rPr>
          <w:rFonts w:ascii="Arial" w:cs="Arial" w:eastAsia="Arial" w:hAnsi="Arial"/>
          <w:sz w:val="15"/>
          <w:szCs w:val="15"/>
          <w:color w:val="auto"/>
        </w:rPr>
        <w:t>Act of 1974, as amended (“ERISA”), for which any Definitive Party has or would reasonably be expected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and each employee pension benefit plan (within the meaning of Section 3(2) of ERISA) maintained by any member of the Definitive Parties’ “Controlled Group” (defined as any entity, whether or not incorporated, that is under common control with any of the Definitive Parties within the meaning of Section 4001(a)(14) of ERISA or any entity that would be regarded as a single employer with any of the Definitive Parties under Section 414(b), (c), (m) or (o) of the Code)(each, an “ERISA Affiliate Plan”) that is subject to the funding rules of Section 412 of the Code or Section 302 of ERISA, no Plan or ERISA Affiliate Plan has failed (whether or not waived), to satisfy the minimum funding standards (within the meaning of Section 302 of ERISA or Section 412 of the Code) applicable to such Plan or ERISA Affiliate Plan; (iv) no Plan or ERISA Affiliate Plan is, or is reasonably expected to be, in “at risk status” (within the meaning of Section 303(i) of ERISA) and no Plan or ERISA Affiliate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has occurred or is reasonably expected to occur with respect to any Plan or ERISA Affiliate Plan; (vi) each Plan that is intended to be qualified under Section 401(a) of the Code is so qualified, and nothing has occurred, whether by action or by failure to act, which would cause the loss of such qualification; (vii) neither the Definitive Parties nor any member of the Controlled Group has incurred, or reasonably expects to incur, any liability under Title IV of ERISA (other than contributions to a Plan or ERISA Affiliate Plan or premiums to the Pension Benefit Guarantee Corporation, in the ordinary course and without default) in respect of a Plan or ERISA Affiliate Plan (including a “multiemployer plan” within the meaning of Section 4001(a)(3) of ERISA); and (viii) none of the following events has occurred or is reasonably likely to occur: (A) a material increase in the aggregate amount of contributions required to be made to all Plans and ERISA Affiliate Plans by the Definitive Parties or their Controlled Group affiliates in the current fiscal year of the Definitive Parties and their Controlled Group affiliates compared to the amount of such contributions made in the Definitive Parties’ and their Controlled Group affiliates’ most recently completed fiscal year; or (B) a material increase in the Definitive Parties and their subsidiaries’ “accumulated post-retirement benefit obligations” (within the meaning of Accounting Standards Codification Topic 715-60) compared to the amount of such obligations in the Definitive Parties and their subsidiaries’ most recently completed fiscal year, except in each case with respect to the events or conditions set forth in (i) through (viii) hereof, as would not, individually or in the aggregate, reasonably be expected to have a Material Adverse Effect.</w:t>
      </w:r>
    </w:p>
    <w:p>
      <w:pPr>
        <w:spacing w:after="0" w:line="266" w:lineRule="exact"/>
        <w:rPr>
          <w:rFonts w:ascii="Arial" w:cs="Arial" w:eastAsia="Arial" w:hAnsi="Arial"/>
          <w:sz w:val="15"/>
          <w:szCs w:val="15"/>
          <w:color w:val="auto"/>
        </w:rPr>
      </w:pPr>
    </w:p>
    <w:p>
      <w:pPr>
        <w:ind w:left="-20" w:right="100" w:firstLine="410"/>
        <w:spacing w:after="0" w:line="260" w:lineRule="auto"/>
        <w:tabs>
          <w:tab w:leader="none" w:pos="716" w:val="left"/>
        </w:tabs>
        <w:numPr>
          <w:ilvl w:val="0"/>
          <w:numId w:val="239"/>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The Company and its subsidiaries on a consolidated basis maintain an effective system of “disclosure controls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(as defined in Rule 13a-15(e) of the Exchange Act) that complies with the requirements of the Exchange Act and that has been designed to ensure that information required to be disclosed by the Company in reports that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300"/>
          </w:cols>
          <w:pgMar w:left="800" w:top="266" w:right="799" w:bottom="1440" w:gutter="0" w:footer="0" w:header="0"/>
        </w:sectPr>
      </w:pPr>
    </w:p>
    <w:bookmarkStart w:id="303" w:name="page304"/>
    <w:bookmarkEnd w:id="303"/>
    <w:p>
      <w:pPr>
        <w:ind w:left="3" w:right="8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74" w:lineRule="exact"/>
        <w:rPr>
          <w:sz w:val="20"/>
          <w:szCs w:val="20"/>
          <w:color w:val="auto"/>
        </w:rPr>
      </w:pPr>
    </w:p>
    <w:p>
      <w:pPr>
        <w:ind w:left="3" w:right="100" w:firstLine="410"/>
        <w:spacing w:after="0" w:line="283" w:lineRule="auto"/>
        <w:tabs>
          <w:tab w:leader="none" w:pos="720" w:val="left"/>
        </w:tabs>
        <w:numPr>
          <w:ilvl w:val="1"/>
          <w:numId w:val="240"/>
        </w:numPr>
        <w:rPr>
          <w:rFonts w:ascii="Arial" w:cs="Arial" w:eastAsia="Arial" w:hAnsi="Arial"/>
          <w:sz w:val="15"/>
          <w:szCs w:val="15"/>
          <w:color w:val="auto"/>
        </w:rPr>
      </w:pPr>
      <w:r>
        <w:rPr>
          <w:rFonts w:ascii="Arial" w:cs="Arial" w:eastAsia="Arial" w:hAnsi="Arial"/>
          <w:sz w:val="15"/>
          <w:szCs w:val="15"/>
          <w:i w:val="1"/>
          <w:iCs w:val="1"/>
          <w:color w:val="auto"/>
        </w:rPr>
        <w:t xml:space="preserve">Accounting Controls. </w:t>
      </w:r>
      <w:r>
        <w:rPr>
          <w:rFonts w:ascii="Arial" w:cs="Arial" w:eastAsia="Arial" w:hAnsi="Arial"/>
          <w:sz w:val="15"/>
          <w:szCs w:val="15"/>
          <w:color w:val="auto"/>
        </w:rPr>
        <w:t>Each Definitive Party and its subsidiaries maintain systems of “internal control over financial reporting” (as defined in</w:t>
      </w:r>
      <w:r>
        <w:rPr>
          <w:rFonts w:ascii="Arial" w:cs="Arial" w:eastAsia="Arial" w:hAnsi="Arial"/>
          <w:sz w:val="15"/>
          <w:szCs w:val="15"/>
          <w:i w:val="1"/>
          <w:iCs w:val="1"/>
          <w:color w:val="auto"/>
        </w:rPr>
        <w:t xml:space="preserve"> </w:t>
      </w:r>
      <w:r>
        <w:rPr>
          <w:rFonts w:ascii="Arial" w:cs="Arial" w:eastAsia="Arial" w:hAnsi="Arial"/>
          <w:sz w:val="15"/>
          <w:szCs w:val="15"/>
          <w:color w:val="auto"/>
        </w:rPr>
        <w:t>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Definitive Parties and their subsidiaries on a consolidated basis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except as disclosed in the Registration Statement, the Pricing Disclosure Package and the Prospectus, there are no material weaknesses in the any Definitive Party’s internal controls over financial reporting. The auditors of each Definitive Party and the Audit Committee of the Board of Directors of the Company have been advised of:</w:t>
      </w:r>
    </w:p>
    <w:p>
      <w:pPr>
        <w:spacing w:after="0" w:line="1" w:lineRule="exact"/>
        <w:rPr>
          <w:rFonts w:ascii="Arial" w:cs="Arial" w:eastAsia="Arial" w:hAnsi="Arial"/>
          <w:sz w:val="15"/>
          <w:szCs w:val="15"/>
          <w:color w:val="auto"/>
        </w:rPr>
      </w:pPr>
    </w:p>
    <w:p>
      <w:pPr>
        <w:ind w:left="3" w:right="260" w:hanging="3"/>
        <w:spacing w:after="0" w:line="281" w:lineRule="auto"/>
        <w:tabs>
          <w:tab w:leader="none" w:pos="204" w:val="left"/>
        </w:tabs>
        <w:numPr>
          <w:ilvl w:val="0"/>
          <w:numId w:val="24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controls over financial reporting which have adversely affected or are reasonably likely to adversely affect the Definitive Parties’ ability to record, process, summarize and report financial information; and</w:t>
      </w:r>
    </w:p>
    <w:p>
      <w:pPr>
        <w:spacing w:after="0" w:line="1" w:lineRule="exact"/>
        <w:rPr>
          <w:rFonts w:ascii="Arial" w:cs="Arial" w:eastAsia="Arial" w:hAnsi="Arial"/>
          <w:sz w:val="15"/>
          <w:szCs w:val="15"/>
          <w:color w:val="auto"/>
        </w:rPr>
      </w:pPr>
    </w:p>
    <w:p>
      <w:pPr>
        <w:ind w:left="3" w:right="440" w:hanging="3"/>
        <w:spacing w:after="0" w:line="257" w:lineRule="auto"/>
        <w:tabs>
          <w:tab w:leader="none" w:pos="251"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Definitive Parties’ internal controls over financial reporting.</w:t>
      </w:r>
    </w:p>
    <w:p>
      <w:pPr>
        <w:spacing w:after="0" w:line="76" w:lineRule="exact"/>
        <w:rPr>
          <w:rFonts w:ascii="Arial" w:cs="Arial" w:eastAsia="Arial" w:hAnsi="Arial"/>
          <w:sz w:val="17"/>
          <w:szCs w:val="17"/>
          <w:color w:val="auto"/>
        </w:rPr>
      </w:pPr>
    </w:p>
    <w:p>
      <w:pPr>
        <w:ind w:left="3" w:right="240" w:firstLine="410"/>
        <w:spacing w:after="0" w:line="260" w:lineRule="auto"/>
        <w:tabs>
          <w:tab w:leader="none" w:pos="680" w:val="left"/>
        </w:tabs>
        <w:numPr>
          <w:ilvl w:val="1"/>
          <w:numId w:val="241"/>
        </w:numPr>
        <w:rPr>
          <w:rFonts w:ascii="Arial" w:cs="Arial" w:eastAsia="Arial" w:hAnsi="Arial"/>
          <w:sz w:val="17"/>
          <w:szCs w:val="17"/>
          <w:color w:val="auto"/>
        </w:rPr>
      </w:pPr>
      <w:r>
        <w:rPr>
          <w:rFonts w:ascii="Arial" w:cs="Arial" w:eastAsia="Arial" w:hAnsi="Arial"/>
          <w:sz w:val="17"/>
          <w:szCs w:val="17"/>
          <w:i w:val="1"/>
          <w:iCs w:val="1"/>
          <w:color w:val="auto"/>
        </w:rPr>
        <w:t xml:space="preserve">eXtensible Business Reporting Language. </w:t>
      </w:r>
      <w:r>
        <w:rPr>
          <w:rFonts w:ascii="Arial" w:cs="Arial" w:eastAsia="Arial" w:hAnsi="Arial"/>
          <w:sz w:val="17"/>
          <w:szCs w:val="17"/>
          <w:color w:val="auto"/>
        </w:rPr>
        <w:t>The interactive data in eXtensible Business Reporting Language included or incorporated by</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in the Registration Statement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7"/>
          <w:szCs w:val="17"/>
          <w:color w:val="auto"/>
        </w:rPr>
      </w:pPr>
    </w:p>
    <w:p>
      <w:pPr>
        <w:ind w:left="3" w:firstLine="410"/>
        <w:spacing w:after="0" w:line="270" w:lineRule="auto"/>
        <w:tabs>
          <w:tab w:leader="none" w:pos="739" w:val="left"/>
        </w:tabs>
        <w:numPr>
          <w:ilvl w:val="1"/>
          <w:numId w:val="241"/>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Definitive Parties and their subsidiaries have insurance covering their respective properties, operations, personnel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including business interruption insurance, which insurance is in amounts and insures against such losses and risks as the Company believes are adequate to protect the Definitive Parties and their subsidiaries and their respective businesses; and neither of the Definitive Parties nor any of their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that would not result in an Material Adverse Effect from similar insurers as may be necessary to continue its business in all material respects.</w:t>
      </w:r>
    </w:p>
    <w:p>
      <w:pPr>
        <w:spacing w:after="0" w:line="109"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323"/>
          </w:cols>
          <w:pgMar w:left="777" w:top="266" w:right="799" w:bottom="1440" w:gutter="0" w:footer="0" w:header="0"/>
        </w:sectPr>
      </w:pPr>
    </w:p>
    <w:bookmarkStart w:id="304" w:name="page305"/>
    <w:bookmarkEnd w:id="304"/>
    <w:p>
      <w:pPr>
        <w:ind w:left="3" w:firstLine="410"/>
        <w:spacing w:after="0" w:line="268" w:lineRule="auto"/>
        <w:tabs>
          <w:tab w:leader="none" w:pos="739" w:val="left"/>
        </w:tabs>
        <w:numPr>
          <w:ilvl w:val="1"/>
          <w:numId w:val="24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0">
                      <a:extLst>
                        <a:ext uri="{28A0092B-C50C-407E-A947-70E740481C1C}"/>
                      </a:extLst>
                    </a:blip>
                    <a:srcRect/>
                    <a:stretch>
                      <a:fillRect/>
                    </a:stretch>
                  </pic:blipFill>
                  <pic:spPr bwMode="auto">
                    <a:xfrm>
                      <a:off x="0" y="0"/>
                      <a:ext cx="7182485" cy="36195"/>
                    </a:xfrm>
                    <a:prstGeom prst="rect">
                      <a:avLst/>
                    </a:prstGeom>
                    <a:noFill/>
                  </pic:spPr>
                </pic:pic>
              </a:graphicData>
            </a:graphic>
          </wp:anchor>
        </w:drawing>
        <w:t xml:space="preserve">Cybersecurity; Data Protection. </w:t>
      </w:r>
      <w:r>
        <w:rPr>
          <w:rFonts w:ascii="Arial" w:cs="Arial" w:eastAsia="Arial" w:hAnsi="Arial"/>
          <w:sz w:val="16"/>
          <w:szCs w:val="16"/>
          <w:color w:val="auto"/>
        </w:rPr>
        <w:t>Each Definitive Party and its subsidiaries’ information technology assets and equipment, computers,</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networks, hardware, software, websites, applications, and databases (collectively, “IT Systems”) (i) are adequate in all material respects for, and operate and perform in all material respects as required in connection with, the operation of the business of such Definitive Party and its subsidiaries as currently conducted, and (ii) to the knowledge of the Company, are free and clear of all material bugs, errors, defects, Trojan horses, time bombs, malware and other corruptants. Each Definitive Party and its subsidiaries have implemented and maintained commercially reasonable safeguards designed to maintain and protect their material confidential information and the integrity, continuous operation, redundancy and security of all IT Systems and all personal, personally identifiable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Each Definitive Party and its subsidiaries are presently in material compliance with all applicable laws or statutes and all judgments, orders, rules and regulations of any court or arbitrator or governmental or regulatory authority, policies and contractual obligations, in each case, relating to the privacy and security of IT Systems and Personal Data.</w:t>
      </w:r>
    </w:p>
    <w:p>
      <w:pPr>
        <w:spacing w:after="0" w:line="70" w:lineRule="exact"/>
        <w:rPr>
          <w:rFonts w:ascii="Arial" w:cs="Arial" w:eastAsia="Arial" w:hAnsi="Arial"/>
          <w:sz w:val="16"/>
          <w:szCs w:val="16"/>
          <w:color w:val="auto"/>
        </w:rPr>
      </w:pPr>
    </w:p>
    <w:p>
      <w:pPr>
        <w:ind w:left="3" w:right="20" w:firstLine="410"/>
        <w:spacing w:after="0" w:line="283" w:lineRule="auto"/>
        <w:tabs>
          <w:tab w:leader="none" w:pos="664" w:val="left"/>
        </w:tabs>
        <w:numPr>
          <w:ilvl w:val="1"/>
          <w:numId w:val="242"/>
        </w:numPr>
        <w:rPr>
          <w:rFonts w:ascii="Arial" w:cs="Arial" w:eastAsia="Arial" w:hAnsi="Arial"/>
          <w:sz w:val="15"/>
          <w:szCs w:val="15"/>
          <w:color w:val="auto"/>
        </w:rPr>
      </w:pPr>
      <w:r>
        <w:rPr>
          <w:rFonts w:ascii="Arial" w:cs="Arial" w:eastAsia="Arial" w:hAnsi="Arial"/>
          <w:sz w:val="15"/>
          <w:szCs w:val="15"/>
          <w:i w:val="1"/>
          <w:iCs w:val="1"/>
          <w:color w:val="auto"/>
        </w:rPr>
        <w:t xml:space="preserve">No Unlawful Payments. </w:t>
      </w:r>
      <w:r>
        <w:rPr>
          <w:rFonts w:ascii="Arial" w:cs="Arial" w:eastAsia="Arial" w:hAnsi="Arial"/>
          <w:sz w:val="15"/>
          <w:szCs w:val="15"/>
          <w:color w:val="auto"/>
        </w:rPr>
        <w:t>Neither of the Definitive Parties nor any of their respective subsidiaries, nor any director, officer, employee or affiliate</w:t>
      </w:r>
      <w:r>
        <w:rPr>
          <w:rFonts w:ascii="Arial" w:cs="Arial" w:eastAsia="Arial" w:hAnsi="Arial"/>
          <w:sz w:val="15"/>
          <w:szCs w:val="15"/>
          <w:i w:val="1"/>
          <w:iCs w:val="1"/>
          <w:color w:val="auto"/>
        </w:rPr>
        <w:t xml:space="preserve"> </w:t>
      </w:r>
      <w:r>
        <w:rPr>
          <w:rFonts w:ascii="Arial" w:cs="Arial" w:eastAsia="Arial" w:hAnsi="Arial"/>
          <w:sz w:val="15"/>
          <w:szCs w:val="15"/>
          <w:color w:val="auto"/>
        </w:rPr>
        <w:t>of any Definitive Party or any of their subsidiaries nor, to the knowledge of the Definitive Parties, any agent or other person associated with or acting on behalf of any Definitive Party or any of their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w:t>
      </w:r>
    </w:p>
    <w:p>
      <w:pPr>
        <w:spacing w:after="0" w:line="4" w:lineRule="exact"/>
        <w:rPr>
          <w:rFonts w:ascii="Arial" w:cs="Arial" w:eastAsia="Arial" w:hAnsi="Arial"/>
          <w:sz w:val="15"/>
          <w:szCs w:val="15"/>
          <w:color w:val="auto"/>
        </w:rPr>
      </w:pPr>
    </w:p>
    <w:p>
      <w:pPr>
        <w:ind w:left="3" w:right="40" w:hanging="3"/>
        <w:spacing w:after="0" w:line="269" w:lineRule="auto"/>
        <w:tabs>
          <w:tab w:leader="none" w:pos="28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made, offered, agreed, requested or taken an act in furtherance of any unlawful bribe or other unlawful benefit, including, without limitation, any rebate, payoff, influence payment, kickback or other unlawful or improper payment or benefit. Each Definitive Party and its subsidiaries have instituted, maintain and enforce, and will continue to maintain and enforce policies and procedures designed to promote and ensure compliance with all applicable anti-bribery and anti-corruption laws. Neither of the Definitive Parties nor any of their respective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06"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323"/>
          </w:cols>
          <w:pgMar w:left="777" w:top="266" w:right="799" w:bottom="1440" w:gutter="0" w:footer="0" w:header="0"/>
        </w:sectPr>
      </w:pPr>
    </w:p>
    <w:bookmarkStart w:id="305" w:name="page306"/>
    <w:bookmarkEnd w:id="305"/>
    <w:p>
      <w:pPr>
        <w:ind w:left="3" w:right="20" w:firstLine="410"/>
        <w:spacing w:after="0" w:line="270" w:lineRule="auto"/>
        <w:tabs>
          <w:tab w:leader="none" w:pos="664" w:val="left"/>
        </w:tabs>
        <w:numPr>
          <w:ilvl w:val="1"/>
          <w:numId w:val="24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1">
                      <a:extLst>
                        <a:ext uri="{28A0092B-C50C-407E-A947-70E740481C1C}"/>
                      </a:extLst>
                    </a:blip>
                    <a:srcRect/>
                    <a:stretch>
                      <a:fillRect/>
                    </a:stretch>
                  </pic:blipFill>
                  <pic:spPr bwMode="auto">
                    <a:xfrm>
                      <a:off x="0" y="0"/>
                      <a:ext cx="7182485" cy="36195"/>
                    </a:xfrm>
                    <a:prstGeom prst="rect">
                      <a:avLst/>
                    </a:prstGeom>
                    <a:noFill/>
                  </pic:spPr>
                </pic:pic>
              </a:graphicData>
            </a:graphic>
          </wp:anchor>
        </w:drawing>
        <w:t>Compliance with Anti-Money Laundering Laws</w:t>
      </w:r>
      <w:r>
        <w:rPr>
          <w:rFonts w:ascii="Arial" w:cs="Arial" w:eastAsia="Arial" w:hAnsi="Arial"/>
          <w:sz w:val="16"/>
          <w:szCs w:val="16"/>
          <w:color w:val="auto"/>
        </w:rPr>
        <w:t>. The operations of each Definitive Party and its subsidiaries are and have been conducted at all</w:t>
      </w:r>
      <w:r>
        <w:rPr>
          <w:rFonts w:ascii="Arial" w:cs="Arial" w:eastAsia="Arial" w:hAnsi="Arial"/>
          <w:sz w:val="16"/>
          <w:szCs w:val="16"/>
          <w:i w:val="1"/>
          <w:iCs w:val="1"/>
          <w:color w:val="auto"/>
        </w:rPr>
        <w:t xml:space="preserve"> </w:t>
      </w:r>
      <w:r>
        <w:rPr>
          <w:rFonts w:ascii="Arial" w:cs="Arial" w:eastAsia="Arial" w:hAnsi="Arial"/>
          <w:sz w:val="16"/>
          <w:szCs w:val="16"/>
          <w:color w:val="auto"/>
        </w:rPr>
        <w:t>times in compliance with applicable financial recordkeeping and reporting requirements, including those of the Currency and Foreign Transactions Reporting Act of 1970, as amended, the applicable money laundering statutes of all jurisdictions where any Definitive Party or any of their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any Definitive Party or any of their subsidiaries with respect to the Anti-Money Laundering Laws is pending or, to the knowledge of the Definitive Parties, threatened.</w:t>
      </w:r>
    </w:p>
    <w:p>
      <w:pPr>
        <w:spacing w:after="0" w:line="70" w:lineRule="exact"/>
        <w:rPr>
          <w:rFonts w:ascii="Arial" w:cs="Arial" w:eastAsia="Arial" w:hAnsi="Arial"/>
          <w:sz w:val="16"/>
          <w:szCs w:val="16"/>
          <w:color w:val="auto"/>
        </w:rPr>
      </w:pPr>
    </w:p>
    <w:p>
      <w:pPr>
        <w:ind w:left="3" w:firstLine="410"/>
        <w:spacing w:after="0" w:line="284" w:lineRule="auto"/>
        <w:tabs>
          <w:tab w:leader="none" w:pos="739" w:val="left"/>
        </w:tabs>
        <w:numPr>
          <w:ilvl w:val="1"/>
          <w:numId w:val="244"/>
        </w:numPr>
        <w:rPr>
          <w:rFonts w:ascii="Arial" w:cs="Arial" w:eastAsia="Arial" w:hAnsi="Arial"/>
          <w:sz w:val="15"/>
          <w:szCs w:val="15"/>
          <w:color w:val="auto"/>
        </w:rPr>
      </w:pPr>
      <w:r>
        <w:rPr>
          <w:rFonts w:ascii="Arial" w:cs="Arial" w:eastAsia="Arial" w:hAnsi="Arial"/>
          <w:sz w:val="15"/>
          <w:szCs w:val="15"/>
          <w:i w:val="1"/>
          <w:iCs w:val="1"/>
          <w:color w:val="auto"/>
        </w:rPr>
        <w:t xml:space="preserve">No Conflicts with Sanctions Laws. </w:t>
      </w:r>
      <w:r>
        <w:rPr>
          <w:rFonts w:ascii="Arial" w:cs="Arial" w:eastAsia="Arial" w:hAnsi="Arial"/>
          <w:sz w:val="15"/>
          <w:szCs w:val="15"/>
          <w:color w:val="auto"/>
        </w:rPr>
        <w:t>Neither of the Definitive Parties nor any of their respective subsidiaries, directors, officers or 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nor, to the knowledge of any Definitive Party, any agent, affiliate or other person associated with or acting on behalf of any Definitive Party or any of their subsidiaries is, or is owned or controlled by one or more individuals or entities that are, currently (A)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“Sanctions”) or</w:t>
      </w:r>
    </w:p>
    <w:p>
      <w:pPr>
        <w:spacing w:after="0" w:line="2" w:lineRule="exact"/>
        <w:rPr>
          <w:rFonts w:ascii="Arial" w:cs="Arial" w:eastAsia="Arial" w:hAnsi="Arial"/>
          <w:sz w:val="15"/>
          <w:szCs w:val="15"/>
          <w:color w:val="auto"/>
        </w:rPr>
      </w:pPr>
    </w:p>
    <w:p>
      <w:pPr>
        <w:ind w:left="3" w:right="20" w:hanging="3"/>
        <w:spacing w:after="0" w:line="267" w:lineRule="auto"/>
        <w:tabs>
          <w:tab w:leader="none" w:pos="27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located, organized or resident in a country or territory that is the subject or target of Sanctions, including, as of the date of this Agreement, Crimea, Cuba, Iran, North Korea and Syria (each, a “Sanctioned Country”); and the Definitive Parties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Definitive Parties and their subsidiaries have not knowingly engaged in, are not now knowingly engaged in, and will not knowingly engage in any dealings or transactions with any person that at the time of the dealing or transaction is or was the subject or the target of Sanctions or with any Sanctioned Country.</w:t>
      </w:r>
    </w:p>
    <w:p>
      <w:pPr>
        <w:spacing w:after="0" w:line="70" w:lineRule="exact"/>
        <w:rPr>
          <w:rFonts w:ascii="Arial" w:cs="Arial" w:eastAsia="Arial" w:hAnsi="Arial"/>
          <w:sz w:val="16"/>
          <w:szCs w:val="16"/>
          <w:color w:val="auto"/>
        </w:rPr>
      </w:pPr>
    </w:p>
    <w:p>
      <w:pPr>
        <w:ind w:left="3" w:right="60" w:firstLine="410"/>
        <w:spacing w:after="0" w:line="301" w:lineRule="auto"/>
        <w:tabs>
          <w:tab w:leader="none" w:pos="664" w:val="left"/>
        </w:tabs>
        <w:numPr>
          <w:ilvl w:val="1"/>
          <w:numId w:val="245"/>
        </w:numPr>
        <w:rPr>
          <w:rFonts w:ascii="Arial" w:cs="Arial" w:eastAsia="Arial" w:hAnsi="Arial"/>
          <w:sz w:val="15"/>
          <w:szCs w:val="15"/>
          <w:color w:val="auto"/>
        </w:rPr>
      </w:pPr>
      <w:r>
        <w:rPr>
          <w:rFonts w:ascii="Arial" w:cs="Arial" w:eastAsia="Arial" w:hAnsi="Arial"/>
          <w:sz w:val="15"/>
          <w:szCs w:val="15"/>
          <w:i w:val="1"/>
          <w:iCs w:val="1"/>
          <w:color w:val="auto"/>
        </w:rPr>
        <w:t>No Restrictions on Subsidiaries</w:t>
      </w:r>
      <w:r>
        <w:rPr>
          <w:rFonts w:ascii="Arial" w:cs="Arial" w:eastAsia="Arial" w:hAnsi="Arial"/>
          <w:sz w:val="15"/>
          <w:szCs w:val="15"/>
          <w:color w:val="auto"/>
        </w:rPr>
        <w:t>. No subsidiary of any Definitive Party is currently prohibited, directly or indirectly, under any agreement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 instrument to which it is a party or is subject, from paying any dividends to any Definitive Party, from making any other distribution on such subsidiary’s capital stock or similar ownership interest, from repaying to any Definitive Party any loans or advances to such subsidiary from such Definitive Party or from transferring any of such subsidiary’s properties or assets to any Definitive Party or any other subsidiary of any Definitive Party.</w:t>
      </w:r>
    </w:p>
    <w:p>
      <w:pPr>
        <w:spacing w:after="0" w:line="84" w:lineRule="exact"/>
        <w:rPr>
          <w:sz w:val="20"/>
          <w:szCs w:val="20"/>
          <w:color w:val="auto"/>
        </w:rPr>
      </w:pPr>
    </w:p>
    <w:p>
      <w:pPr>
        <w:jc w:val="center"/>
        <w:ind w:right="-2"/>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343"/>
          </w:cols>
          <w:pgMar w:left="777" w:top="266" w:right="779" w:bottom="1440" w:gutter="0" w:footer="0" w:header="0"/>
        </w:sectPr>
      </w:pPr>
    </w:p>
    <w:bookmarkStart w:id="306" w:name="page307"/>
    <w:bookmarkEnd w:id="306"/>
    <w:p>
      <w:pPr>
        <w:ind w:left="-20" w:right="120" w:firstLine="410"/>
        <w:spacing w:after="0" w:line="260" w:lineRule="auto"/>
        <w:tabs>
          <w:tab w:leader="none" w:pos="810"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 xml:space="preserve">No Broker’s Fees. </w:t>
      </w:r>
      <w:r>
        <w:rPr>
          <w:rFonts w:ascii="Arial" w:cs="Arial" w:eastAsia="Arial" w:hAnsi="Arial"/>
          <w:sz w:val="17"/>
          <w:szCs w:val="17"/>
          <w:color w:val="auto"/>
        </w:rPr>
        <w:t>Neither of the Definitive Parties nor any of their subsidiaries is a party to any contract, agreement or understanding with</w:t>
      </w:r>
      <w:r>
        <w:rPr>
          <w:rFonts w:ascii="Arial" w:cs="Arial" w:eastAsia="Arial" w:hAnsi="Arial"/>
          <w:sz w:val="17"/>
          <w:szCs w:val="17"/>
          <w:i w:val="1"/>
          <w:iCs w:val="1"/>
          <w:color w:val="auto"/>
        </w:rPr>
        <w:t xml:space="preserve"> </w:t>
      </w:r>
      <w:r>
        <w:rPr>
          <w:rFonts w:ascii="Arial" w:cs="Arial" w:eastAsia="Arial" w:hAnsi="Arial"/>
          <w:sz w:val="17"/>
          <w:szCs w:val="17"/>
          <w:color w:val="auto"/>
        </w:rPr>
        <w:t>any person (other than this Agreement) that would give rise to a valid claim against any of them or any Underwriter for a brokerage commission, finder’s fee or like payment in connection with the offering and sale of the Shares.</w:t>
      </w:r>
    </w:p>
    <w:p>
      <w:pPr>
        <w:spacing w:after="0" w:line="73" w:lineRule="exact"/>
        <w:rPr>
          <w:rFonts w:ascii="Arial" w:cs="Arial" w:eastAsia="Arial" w:hAnsi="Arial"/>
          <w:sz w:val="17"/>
          <w:szCs w:val="17"/>
          <w:color w:val="auto"/>
        </w:rPr>
      </w:pPr>
    </w:p>
    <w:p>
      <w:pPr>
        <w:ind w:left="-20" w:right="100" w:firstLine="410"/>
        <w:spacing w:after="0" w:line="284" w:lineRule="auto"/>
        <w:tabs>
          <w:tab w:leader="none" w:pos="716"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No Registration Rights</w:t>
      </w:r>
      <w:r>
        <w:rPr>
          <w:rFonts w:ascii="Arial" w:cs="Arial" w:eastAsia="Arial" w:hAnsi="Arial"/>
          <w:sz w:val="16"/>
          <w:szCs w:val="16"/>
          <w:color w:val="auto"/>
        </w:rPr>
        <w:t>. Except as disclosed in the Registration Statement, the Pricing Disclosure Package and the Prospectus, no person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to require any Definitive Party or any of their subsidiaries to register any securities for sale under the Securities Act by reason of the filing of the Registration Statement with the Commission, the issuance and sale of the Shares by the Company.</w:t>
      </w:r>
    </w:p>
    <w:p>
      <w:pPr>
        <w:spacing w:after="0" w:line="56" w:lineRule="exact"/>
        <w:rPr>
          <w:rFonts w:ascii="Arial" w:cs="Arial" w:eastAsia="Arial" w:hAnsi="Arial"/>
          <w:sz w:val="16"/>
          <w:szCs w:val="16"/>
          <w:color w:val="auto"/>
        </w:rPr>
      </w:pPr>
    </w:p>
    <w:p>
      <w:pPr>
        <w:ind w:left="-20" w:right="560" w:firstLine="410"/>
        <w:spacing w:after="0" w:line="303" w:lineRule="auto"/>
        <w:tabs>
          <w:tab w:leader="none" w:pos="716"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 xml:space="preserve">No Stabilization. </w:t>
      </w:r>
      <w:r>
        <w:rPr>
          <w:rFonts w:ascii="Arial" w:cs="Arial" w:eastAsia="Arial" w:hAnsi="Arial"/>
          <w:sz w:val="16"/>
          <w:szCs w:val="16"/>
          <w:color w:val="auto"/>
        </w:rPr>
        <w:t>Neither of the Definitive Parties nor any of their subsidiaries or affiliates has taken, directly or indirectly,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or that could reasonably be expected to cause or result in any stabilization or manipulation of the price of the Shares.</w:t>
      </w:r>
    </w:p>
    <w:p>
      <w:pPr>
        <w:spacing w:after="0" w:line="41" w:lineRule="exact"/>
        <w:rPr>
          <w:rFonts w:ascii="Arial" w:cs="Arial" w:eastAsia="Arial" w:hAnsi="Arial"/>
          <w:sz w:val="16"/>
          <w:szCs w:val="16"/>
          <w:color w:val="auto"/>
        </w:rPr>
      </w:pPr>
    </w:p>
    <w:p>
      <w:pPr>
        <w:jc w:val="both"/>
        <w:ind w:left="-20" w:right="280" w:firstLine="410"/>
        <w:spacing w:after="0" w:line="260" w:lineRule="auto"/>
        <w:tabs>
          <w:tab w:leader="none" w:pos="716"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Margin Rules</w:t>
      </w:r>
      <w:r>
        <w:rPr>
          <w:rFonts w:ascii="Arial" w:cs="Arial" w:eastAsia="Arial" w:hAnsi="Arial"/>
          <w:sz w:val="17"/>
          <w:szCs w:val="17"/>
          <w:color w:val="auto"/>
        </w:rPr>
        <w:t>. Neither the issuance, sale and delivery of the Shares nor the application of the proceeds thereof by the Definitive Parties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each of the Registration Statement, the Pricing Disclosure Package and the Prospectus will violate Regulation T, U or X of the Board of Governors of the Federal Reserve System or any other regulation of such Board of Governors.</w:t>
      </w:r>
    </w:p>
    <w:p>
      <w:pPr>
        <w:spacing w:after="0" w:line="73" w:lineRule="exact"/>
        <w:rPr>
          <w:rFonts w:ascii="Arial" w:cs="Arial" w:eastAsia="Arial" w:hAnsi="Arial"/>
          <w:sz w:val="17"/>
          <w:szCs w:val="17"/>
          <w:color w:val="auto"/>
        </w:rPr>
      </w:pPr>
    </w:p>
    <w:p>
      <w:pPr>
        <w:ind w:left="-20" w:firstLine="410"/>
        <w:spacing w:after="0" w:line="260" w:lineRule="auto"/>
        <w:tabs>
          <w:tab w:leader="none" w:pos="716"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 xml:space="preserve">Forward-Looking Statements. </w:t>
      </w:r>
      <w:r>
        <w:rPr>
          <w:rFonts w:ascii="Arial" w:cs="Arial" w:eastAsia="Arial" w:hAnsi="Arial"/>
          <w:sz w:val="17"/>
          <w:szCs w:val="17"/>
          <w:color w:val="auto"/>
        </w:rPr>
        <w:t>No forward-looking statement (within the meaning of Section 27A of the Securities Act and Section 21E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included in any of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7"/>
          <w:szCs w:val="17"/>
          <w:color w:val="auto"/>
        </w:rPr>
      </w:pPr>
    </w:p>
    <w:p>
      <w:pPr>
        <w:ind w:left="-20" w:firstLine="410"/>
        <w:spacing w:after="0" w:line="260" w:lineRule="auto"/>
        <w:tabs>
          <w:tab w:leader="none" w:pos="660"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 xml:space="preserve">Statistical and Market Data. </w:t>
      </w:r>
      <w:r>
        <w:rPr>
          <w:rFonts w:ascii="Arial" w:cs="Arial" w:eastAsia="Arial" w:hAnsi="Arial"/>
          <w:sz w:val="17"/>
          <w:szCs w:val="17"/>
          <w:color w:val="auto"/>
        </w:rPr>
        <w:t>Nothing has come to the attention of any Definitive Party that has caused such Definitive Party to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statistical and market-related data included in each of the Registration Statement, the Pricing Disclosure Package and the Prospectus is not based on or derived from sources that are reliable and accurate in all material respects.</w:t>
      </w:r>
    </w:p>
    <w:p>
      <w:pPr>
        <w:spacing w:after="0" w:line="73" w:lineRule="exact"/>
        <w:rPr>
          <w:rFonts w:ascii="Arial" w:cs="Arial" w:eastAsia="Arial" w:hAnsi="Arial"/>
          <w:sz w:val="17"/>
          <w:szCs w:val="17"/>
          <w:color w:val="auto"/>
        </w:rPr>
      </w:pPr>
    </w:p>
    <w:p>
      <w:pPr>
        <w:ind w:left="-20" w:right="420" w:firstLine="410"/>
        <w:spacing w:after="0" w:line="277" w:lineRule="auto"/>
        <w:tabs>
          <w:tab w:leader="none" w:pos="679"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Sarbanes-Oxley Act</w:t>
      </w:r>
      <w:r>
        <w:rPr>
          <w:rFonts w:ascii="Arial" w:cs="Arial" w:eastAsia="Arial" w:hAnsi="Arial"/>
          <w:sz w:val="16"/>
          <w:szCs w:val="16"/>
          <w:color w:val="auto"/>
        </w:rPr>
        <w:t>. There is and has been no failure on the part of any Definitive Party or any of the any Definitive Party’s directors 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 insofar as each Definitive Party is required to comply with the aforementioned act, rules and regulations.</w:t>
      </w:r>
    </w:p>
    <w:p>
      <w:pPr>
        <w:spacing w:after="0" w:line="62" w:lineRule="exact"/>
        <w:rPr>
          <w:rFonts w:ascii="Arial" w:cs="Arial" w:eastAsia="Arial" w:hAnsi="Arial"/>
          <w:sz w:val="16"/>
          <w:szCs w:val="16"/>
          <w:color w:val="auto"/>
        </w:rPr>
      </w:pPr>
    </w:p>
    <w:p>
      <w:pPr>
        <w:ind w:left="-20" w:right="140" w:firstLine="410"/>
        <w:spacing w:after="0" w:line="311" w:lineRule="auto"/>
        <w:tabs>
          <w:tab w:leader="none" w:pos="641" w:val="left"/>
        </w:tabs>
        <w:numPr>
          <w:ilvl w:val="0"/>
          <w:numId w:val="246"/>
        </w:numPr>
        <w:rPr>
          <w:rFonts w:ascii="Arial" w:cs="Arial" w:eastAsia="Arial" w:hAnsi="Arial"/>
          <w:sz w:val="15"/>
          <w:szCs w:val="15"/>
          <w:color w:val="auto"/>
        </w:rPr>
      </w:pPr>
      <w:r>
        <w:rPr>
          <w:rFonts w:ascii="Arial" w:cs="Arial" w:eastAsia="Arial" w:hAnsi="Arial"/>
          <w:sz w:val="15"/>
          <w:szCs w:val="15"/>
          <w:i w:val="1"/>
          <w:iCs w:val="1"/>
          <w:color w:val="auto"/>
        </w:rPr>
        <w:t>Company Status under the Securities Act</w:t>
      </w:r>
      <w:r>
        <w:rPr>
          <w:rFonts w:ascii="Arial" w:cs="Arial" w:eastAsia="Arial" w:hAnsi="Arial"/>
          <w:sz w:val="15"/>
          <w:szCs w:val="15"/>
          <w:color w:val="auto"/>
        </w:rPr>
        <w:t>. At the time of filing the Registration Statement and any post-effective amendment thereto, at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earliest time thereafter that the Company or any offering participant made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38" w:lineRule="exact"/>
        <w:rPr>
          <w:rFonts w:ascii="Arial" w:cs="Arial" w:eastAsia="Arial" w:hAnsi="Arial"/>
          <w:sz w:val="15"/>
          <w:szCs w:val="15"/>
          <w:color w:val="auto"/>
        </w:rPr>
      </w:pPr>
    </w:p>
    <w:p>
      <w:pPr>
        <w:ind w:left="-20" w:firstLine="410"/>
        <w:spacing w:after="0" w:line="260" w:lineRule="auto"/>
        <w:tabs>
          <w:tab w:leader="none" w:pos="716"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No Ratings</w:t>
      </w:r>
      <w:r>
        <w:rPr>
          <w:rFonts w:ascii="Arial" w:cs="Arial" w:eastAsia="Arial" w:hAnsi="Arial"/>
          <w:sz w:val="17"/>
          <w:szCs w:val="17"/>
          <w:color w:val="auto"/>
        </w:rPr>
        <w:t>. There are (and prior to the Closing Date, will be) no debt securities, convertible securities or preferred stock issued or guaranteed</w:t>
      </w:r>
      <w:r>
        <w:rPr>
          <w:rFonts w:ascii="Arial" w:cs="Arial" w:eastAsia="Arial" w:hAnsi="Arial"/>
          <w:sz w:val="17"/>
          <w:szCs w:val="17"/>
          <w:i w:val="1"/>
          <w:iCs w:val="1"/>
          <w:color w:val="auto"/>
        </w:rPr>
        <w:t xml:space="preserve"> </w:t>
      </w:r>
      <w:r>
        <w:rPr>
          <w:rFonts w:ascii="Arial" w:cs="Arial" w:eastAsia="Arial" w:hAnsi="Arial"/>
          <w:sz w:val="17"/>
          <w:szCs w:val="17"/>
          <w:color w:val="auto"/>
        </w:rPr>
        <w:t>by any Definitive Party or any of their subsidiaries that are rated by a “nationally recognized statistical rating organization,” as such term is defined in Section 3(a)(62) under the Exchange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80"/>
          </w:cols>
          <w:pgMar w:left="800" w:top="266" w:right="819" w:bottom="1440" w:gutter="0" w:footer="0" w:header="0"/>
        </w:sectPr>
      </w:pPr>
    </w:p>
    <w:bookmarkStart w:id="307" w:name="page308"/>
    <w:bookmarkEnd w:id="307"/>
    <w:p>
      <w:pPr>
        <w:ind w:left="560" w:hanging="170"/>
        <w:spacing w:after="0"/>
        <w:tabs>
          <w:tab w:leader="none" w:pos="5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w:t>
      </w:r>
      <w:r>
        <w:rPr>
          <w:rFonts w:ascii="Arial" w:cs="Arial" w:eastAsia="Arial" w:hAnsi="Arial"/>
          <w:sz w:val="17"/>
          <w:szCs w:val="17"/>
          <w:i w:val="1"/>
          <w:iCs w:val="1"/>
          <w:color w:val="auto"/>
        </w:rPr>
        <w:t>Reserved.</w:t>
      </w:r>
      <w:r>
        <w:rPr>
          <w:rFonts w:ascii="Arial" w:cs="Arial" w:eastAsia="Arial" w:hAnsi="Arial"/>
          <w:sz w:val="17"/>
          <w:szCs w:val="17"/>
          <w:color w:val="auto"/>
        </w:rPr>
        <w:t>]</w:t>
      </w:r>
    </w:p>
    <w:p>
      <w:pPr>
        <w:spacing w:after="0" w:line="108" w:lineRule="exact"/>
        <w:rPr>
          <w:rFonts w:ascii="Arial" w:cs="Arial" w:eastAsia="Arial" w:hAnsi="Arial"/>
          <w:sz w:val="17"/>
          <w:szCs w:val="17"/>
          <w:color w:val="auto"/>
        </w:rPr>
      </w:pPr>
    </w:p>
    <w:p>
      <w:pPr>
        <w:ind w:left="560" w:hanging="170"/>
        <w:spacing w:after="0"/>
        <w:tabs>
          <w:tab w:leader="none" w:pos="560"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Further Agreements of the Company</w:t>
      </w:r>
      <w:r>
        <w:rPr>
          <w:rFonts w:ascii="Arial" w:cs="Arial" w:eastAsia="Arial" w:hAnsi="Arial"/>
          <w:sz w:val="17"/>
          <w:szCs w:val="17"/>
          <w:color w:val="auto"/>
        </w:rPr>
        <w:t>. The Definitive Parties jointly and severally covenant and agree with each Underwriter that:</w:t>
      </w:r>
    </w:p>
    <w:p>
      <w:pPr>
        <w:spacing w:after="0" w:line="108" w:lineRule="exact"/>
        <w:rPr>
          <w:sz w:val="20"/>
          <w:szCs w:val="20"/>
          <w:color w:val="auto"/>
        </w:rPr>
      </w:pPr>
    </w:p>
    <w:p>
      <w:pPr>
        <w:ind w:left="-20" w:right="100" w:firstLine="410"/>
        <w:spacing w:after="0" w:line="254" w:lineRule="auto"/>
        <w:tabs>
          <w:tab w:leader="none" w:pos="622"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424(b) and Rule</w:t>
      </w:r>
      <w:r>
        <w:rPr>
          <w:rFonts w:ascii="Arial" w:cs="Arial" w:eastAsia="Arial" w:hAnsi="Arial"/>
          <w:sz w:val="17"/>
          <w:szCs w:val="17"/>
          <w:i w:val="1"/>
          <w:iCs w:val="1"/>
          <w:color w:val="auto"/>
        </w:rPr>
        <w:t xml:space="preserve"> </w:t>
      </w:r>
      <w:r>
        <w:rPr>
          <w:rFonts w:ascii="Arial" w:cs="Arial" w:eastAsia="Arial" w:hAnsi="Arial"/>
          <w:sz w:val="17"/>
          <w:szCs w:val="17"/>
          <w:color w:val="auto"/>
        </w:rPr>
        <w:t>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80" w:lineRule="exact"/>
        <w:rPr>
          <w:rFonts w:ascii="Arial" w:cs="Arial" w:eastAsia="Arial" w:hAnsi="Arial"/>
          <w:sz w:val="17"/>
          <w:szCs w:val="17"/>
          <w:color w:val="auto"/>
        </w:rPr>
      </w:pPr>
    </w:p>
    <w:p>
      <w:pPr>
        <w:ind w:left="-20" w:right="100" w:firstLine="410"/>
        <w:spacing w:after="0" w:line="269" w:lineRule="auto"/>
        <w:tabs>
          <w:tab w:leader="none" w:pos="632"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Upon written request of the Representatives, the Company will deliver, without charge, (i) to the Representatives, three</w:t>
      </w:r>
      <w:r>
        <w:rPr>
          <w:rFonts w:ascii="Arial" w:cs="Arial" w:eastAsia="Arial" w:hAnsi="Arial"/>
          <w:sz w:val="16"/>
          <w:szCs w:val="16"/>
          <w:i w:val="1"/>
          <w:iCs w:val="1"/>
          <w:color w:val="auto"/>
        </w:rPr>
        <w:t xml:space="preserve"> </w:t>
      </w:r>
      <w:r>
        <w:rPr>
          <w:rFonts w:ascii="Arial" w:cs="Arial" w:eastAsia="Arial" w:hAnsi="Arial"/>
          <w:sz w:val="16"/>
          <w:szCs w:val="16"/>
          <w:color w:val="auto"/>
        </w:rPr>
        <w:t>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72" w:lineRule="exact"/>
        <w:rPr>
          <w:rFonts w:ascii="Arial" w:cs="Arial" w:eastAsia="Arial" w:hAnsi="Arial"/>
          <w:sz w:val="16"/>
          <w:szCs w:val="16"/>
          <w:color w:val="auto"/>
        </w:rPr>
      </w:pPr>
    </w:p>
    <w:p>
      <w:pPr>
        <w:ind w:left="-20" w:firstLine="410"/>
        <w:spacing w:after="0" w:line="274" w:lineRule="auto"/>
        <w:tabs>
          <w:tab w:leader="none" w:pos="622"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making, preparing, using, authorizing, approving, referring to or filing</w:t>
      </w:r>
      <w:r>
        <w:rPr>
          <w:rFonts w:ascii="Arial" w:cs="Arial" w:eastAsia="Arial" w:hAnsi="Arial"/>
          <w:sz w:val="16"/>
          <w:szCs w:val="16"/>
          <w:i w:val="1"/>
          <w:iCs w:val="1"/>
          <w:color w:val="auto"/>
        </w:rPr>
        <w:t xml:space="preserve"> </w:t>
      </w:r>
      <w:r>
        <w:rPr>
          <w:rFonts w:ascii="Arial" w:cs="Arial" w:eastAsia="Arial" w:hAnsi="Arial"/>
          <w:sz w:val="16"/>
          <w:szCs w:val="16"/>
          <w:color w:val="auto"/>
        </w:rPr>
        <w:t>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 in a timely manner.</w:t>
      </w:r>
    </w:p>
    <w:p>
      <w:pPr>
        <w:spacing w:after="0" w:line="64" w:lineRule="exact"/>
        <w:rPr>
          <w:rFonts w:ascii="Arial" w:cs="Arial" w:eastAsia="Arial" w:hAnsi="Arial"/>
          <w:sz w:val="16"/>
          <w:szCs w:val="16"/>
          <w:color w:val="auto"/>
        </w:rPr>
      </w:pPr>
    </w:p>
    <w:p>
      <w:pPr>
        <w:ind w:left="-20" w:right="180" w:firstLine="410"/>
        <w:spacing w:after="0" w:line="272" w:lineRule="auto"/>
        <w:tabs>
          <w:tab w:leader="none" w:pos="632"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(which may be by</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mail), (i) when the Registration Statement has become effective; (ii) when any amendment to the Registration Statement has been filed or becomes effective; (iii) when any supplement to the Pricing Disclosure Package, the Prospectus or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300"/>
          </w:cols>
          <w:pgMar w:left="800" w:top="266" w:right="799" w:bottom="1440" w:gutter="0" w:footer="0" w:header="0"/>
        </w:sectPr>
      </w:pPr>
    </w:p>
    <w:bookmarkStart w:id="308" w:name="page309"/>
    <w:bookmarkEnd w:id="308"/>
    <w:p>
      <w:pPr>
        <w:ind w:right="20"/>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Commission or any other governmental or regulatory authority of any order suspending the effectiveness of the Registration Statement or preventing or suspending the use of any Preliminary Prospectus, any of the Pricing Disclosure Package or the Prospectus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obtain as soon as possible the withdrawal thereof.</w:t>
      </w:r>
    </w:p>
    <w:p>
      <w:pPr>
        <w:spacing w:after="0" w:line="61" w:lineRule="exact"/>
        <w:rPr>
          <w:sz w:val="20"/>
          <w:szCs w:val="20"/>
          <w:color w:val="auto"/>
        </w:rPr>
      </w:pPr>
    </w:p>
    <w:p>
      <w:pPr>
        <w:ind w:firstLine="410"/>
        <w:spacing w:after="0" w:line="266" w:lineRule="auto"/>
        <w:tabs>
          <w:tab w:leader="none" w:pos="642"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 exist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300"/>
          </w:cols>
          <w:pgMar w:left="780" w:top="266" w:right="819" w:bottom="1440" w:gutter="0" w:footer="0" w:header="0"/>
        </w:sectPr>
      </w:pPr>
    </w:p>
    <w:bookmarkStart w:id="309" w:name="page310"/>
    <w:bookmarkEnd w:id="309"/>
    <w:p>
      <w:pPr>
        <w:ind w:left="3" w:right="40" w:firstLine="410"/>
        <w:spacing w:after="0" w:line="254" w:lineRule="auto"/>
        <w:tabs>
          <w:tab w:leader="none" w:pos="627" w:val="left"/>
        </w:tabs>
        <w:numPr>
          <w:ilvl w:val="1"/>
          <w:numId w:val="25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 xml:space="preserve">Blue Sky Compliance. </w:t>
      </w:r>
      <w:r>
        <w:rPr>
          <w:rFonts w:ascii="Arial" w:cs="Arial" w:eastAsia="Arial" w:hAnsi="Arial"/>
          <w:sz w:val="17"/>
          <w:szCs w:val="17"/>
          <w:color w:val="auto"/>
        </w:rPr>
        <w:t>The Company will qualify the Shares for offer and sale under the securities or Blue Sky laws of such jurisdictions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Representatives shall reasonably request and will continue such qualifications in effect so long as required for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0" w:lineRule="exact"/>
        <w:rPr>
          <w:rFonts w:ascii="Arial" w:cs="Arial" w:eastAsia="Arial" w:hAnsi="Arial"/>
          <w:sz w:val="17"/>
          <w:szCs w:val="17"/>
          <w:color w:val="auto"/>
        </w:rPr>
      </w:pPr>
    </w:p>
    <w:p>
      <w:pPr>
        <w:ind w:left="3" w:firstLine="410"/>
        <w:spacing w:after="0" w:line="254" w:lineRule="auto"/>
        <w:tabs>
          <w:tab w:leader="none" w:pos="655" w:val="left"/>
        </w:tabs>
        <w:numPr>
          <w:ilvl w:val="1"/>
          <w:numId w:val="250"/>
        </w:numPr>
        <w:rPr>
          <w:rFonts w:ascii="Arial" w:cs="Arial" w:eastAsia="Arial" w:hAnsi="Arial"/>
          <w:sz w:val="17"/>
          <w:szCs w:val="17"/>
          <w:color w:val="auto"/>
        </w:rPr>
      </w:pPr>
      <w:r>
        <w:rPr>
          <w:rFonts w:ascii="Arial" w:cs="Arial" w:eastAsia="Arial" w:hAnsi="Arial"/>
          <w:sz w:val="17"/>
          <w:szCs w:val="17"/>
          <w:i w:val="1"/>
          <w:iCs w:val="1"/>
          <w:color w:val="auto"/>
        </w:rPr>
        <w:t xml:space="preserve">Earning Statement. </w:t>
      </w:r>
      <w:r>
        <w:rPr>
          <w:rFonts w:ascii="Arial" w:cs="Arial" w:eastAsia="Arial" w:hAnsi="Arial"/>
          <w:sz w:val="17"/>
          <w:szCs w:val="17"/>
          <w:color w:val="auto"/>
        </w:rPr>
        <w:t>The Company will make generally available (electronically or otherwise) to its security holders and the Representatives as</w:t>
      </w:r>
      <w:r>
        <w:rPr>
          <w:rFonts w:ascii="Arial" w:cs="Arial" w:eastAsia="Arial" w:hAnsi="Arial"/>
          <w:sz w:val="17"/>
          <w:szCs w:val="17"/>
          <w:i w:val="1"/>
          <w:iCs w:val="1"/>
          <w:color w:val="auto"/>
        </w:rPr>
        <w:t xml:space="preserve"> </w:t>
      </w:r>
      <w:r>
        <w:rPr>
          <w:rFonts w:ascii="Arial" w:cs="Arial" w:eastAsia="Arial" w:hAnsi="Arial"/>
          <w:sz w:val="17"/>
          <w:szCs w:val="17"/>
          <w:color w:val="auto"/>
        </w:rPr>
        <w:t>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which requirement may be satisfied by a filing with the Commission’s Electronic Data Gathering, Analysis and Retrieval System or any successor thereto.</w:t>
      </w:r>
    </w:p>
    <w:p>
      <w:pPr>
        <w:spacing w:after="0" w:line="80" w:lineRule="exact"/>
        <w:rPr>
          <w:rFonts w:ascii="Arial" w:cs="Arial" w:eastAsia="Arial" w:hAnsi="Arial"/>
          <w:sz w:val="17"/>
          <w:szCs w:val="17"/>
          <w:color w:val="auto"/>
        </w:rPr>
      </w:pPr>
    </w:p>
    <w:p>
      <w:pPr>
        <w:ind w:left="3" w:firstLine="410"/>
        <w:spacing w:after="0" w:line="283" w:lineRule="auto"/>
        <w:tabs>
          <w:tab w:leader="none" w:pos="655" w:val="left"/>
        </w:tabs>
        <w:numPr>
          <w:ilvl w:val="1"/>
          <w:numId w:val="250"/>
        </w:numPr>
        <w:rPr>
          <w:rFonts w:ascii="Arial" w:cs="Arial" w:eastAsia="Arial" w:hAnsi="Arial"/>
          <w:sz w:val="15"/>
          <w:szCs w:val="15"/>
          <w:color w:val="auto"/>
        </w:rPr>
      </w:pPr>
      <w:r>
        <w:rPr>
          <w:rFonts w:ascii="Arial" w:cs="Arial" w:eastAsia="Arial" w:hAnsi="Arial"/>
          <w:sz w:val="15"/>
          <w:szCs w:val="15"/>
          <w:i w:val="1"/>
          <w:iCs w:val="1"/>
          <w:color w:val="auto"/>
        </w:rPr>
        <w:t xml:space="preserve">Clear Market. </w:t>
      </w:r>
      <w:r>
        <w:rPr>
          <w:rFonts w:ascii="Arial" w:cs="Arial" w:eastAsia="Arial" w:hAnsi="Arial"/>
          <w:sz w:val="15"/>
          <w:szCs w:val="15"/>
          <w:color w:val="auto"/>
        </w:rPr>
        <w:t>For a period of 90 days after the date of the Prospectus, or, if later, for a period of 180 days after September 14, 2021, the date</w:t>
      </w:r>
      <w:r>
        <w:rPr>
          <w:rFonts w:ascii="Arial" w:cs="Arial" w:eastAsia="Arial" w:hAnsi="Arial"/>
          <w:sz w:val="15"/>
          <w:szCs w:val="15"/>
          <w:i w:val="1"/>
          <w:iCs w:val="1"/>
          <w:color w:val="auto"/>
        </w:rPr>
        <w:t xml:space="preserve"> </w:t>
      </w:r>
      <w:r>
        <w:rPr>
          <w:rFonts w:ascii="Arial" w:cs="Arial" w:eastAsia="Arial" w:hAnsi="Arial"/>
          <w:sz w:val="15"/>
          <w:szCs w:val="15"/>
          <w:color w:val="auto"/>
        </w:rPr>
        <w:t>of the prospectus used in connection with confirmation of sales of shares of Class A Common Stock in connection with the Company’s initial public offering (the “Lock-up Period”), the Definitive Parties will not (i)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Goldman Sachs &amp; Co. LLC and J.P. Morgan Securities LLC, other than the Shares to be sold hereunder; provided that confidential or non-public submissions to the Commission of any registration statements under the Securities Act may be made if (w) no public announcement of such confidential or non-public submission shall be made, (x) if any demand was made for, or any right exercised with respect to, such registration of shares of Stock or securities convertible, exercisable or exchangeable into Stock, no public announcement of such demand or exercise of rights shall be made,</w:t>
      </w:r>
    </w:p>
    <w:p>
      <w:pPr>
        <w:spacing w:after="0" w:line="2" w:lineRule="exact"/>
        <w:rPr>
          <w:rFonts w:ascii="Arial" w:cs="Arial" w:eastAsia="Arial" w:hAnsi="Arial"/>
          <w:sz w:val="15"/>
          <w:szCs w:val="15"/>
          <w:color w:val="auto"/>
        </w:rPr>
      </w:pPr>
    </w:p>
    <w:p>
      <w:pPr>
        <w:ind w:left="243" w:hanging="243"/>
        <w:spacing w:after="0"/>
        <w:tabs>
          <w:tab w:leader="none" w:pos="243" w:val="left"/>
        </w:tabs>
        <w:numPr>
          <w:ilvl w:val="0"/>
          <w:numId w:val="251"/>
        </w:numPr>
        <w:rPr>
          <w:rFonts w:ascii="Arial" w:cs="Arial" w:eastAsia="Arial" w:hAnsi="Arial"/>
          <w:sz w:val="15"/>
          <w:szCs w:val="15"/>
          <w:color w:val="auto"/>
        </w:rPr>
      </w:pPr>
      <w:r>
        <w:rPr>
          <w:rFonts w:ascii="Arial" w:cs="Arial" w:eastAsia="Arial" w:hAnsi="Arial"/>
          <w:sz w:val="15"/>
          <w:szCs w:val="15"/>
          <w:color w:val="auto"/>
        </w:rPr>
        <w:t>the Company shall provide written notice at least three business days prior to such confidential or non-public submission to the Representatives and</w:t>
      </w:r>
    </w:p>
    <w:p>
      <w:pPr>
        <w:spacing w:after="0" w:line="30" w:lineRule="exact"/>
        <w:rPr>
          <w:rFonts w:ascii="Arial" w:cs="Arial" w:eastAsia="Arial" w:hAnsi="Arial"/>
          <w:sz w:val="15"/>
          <w:szCs w:val="15"/>
          <w:color w:val="auto"/>
        </w:rPr>
      </w:pPr>
    </w:p>
    <w:p>
      <w:pPr>
        <w:ind w:left="223" w:hanging="223"/>
        <w:spacing w:after="0"/>
        <w:tabs>
          <w:tab w:leader="none" w:pos="223"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no such confidential or non-public submission shall become a publicly filed registration statement during the Lock-up Period.</w:t>
      </w:r>
    </w:p>
    <w:p>
      <w:pPr>
        <w:spacing w:after="0" w:line="198" w:lineRule="exact"/>
        <w:rPr>
          <w:sz w:val="20"/>
          <w:szCs w:val="20"/>
          <w:color w:val="auto"/>
        </w:rPr>
      </w:pPr>
    </w:p>
    <w:p>
      <w:pPr>
        <w:jc w:val="both"/>
        <w:ind w:left="3" w:right="160" w:firstLine="413"/>
        <w:spacing w:after="0" w:line="301" w:lineRule="auto"/>
        <w:rPr>
          <w:sz w:val="20"/>
          <w:szCs w:val="20"/>
          <w:color w:val="auto"/>
        </w:rPr>
      </w:pPr>
      <w:r>
        <w:rPr>
          <w:rFonts w:ascii="Arial" w:cs="Arial" w:eastAsia="Arial" w:hAnsi="Arial"/>
          <w:sz w:val="15"/>
          <w:szCs w:val="15"/>
          <w:color w:val="auto"/>
        </w:rPr>
        <w:t>The restrictions described above do not apply to (i) the Shares to be sold hereunder and securities issued, transferred, redeemed or exchanged in connection with the Reorganization Transactions or the offering transactions (as defined in the Registration Statement, the Pricing Disclosure Package and the Prospectus) on or prior to the Closing Date; (ii) the issuance of shares of Stock or securities convertible into or exercisable for shares of Stock pursuant to the conversion or exchange of convertible or exchangeable securities or the exercise of warrants or</w:t>
      </w:r>
    </w:p>
    <w:p>
      <w:pPr>
        <w:spacing w:after="0" w:line="84"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303"/>
          </w:cols>
          <w:pgMar w:left="777" w:top="266" w:right="819" w:bottom="1440" w:gutter="0" w:footer="0" w:header="0"/>
        </w:sectPr>
      </w:pPr>
    </w:p>
    <w:bookmarkStart w:id="310" w:name="page311"/>
    <w:bookmarkEnd w:id="310"/>
    <w:p>
      <w:pPr>
        <w:ind w:right="40"/>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6">
                      <a:extLst>
                        <a:ext uri="{28A0092B-C50C-407E-A947-70E740481C1C}"/>
                      </a:extLst>
                    </a:blip>
                    <a:srcRect/>
                    <a:stretch>
                      <a:fillRect/>
                    </a:stretch>
                  </pic:blipFill>
                  <pic:spPr bwMode="auto">
                    <a:xfrm>
                      <a:off x="0" y="0"/>
                      <a:ext cx="7182485" cy="36195"/>
                    </a:xfrm>
                    <a:prstGeom prst="rect">
                      <a:avLst/>
                    </a:prstGeom>
                    <a:noFill/>
                  </pic:spPr>
                </pic:pic>
              </a:graphicData>
            </a:graphic>
          </wp:anchor>
        </w:drawing>
        <w:t xml:space="preserve">options (including net exercise) or the settlement of restricted stock units (“RSUs”) (including net settlement), in each case outstanding on the date of this Agreement and described in the Prospectus; (iii)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recipients not already party to a lock-up agreement with the Underwriters enter into a lock-up agreement with the Underwriters; (iv) the issuance of up to 10% of the outstanding shares of Stock, or securities convertible into, exercisable for, or which are otherwise exchangeable for, Stock (including, without limitation LLC Units), immediately following the Closing Date, in acquisitions or other similar strategic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recipients enter into a lock-up agreement with the Underwriters; (v) the establishment of a trading plan pursuant to Rule 10b5-1 under the Exchange Act, provided that such plan does not provide for the transfer of shares of common stock during the Lock-up Period and the establishment of such plan does not require or otherwise result in any public filing or other public announcement of such plan during the Lock-up Period; or (vi)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spacing w:after="0" w:line="74" w:lineRule="exact"/>
        <w:rPr>
          <w:sz w:val="20"/>
          <w:szCs w:val="20"/>
          <w:color w:val="auto"/>
        </w:rPr>
      </w:pPr>
    </w:p>
    <w:p>
      <w:pPr>
        <w:ind w:right="120" w:firstLine="410"/>
        <w:spacing w:after="0" w:line="272" w:lineRule="auto"/>
        <w:tabs>
          <w:tab w:leader="none" w:pos="615"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will apply the net proceeds from the sale of the Shares as described in each of the Registration Statement,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Disclosure Package and the Prospectus under the heading “Use of Proceeds.”</w:t>
      </w:r>
    </w:p>
    <w:p>
      <w:pPr>
        <w:spacing w:after="0" w:line="63" w:lineRule="exact"/>
        <w:rPr>
          <w:rFonts w:ascii="Arial" w:cs="Arial" w:eastAsia="Arial" w:hAnsi="Arial"/>
          <w:sz w:val="17"/>
          <w:szCs w:val="17"/>
          <w:color w:val="auto"/>
        </w:rPr>
      </w:pPr>
    </w:p>
    <w:p>
      <w:pPr>
        <w:ind w:right="180" w:firstLine="410"/>
        <w:spacing w:after="0" w:line="272" w:lineRule="auto"/>
        <w:tabs>
          <w:tab w:leader="none" w:pos="615"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Neither of the Definitive Parties nor their subsidiaries or affiliates will take, directly or indirectly, any action designed to or</w:t>
      </w:r>
      <w:r>
        <w:rPr>
          <w:rFonts w:ascii="Arial" w:cs="Arial" w:eastAsia="Arial" w:hAnsi="Arial"/>
          <w:sz w:val="17"/>
          <w:szCs w:val="17"/>
          <w:i w:val="1"/>
          <w:iCs w:val="1"/>
          <w:color w:val="auto"/>
        </w:rPr>
        <w:t xml:space="preserve"> </w:t>
      </w:r>
      <w:r>
        <w:rPr>
          <w:rFonts w:ascii="Arial" w:cs="Arial" w:eastAsia="Arial" w:hAnsi="Arial"/>
          <w:sz w:val="17"/>
          <w:szCs w:val="17"/>
          <w:color w:val="auto"/>
        </w:rPr>
        <w:t>that could reasonably be expected to cause or result in any stabilization or manipulation of the price of the Stock.</w:t>
      </w:r>
    </w:p>
    <w:p>
      <w:pPr>
        <w:spacing w:after="0" w:line="63" w:lineRule="exact"/>
        <w:rPr>
          <w:rFonts w:ascii="Arial" w:cs="Arial" w:eastAsia="Arial" w:hAnsi="Arial"/>
          <w:sz w:val="17"/>
          <w:szCs w:val="17"/>
          <w:color w:val="auto"/>
        </w:rPr>
      </w:pPr>
    </w:p>
    <w:p>
      <w:pPr>
        <w:ind w:right="540" w:firstLine="410"/>
        <w:spacing w:after="0" w:line="272" w:lineRule="auto"/>
        <w:tabs>
          <w:tab w:leader="none" w:pos="652"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Company will use its reasonable best efforts to list or maintain the listing, as applicable and subject to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the Shares on the Exchange.</w:t>
      </w:r>
    </w:p>
    <w:p>
      <w:pPr>
        <w:spacing w:after="0" w:line="63" w:lineRule="exact"/>
        <w:rPr>
          <w:rFonts w:ascii="Arial" w:cs="Arial" w:eastAsia="Arial" w:hAnsi="Arial"/>
          <w:sz w:val="17"/>
          <w:szCs w:val="17"/>
          <w:color w:val="auto"/>
        </w:rPr>
      </w:pPr>
    </w:p>
    <w:p>
      <w:pPr>
        <w:ind w:firstLine="410"/>
        <w:spacing w:after="0" w:line="254" w:lineRule="auto"/>
        <w:tabs>
          <w:tab w:leader="none" w:pos="615"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 xml:space="preserve">Reports. </w:t>
      </w:r>
      <w:r>
        <w:rPr>
          <w:rFonts w:ascii="Arial" w:cs="Arial" w:eastAsia="Arial" w:hAnsi="Arial"/>
          <w:sz w:val="17"/>
          <w:szCs w:val="17"/>
          <w:color w:val="auto"/>
        </w:rPr>
        <w:t>Until the third anniversary of the date hereof, the Company will furnish to the Representatives, as soon as they are available, copies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Company will be deemed to have furnished such reports and financial statements to the Representatives to the extent they are filed on the Commission’s Electronic Data Gathering, Analysis, and Retrieval system.</w:t>
      </w:r>
    </w:p>
    <w:p>
      <w:pPr>
        <w:spacing w:after="0" w:line="80" w:lineRule="exact"/>
        <w:rPr>
          <w:rFonts w:ascii="Arial" w:cs="Arial" w:eastAsia="Arial" w:hAnsi="Arial"/>
          <w:sz w:val="17"/>
          <w:szCs w:val="17"/>
          <w:color w:val="auto"/>
        </w:rPr>
      </w:pPr>
    </w:p>
    <w:p>
      <w:pPr>
        <w:ind w:right="220" w:firstLine="410"/>
        <w:spacing w:after="0" w:line="272" w:lineRule="auto"/>
        <w:tabs>
          <w:tab w:leader="none" w:pos="699"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that is not filed with the Commission in accordance with Rule 433 under the Securities Act.</w:t>
      </w:r>
    </w:p>
    <w:p>
      <w:pPr>
        <w:spacing w:after="0" w:line="63" w:lineRule="exact"/>
        <w:rPr>
          <w:sz w:val="20"/>
          <w:szCs w:val="20"/>
          <w:color w:val="auto"/>
        </w:rPr>
      </w:pPr>
    </w:p>
    <w:p>
      <w:pPr>
        <w:ind w:left="5020" w:right="1280" w:hanging="4610"/>
        <w:spacing w:after="0" w:line="443" w:lineRule="auto"/>
        <w:tabs>
          <w:tab w:leader="none" w:pos="646"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 xml:space="preserve">Filings. </w:t>
      </w:r>
      <w:r>
        <w:rPr>
          <w:rFonts w:ascii="Arial" w:cs="Arial" w:eastAsia="Arial" w:hAnsi="Arial"/>
          <w:sz w:val="17"/>
          <w:szCs w:val="17"/>
          <w:color w:val="auto"/>
        </w:rPr>
        <w:t>The Company will file with the Commission such reports as may be required by Rule 463 under the Securities Act.</w:t>
      </w:r>
      <w:r>
        <w:rPr>
          <w:rFonts w:ascii="Arial" w:cs="Arial" w:eastAsia="Arial" w:hAnsi="Arial"/>
          <w:sz w:val="17"/>
          <w:szCs w:val="17"/>
          <w:i w:val="1"/>
          <w:iCs w:val="1"/>
          <w:color w:val="auto"/>
        </w:rPr>
        <w:t xml:space="preserve"> </w:t>
      </w:r>
      <w:r>
        <w:rPr>
          <w:rFonts w:ascii="Arial" w:cs="Arial" w:eastAsia="Arial" w:hAnsi="Arial"/>
          <w:sz w:val="17"/>
          <w:szCs w:val="17"/>
          <w:color w:val="auto"/>
        </w:rPr>
        <w:t>-21-</w:t>
      </w:r>
    </w:p>
    <w:p>
      <w:pPr>
        <w:sectPr>
          <w:pgSz w:w="11900" w:h="16838" w:orient="portrait"/>
          <w:cols w:equalWidth="0" w:num="1">
            <w:col w:w="10280"/>
          </w:cols>
          <w:pgMar w:left="780" w:top="266" w:right="839" w:bottom="1440" w:gutter="0" w:footer="0" w:header="0"/>
        </w:sectPr>
      </w:pPr>
    </w:p>
    <w:bookmarkStart w:id="311" w:name="page312"/>
    <w:bookmarkEnd w:id="311"/>
    <w:p>
      <w:pPr>
        <w:ind w:left="-20" w:right="80" w:firstLine="410"/>
        <w:spacing w:after="0" w:line="260" w:lineRule="auto"/>
        <w:tabs>
          <w:tab w:leader="none" w:pos="632" w:val="left"/>
        </w:tabs>
        <w:numPr>
          <w:ilvl w:val="0"/>
          <w:numId w:val="25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7">
                      <a:extLst>
                        <a:ext uri="{28A0092B-C50C-407E-A947-70E740481C1C}"/>
                      </a:extLst>
                    </a:blip>
                    <a:srcRect/>
                    <a:stretch>
                      <a:fillRect/>
                    </a:stretch>
                  </pic:blipFill>
                  <pic:spPr bwMode="auto">
                    <a:xfrm>
                      <a:off x="0" y="0"/>
                      <a:ext cx="7182485" cy="36195"/>
                    </a:xfrm>
                    <a:prstGeom prst="rect">
                      <a:avLst/>
                    </a:prstGeom>
                    <a:noFill/>
                  </pic:spPr>
                </pic:pic>
              </a:graphicData>
            </a:graphic>
          </wp:anchor>
        </w:drawing>
        <w:t>Emerging Growth Company</w:t>
      </w:r>
      <w:r>
        <w:rPr>
          <w:rFonts w:ascii="Arial" w:cs="Arial" w:eastAsia="Arial" w:hAnsi="Arial"/>
          <w:sz w:val="17"/>
          <w:szCs w:val="17"/>
          <w:color w:val="auto"/>
        </w:rPr>
        <w:t>. The Company will promptly notify the Representatives if the Company ceases to be an Emerging Growth</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at any time prior to the later of (i) completion of the distribution of Shares within the meaning of the Securities Act and (ii) completion of the 180-day restricted period referred to in Section 5(h) hereof.</w:t>
      </w:r>
    </w:p>
    <w:p>
      <w:pPr>
        <w:spacing w:after="0" w:line="74" w:lineRule="exact"/>
        <w:rPr>
          <w:sz w:val="20"/>
          <w:szCs w:val="20"/>
          <w:color w:val="auto"/>
        </w:rPr>
      </w:pPr>
    </w:p>
    <w:p>
      <w:pPr>
        <w:ind w:left="560" w:hanging="170"/>
        <w:spacing w:after="0"/>
        <w:tabs>
          <w:tab w:leader="none" w:pos="5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Reserved</w:t>
      </w:r>
      <w:r>
        <w:rPr>
          <w:rFonts w:ascii="Arial" w:cs="Arial" w:eastAsia="Arial" w:hAnsi="Arial"/>
          <w:sz w:val="17"/>
          <w:szCs w:val="17"/>
          <w:color w:val="auto"/>
        </w:rPr>
        <w:t>.]</w:t>
      </w:r>
    </w:p>
    <w:p>
      <w:pPr>
        <w:spacing w:after="0" w:line="108" w:lineRule="exact"/>
        <w:rPr>
          <w:rFonts w:ascii="Arial" w:cs="Arial" w:eastAsia="Arial" w:hAnsi="Arial"/>
          <w:sz w:val="17"/>
          <w:szCs w:val="17"/>
          <w:color w:val="auto"/>
        </w:rPr>
      </w:pPr>
    </w:p>
    <w:p>
      <w:pPr>
        <w:ind w:left="560" w:hanging="170"/>
        <w:spacing w:after="0"/>
        <w:tabs>
          <w:tab w:leader="none" w:pos="56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Certain Agreements of the Underwriters</w:t>
      </w:r>
      <w:r>
        <w:rPr>
          <w:rFonts w:ascii="Arial" w:cs="Arial" w:eastAsia="Arial" w:hAnsi="Arial"/>
          <w:sz w:val="17"/>
          <w:szCs w:val="17"/>
          <w:color w:val="auto"/>
        </w:rPr>
        <w:t>. Each Underwriter hereby severally represents and agrees that:</w:t>
      </w:r>
    </w:p>
    <w:p>
      <w:pPr>
        <w:spacing w:after="0" w:line="108" w:lineRule="exact"/>
        <w:rPr>
          <w:sz w:val="20"/>
          <w:szCs w:val="20"/>
          <w:color w:val="auto"/>
        </w:rPr>
      </w:pPr>
    </w:p>
    <w:p>
      <w:pPr>
        <w:ind w:left="-20" w:right="20" w:firstLine="410"/>
        <w:spacing w:after="0" w:line="270" w:lineRule="auto"/>
        <w:tabs>
          <w:tab w:leader="none" w:pos="62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w:t>
      </w:r>
    </w:p>
    <w:p>
      <w:pPr>
        <w:spacing w:after="0" w:line="70" w:lineRule="exact"/>
        <w:rPr>
          <w:rFonts w:ascii="Arial" w:cs="Arial" w:eastAsia="Arial" w:hAnsi="Arial"/>
          <w:sz w:val="16"/>
          <w:szCs w:val="16"/>
          <w:color w:val="auto"/>
        </w:rPr>
      </w:pPr>
    </w:p>
    <w:p>
      <w:pPr>
        <w:ind w:left="-20" w:firstLine="410"/>
        <w:spacing w:after="0" w:line="254" w:lineRule="auto"/>
        <w:tabs>
          <w:tab w:leader="none" w:pos="632"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Underwriters may use a term sheet substantially in the form of Annex B hereto without the consent of the Company;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Underwriter using such term sheet shall notify the Company, and provide a copy of such term sheet to the Company, prior to, or substantially concurrently with, the first use of such term sheet.</w:t>
      </w:r>
    </w:p>
    <w:p>
      <w:pPr>
        <w:spacing w:after="0" w:line="80" w:lineRule="exact"/>
        <w:rPr>
          <w:rFonts w:ascii="Arial" w:cs="Arial" w:eastAsia="Arial" w:hAnsi="Arial"/>
          <w:sz w:val="17"/>
          <w:szCs w:val="17"/>
          <w:color w:val="auto"/>
        </w:rPr>
      </w:pPr>
    </w:p>
    <w:p>
      <w:pPr>
        <w:ind w:left="-20" w:right="260" w:firstLine="410"/>
        <w:spacing w:after="0" w:line="272" w:lineRule="auto"/>
        <w:tabs>
          <w:tab w:leader="none" w:pos="623"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63" w:lineRule="exact"/>
        <w:rPr>
          <w:sz w:val="20"/>
          <w:szCs w:val="20"/>
          <w:color w:val="auto"/>
        </w:rPr>
      </w:pPr>
    </w:p>
    <w:p>
      <w:pPr>
        <w:ind w:left="-20" w:right="20" w:firstLine="410"/>
        <w:spacing w:after="0" w:line="260" w:lineRule="auto"/>
        <w:tabs>
          <w:tab w:leader="none" w:pos="562"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xml:space="preserve"> The obligation of each Underwriter to purchase the Underwritten Shares on the Closing Date or the Option Shares on the Additional Closing Date, as the case may be, as provided herein is subject to the performance by the Definitive Parties, jointly and severally, of their covenants and other obligations hereunder and to the following additional conditions:</w:t>
      </w:r>
    </w:p>
    <w:p>
      <w:pPr>
        <w:spacing w:after="0" w:line="74" w:lineRule="exact"/>
        <w:rPr>
          <w:sz w:val="20"/>
          <w:szCs w:val="20"/>
          <w:color w:val="auto"/>
        </w:rPr>
      </w:pPr>
    </w:p>
    <w:p>
      <w:pPr>
        <w:ind w:left="-20" w:right="20" w:firstLine="410"/>
        <w:spacing w:after="0" w:line="274" w:lineRule="auto"/>
        <w:tabs>
          <w:tab w:leader="none" w:pos="622" w:val="left"/>
        </w:tabs>
        <w:numPr>
          <w:ilvl w:val="0"/>
          <w:numId w:val="258"/>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280"/>
          </w:cols>
          <w:pgMar w:left="800" w:top="266" w:right="819" w:bottom="1440" w:gutter="0" w:footer="0" w:header="0"/>
        </w:sectPr>
      </w:pPr>
    </w:p>
    <w:bookmarkStart w:id="312" w:name="page313"/>
    <w:bookmarkEnd w:id="312"/>
    <w:p>
      <w:pPr>
        <w:ind w:left="-20" w:right="100" w:firstLine="410"/>
        <w:spacing w:after="0" w:line="256" w:lineRule="auto"/>
        <w:tabs>
          <w:tab w:leader="none" w:pos="632" w:val="left"/>
        </w:tabs>
        <w:numPr>
          <w:ilvl w:val="0"/>
          <w:numId w:val="25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8">
                      <a:extLst>
                        <a:ext uri="{28A0092B-C50C-407E-A947-70E740481C1C}"/>
                      </a:extLst>
                    </a:blip>
                    <a:srcRect/>
                    <a:stretch>
                      <a:fillRect/>
                    </a:stretch>
                  </pic:blipFill>
                  <pic:spPr bwMode="auto">
                    <a:xfrm>
                      <a:off x="0" y="0"/>
                      <a:ext cx="7182485" cy="36195"/>
                    </a:xfrm>
                    <a:prstGeom prst="rect">
                      <a:avLst/>
                    </a:prstGeom>
                    <a:noFill/>
                  </pic:spPr>
                </pic:pic>
              </a:graphicData>
            </a:graphic>
          </wp:anchor>
        </w:drawing>
        <w:t xml:space="preserve">Representations and Warranties. </w:t>
      </w:r>
      <w:r>
        <w:rPr>
          <w:rFonts w:ascii="Arial" w:cs="Arial" w:eastAsia="Arial" w:hAnsi="Arial"/>
          <w:sz w:val="17"/>
          <w:szCs w:val="17"/>
          <w:color w:val="auto"/>
        </w:rPr>
        <w:t>The representations and warranties of the Definitive Parties contained herein shall be true and correct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hereof and on and as of the Closing Date or the Additional Closing Date, as the case may be; and the statements of each Definitive Party and its officers made in any certificates delivered pursuant to this Agreement shall be true and correct on and as of the Closing Date or the Additional Closing Date, as the case may be.</w:t>
      </w:r>
    </w:p>
    <w:p>
      <w:pPr>
        <w:spacing w:after="0" w:line="77" w:lineRule="exact"/>
        <w:rPr>
          <w:rFonts w:ascii="Arial" w:cs="Arial" w:eastAsia="Arial" w:hAnsi="Arial"/>
          <w:sz w:val="17"/>
          <w:szCs w:val="17"/>
          <w:color w:val="auto"/>
        </w:rPr>
      </w:pPr>
    </w:p>
    <w:p>
      <w:pPr>
        <w:ind w:left="-20" w:right="60" w:firstLine="410"/>
        <w:spacing w:after="0" w:line="274" w:lineRule="auto"/>
        <w:tabs>
          <w:tab w:leader="none" w:pos="622" w:val="left"/>
        </w:tabs>
        <w:numPr>
          <w:ilvl w:val="0"/>
          <w:numId w:val="259"/>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No event or condition of a type described in Section 3(h) hereof shall have occurred or shall exist, which event</w:t>
      </w:r>
      <w:r>
        <w:rPr>
          <w:rFonts w:ascii="Arial" w:cs="Arial" w:eastAsia="Arial" w:hAnsi="Arial"/>
          <w:sz w:val="16"/>
          <w:szCs w:val="16"/>
          <w:i w:val="1"/>
          <w:iCs w:val="1"/>
          <w:color w:val="auto"/>
        </w:rPr>
        <w:t xml:space="preserve"> </w:t>
      </w:r>
      <w:r>
        <w:rPr>
          <w:rFonts w:ascii="Arial" w:cs="Arial" w:eastAsia="Arial" w:hAnsi="Arial"/>
          <w:sz w:val="16"/>
          <w:szCs w:val="16"/>
          <w:color w:val="auto"/>
        </w:rPr>
        <w:t>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64" w:lineRule="exact"/>
        <w:rPr>
          <w:rFonts w:ascii="Arial" w:cs="Arial" w:eastAsia="Arial" w:hAnsi="Arial"/>
          <w:sz w:val="16"/>
          <w:szCs w:val="16"/>
          <w:color w:val="auto"/>
        </w:rPr>
      </w:pPr>
    </w:p>
    <w:p>
      <w:pPr>
        <w:ind w:left="-20" w:right="40" w:firstLine="410"/>
        <w:spacing w:after="0" w:line="291" w:lineRule="auto"/>
        <w:tabs>
          <w:tab w:leader="none" w:pos="632" w:val="left"/>
        </w:tabs>
        <w:numPr>
          <w:ilvl w:val="0"/>
          <w:numId w:val="259"/>
        </w:numPr>
        <w:rPr>
          <w:rFonts w:ascii="Arial" w:cs="Arial" w:eastAsia="Arial" w:hAnsi="Arial"/>
          <w:sz w:val="15"/>
          <w:szCs w:val="15"/>
          <w:color w:val="auto"/>
        </w:rPr>
      </w:pPr>
      <w:r>
        <w:rPr>
          <w:rFonts w:ascii="Arial" w:cs="Arial" w:eastAsia="Arial" w:hAnsi="Arial"/>
          <w:sz w:val="15"/>
          <w:szCs w:val="15"/>
          <w:i w:val="1"/>
          <w:iCs w:val="1"/>
          <w:color w:val="auto"/>
        </w:rPr>
        <w:t xml:space="preserve">Officers’ Certificates. </w:t>
      </w:r>
      <w:r>
        <w:rPr>
          <w:rFonts w:ascii="Arial" w:cs="Arial" w:eastAsia="Arial" w:hAnsi="Arial"/>
          <w:sz w:val="15"/>
          <w:szCs w:val="15"/>
          <w:color w:val="auto"/>
        </w:rPr>
        <w:t>The Representatives shall have received on and as of the Closing Date or the Additional Closing Date, as the case may</w:t>
      </w:r>
      <w:r>
        <w:rPr>
          <w:rFonts w:ascii="Arial" w:cs="Arial" w:eastAsia="Arial" w:hAnsi="Arial"/>
          <w:sz w:val="15"/>
          <w:szCs w:val="15"/>
          <w:i w:val="1"/>
          <w:iCs w:val="1"/>
          <w:color w:val="auto"/>
        </w:rPr>
        <w:t xml:space="preserve"> </w:t>
      </w:r>
      <w:r>
        <w:rPr>
          <w:rFonts w:ascii="Arial" w:cs="Arial" w:eastAsia="Arial" w:hAnsi="Arial"/>
          <w:sz w:val="15"/>
          <w:szCs w:val="15"/>
          <w:color w:val="auto"/>
        </w:rPr>
        <w:t>be, a certificate of the chief financial officer or chief accounting officer of each Definitive Party and one additional senior executive officer of each Definitive Party who is satisfactory to the Representatives (i) confirming that such officers have reviewed the Registration Statement, the Pricing Disclosure Package and the Prospectus and, to the knowledge of such officers, the representations of each Definitive Party set forth in Sections 3(b) and 3(d) hereof are true and correct, (ii) confirming that the other representations and warranties of each Definitive Party in this Agreement are true and correct and that each Definitive Party has complied with all agreements and satisfied all conditions on its part to be performed or satisfied hereunder at or prior to the Closing Date or the Additional Closing Date, as the case may be, and (iii) to the effect set forth in paragraphs (a) and (c) above.</w:t>
      </w:r>
    </w:p>
    <w:p>
      <w:pPr>
        <w:spacing w:after="0" w:line="55" w:lineRule="exact"/>
        <w:rPr>
          <w:rFonts w:ascii="Arial" w:cs="Arial" w:eastAsia="Arial" w:hAnsi="Arial"/>
          <w:sz w:val="15"/>
          <w:szCs w:val="15"/>
          <w:color w:val="auto"/>
        </w:rPr>
      </w:pPr>
    </w:p>
    <w:p>
      <w:pPr>
        <w:ind w:left="-20" w:firstLine="410"/>
        <w:spacing w:after="0" w:line="270" w:lineRule="auto"/>
        <w:tabs>
          <w:tab w:leader="none" w:pos="622" w:val="left"/>
        </w:tabs>
        <w:numPr>
          <w:ilvl w:val="0"/>
          <w:numId w:val="259"/>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(i) On the date of this Agreement and on the Closing Date or the Additional Closing Date, as the case may be, Deloitte &amp;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Touche LLP shall have furnished to the Representatives, at the request of the Definitive Parties,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letter delivered on the Closing Date or the Additional Closing Date, as the case may be, shall use a “cut-off” date no more than two business days prior to such Closing Date or such Additional Closing Date, as the case may be.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280"/>
          </w:cols>
          <w:pgMar w:left="800" w:top="266" w:right="819" w:bottom="1440" w:gutter="0" w:footer="0" w:header="0"/>
        </w:sectPr>
      </w:pPr>
    </w:p>
    <w:bookmarkStart w:id="313" w:name="page314"/>
    <w:bookmarkEnd w:id="313"/>
    <w:p>
      <w:pPr>
        <w:ind w:right="100" w:firstLine="410"/>
        <w:spacing w:after="0" w:line="256" w:lineRule="auto"/>
        <w:tabs>
          <w:tab w:leader="none" w:pos="662" w:val="left"/>
        </w:tabs>
        <w:numPr>
          <w:ilvl w:val="0"/>
          <w:numId w:val="2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9">
                      <a:extLst>
                        <a:ext uri="{28A0092B-C50C-407E-A947-70E740481C1C}"/>
                      </a:extLst>
                    </a:blip>
                    <a:srcRect/>
                    <a:stretch>
                      <a:fillRect/>
                    </a:stretch>
                  </pic:blipFill>
                  <pic:spPr bwMode="auto">
                    <a:xfrm>
                      <a:off x="0" y="0"/>
                      <a:ext cx="7182485" cy="36195"/>
                    </a:xfrm>
                    <a:prstGeom prst="rect">
                      <a:avLst/>
                    </a:prstGeom>
                    <a:noFill/>
                  </pic:spPr>
                </pic:pic>
              </a:graphicData>
            </a:graphic>
          </wp:anchor>
        </w:drawing>
        <w:t>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78" w:lineRule="exact"/>
        <w:rPr>
          <w:sz w:val="20"/>
          <w:szCs w:val="20"/>
          <w:color w:val="auto"/>
        </w:rPr>
      </w:pPr>
    </w:p>
    <w:p>
      <w:pPr>
        <w:ind w:right="20" w:firstLine="410"/>
        <w:spacing w:after="0" w:line="256" w:lineRule="auto"/>
        <w:tabs>
          <w:tab w:leader="none" w:pos="624" w:val="left"/>
        </w:tabs>
        <w:numPr>
          <w:ilvl w:val="0"/>
          <w:numId w:val="261"/>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Definitive Parties. </w:t>
      </w:r>
      <w:r>
        <w:rPr>
          <w:rFonts w:ascii="Arial" w:cs="Arial" w:eastAsia="Arial" w:hAnsi="Arial"/>
          <w:sz w:val="17"/>
          <w:szCs w:val="17"/>
          <w:color w:val="auto"/>
        </w:rPr>
        <w:t>Weil, Gotshal &amp; Manges LLP, counsel for the Definitive Parties,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to the Representatives, at the request of the Definitive Parties, their written opinion and 10b-5 statement, dated the Closing Date or the Additional Closing Date, as the case may be, and addressed to the Underwriters, in form and substance reasonably satisfactory to the Representatives, to the effect set forth in Annex C hereto.</w:t>
      </w:r>
    </w:p>
    <w:p>
      <w:pPr>
        <w:spacing w:after="0" w:line="77" w:lineRule="exact"/>
        <w:rPr>
          <w:rFonts w:ascii="Arial" w:cs="Arial" w:eastAsia="Arial" w:hAnsi="Arial"/>
          <w:sz w:val="17"/>
          <w:szCs w:val="17"/>
          <w:color w:val="auto"/>
        </w:rPr>
      </w:pPr>
    </w:p>
    <w:p>
      <w:pPr>
        <w:ind w:right="60" w:firstLine="410"/>
        <w:spacing w:after="0" w:line="277" w:lineRule="auto"/>
        <w:tabs>
          <w:tab w:leader="none" w:pos="652"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Closing Date, as the case may be, an opinion and 10b-5 statement, addressed to the Underwriters, of Latham &amp; Watkins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62" w:lineRule="exact"/>
        <w:rPr>
          <w:rFonts w:ascii="Arial" w:cs="Arial" w:eastAsia="Arial" w:hAnsi="Arial"/>
          <w:sz w:val="16"/>
          <w:szCs w:val="16"/>
          <w:color w:val="auto"/>
        </w:rPr>
      </w:pPr>
    </w:p>
    <w:p>
      <w:pPr>
        <w:ind w:right="140" w:firstLine="410"/>
        <w:spacing w:after="0" w:line="254" w:lineRule="auto"/>
        <w:tabs>
          <w:tab w:leader="none" w:pos="652" w:val="left"/>
        </w:tabs>
        <w:numPr>
          <w:ilvl w:val="0"/>
          <w:numId w:val="261"/>
        </w:numPr>
        <w:rPr>
          <w:rFonts w:ascii="Arial" w:cs="Arial" w:eastAsia="Arial" w:hAnsi="Arial"/>
          <w:sz w:val="17"/>
          <w:szCs w:val="17"/>
          <w:color w:val="auto"/>
        </w:rPr>
      </w:pPr>
      <w:r>
        <w:rPr>
          <w:rFonts w:ascii="Arial" w:cs="Arial" w:eastAsia="Arial" w:hAnsi="Arial"/>
          <w:sz w:val="17"/>
          <w:szCs w:val="17"/>
          <w:i w:val="1"/>
          <w:iCs w:val="1"/>
          <w:color w:val="auto"/>
        </w:rPr>
        <w:t xml:space="preserve">No Legal Impediment to Issuance and/or Sale. </w:t>
      </w:r>
      <w:r>
        <w:rPr>
          <w:rFonts w:ascii="Arial" w:cs="Arial" w:eastAsia="Arial" w:hAnsi="Arial"/>
          <w:sz w:val="17"/>
          <w:szCs w:val="17"/>
          <w:color w:val="auto"/>
        </w:rPr>
        <w:t>No action shall have been taken and no statute, rule, regulation or order shall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enacted, adopted or issued by any federal, state or foreign governmental or regulatory authority that would, as of the Closing Date or the Additional Closing Date, as the case may be, prevent the issuance or sale of the Shares by the Company; and no injunction or order of any federal, state or foreign court shall have been issued that would, as of the Closing Date or the Additional Closing Date, as the case may be, prevent the issuance or sale of the Shares by the Company.</w:t>
      </w:r>
    </w:p>
    <w:p>
      <w:pPr>
        <w:spacing w:after="0" w:line="80" w:lineRule="exact"/>
        <w:rPr>
          <w:rFonts w:ascii="Arial" w:cs="Arial" w:eastAsia="Arial" w:hAnsi="Arial"/>
          <w:sz w:val="17"/>
          <w:szCs w:val="17"/>
          <w:color w:val="auto"/>
        </w:rPr>
      </w:pPr>
    </w:p>
    <w:p>
      <w:pPr>
        <w:ind w:right="200" w:firstLine="410"/>
        <w:spacing w:after="0" w:line="256" w:lineRule="auto"/>
        <w:tabs>
          <w:tab w:leader="none" w:pos="615" w:val="left"/>
        </w:tabs>
        <w:numPr>
          <w:ilvl w:val="0"/>
          <w:numId w:val="261"/>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The Representatives shall have received on and as of the Closing Date or the Additional Closing Date, as the case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satisfactory evidence of the good standing of each Definitive Party and its subsidiaries in their respective jurisdictions of organization and its good standing in such other jurisdictions as the Representatives may reasonably request, in each case in writing or any standard form of telecommunication from the appropriate governmental authorities of such jurisdictions.</w:t>
      </w:r>
    </w:p>
    <w:p>
      <w:pPr>
        <w:spacing w:after="0" w:line="77" w:lineRule="exact"/>
        <w:rPr>
          <w:rFonts w:ascii="Arial" w:cs="Arial" w:eastAsia="Arial" w:hAnsi="Arial"/>
          <w:sz w:val="17"/>
          <w:szCs w:val="17"/>
          <w:color w:val="auto"/>
        </w:rPr>
      </w:pPr>
    </w:p>
    <w:p>
      <w:pPr>
        <w:ind w:firstLine="410"/>
        <w:spacing w:after="0" w:line="272" w:lineRule="auto"/>
        <w:tabs>
          <w:tab w:leader="none" w:pos="615" w:val="left"/>
        </w:tabs>
        <w:numPr>
          <w:ilvl w:val="0"/>
          <w:numId w:val="261"/>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Shares to be delivered on the Closing Date or the Additional Closing Date, as the case may be, shall have been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for listing on the Exchange, subject to official notice of issuance.</w:t>
      </w:r>
    </w:p>
    <w:p>
      <w:pPr>
        <w:spacing w:after="0" w:line="63" w:lineRule="exact"/>
        <w:rPr>
          <w:rFonts w:ascii="Arial" w:cs="Arial" w:eastAsia="Arial" w:hAnsi="Arial"/>
          <w:sz w:val="17"/>
          <w:szCs w:val="17"/>
          <w:color w:val="auto"/>
        </w:rPr>
      </w:pPr>
    </w:p>
    <w:p>
      <w:pPr>
        <w:ind w:right="260" w:firstLine="410"/>
        <w:spacing w:after="0" w:line="303" w:lineRule="auto"/>
        <w:tabs>
          <w:tab w:leader="none" w:pos="652"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 xml:space="preserve">Additional Documents. </w:t>
      </w:r>
      <w:r>
        <w:rPr>
          <w:rFonts w:ascii="Arial" w:cs="Arial" w:eastAsia="Arial" w:hAnsi="Arial"/>
          <w:sz w:val="16"/>
          <w:szCs w:val="16"/>
          <w:color w:val="auto"/>
        </w:rPr>
        <w:t>On or prior to the Closing Date or the Additional Closing Date, as the case may be, the Definitive Parties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to the Representatives such further certificates and documents as the Representatives may reasonably request.</w:t>
      </w:r>
    </w:p>
    <w:p>
      <w:pPr>
        <w:spacing w:after="0" w:line="143" w:lineRule="exact"/>
        <w:rPr>
          <w:sz w:val="20"/>
          <w:szCs w:val="20"/>
          <w:color w:val="auto"/>
        </w:rPr>
      </w:pPr>
    </w:p>
    <w:p>
      <w:pPr>
        <w:ind w:right="380" w:firstLine="413"/>
        <w:spacing w:after="0" w:line="272" w:lineRule="auto"/>
        <w:rPr>
          <w:sz w:val="20"/>
          <w:szCs w:val="20"/>
          <w:color w:val="auto"/>
        </w:rPr>
      </w:pPr>
      <w:r>
        <w:rPr>
          <w:rFonts w:ascii="Arial" w:cs="Arial" w:eastAsia="Arial" w:hAnsi="Arial"/>
          <w:sz w:val="17"/>
          <w:szCs w:val="17"/>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320"/>
          </w:cols>
          <w:pgMar w:left="780" w:top="266" w:right="799" w:bottom="1440" w:gutter="0" w:footer="0" w:header="0"/>
        </w:sectPr>
      </w:pPr>
    </w:p>
    <w:bookmarkStart w:id="314" w:name="page315"/>
    <w:bookmarkEnd w:id="314"/>
    <w:p>
      <w:pPr>
        <w:ind w:left="560" w:hanging="170"/>
        <w:spacing w:after="0"/>
        <w:tabs>
          <w:tab w:leader="none" w:pos="560"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Indemnification and Contribution</w:t>
      </w:r>
      <w:r>
        <w:rPr>
          <w:rFonts w:ascii="Arial" w:cs="Arial" w:eastAsia="Arial" w:hAnsi="Arial"/>
          <w:sz w:val="17"/>
          <w:szCs w:val="17"/>
          <w:color w:val="auto"/>
        </w:rPr>
        <w:t>.</w:t>
      </w:r>
    </w:p>
    <w:p>
      <w:pPr>
        <w:spacing w:after="0" w:line="108" w:lineRule="exact"/>
        <w:rPr>
          <w:sz w:val="20"/>
          <w:szCs w:val="20"/>
          <w:color w:val="auto"/>
        </w:rPr>
      </w:pPr>
    </w:p>
    <w:p>
      <w:pPr>
        <w:ind w:left="-20" w:firstLine="410"/>
        <w:spacing w:after="0" w:line="286" w:lineRule="auto"/>
        <w:tabs>
          <w:tab w:leader="none" w:pos="622" w:val="left"/>
        </w:tabs>
        <w:numPr>
          <w:ilvl w:val="0"/>
          <w:numId w:val="263"/>
        </w:numPr>
        <w:rPr>
          <w:rFonts w:ascii="Arial" w:cs="Arial" w:eastAsia="Arial" w:hAnsi="Arial"/>
          <w:sz w:val="15"/>
          <w:szCs w:val="15"/>
          <w:color w:val="auto"/>
        </w:rPr>
      </w:pPr>
      <w:r>
        <w:rPr>
          <w:rFonts w:ascii="Arial" w:cs="Arial" w:eastAsia="Arial" w:hAnsi="Arial"/>
          <w:sz w:val="15"/>
          <w:szCs w:val="15"/>
          <w:i w:val="1"/>
          <w:iCs w:val="1"/>
          <w:color w:val="auto"/>
        </w:rPr>
        <w:t xml:space="preserve">Indemnification of the Underwriters by the Company. </w:t>
      </w:r>
      <w:r>
        <w:rPr>
          <w:rFonts w:ascii="Arial" w:cs="Arial" w:eastAsia="Arial" w:hAnsi="Arial"/>
          <w:sz w:val="15"/>
          <w:szCs w:val="15"/>
          <w:color w:val="auto"/>
        </w:rPr>
        <w:t>Each Definitive Party agrees, jointly and severally, to indemnify and hold harmless each</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57" w:lineRule="exact"/>
        <w:rPr>
          <w:rFonts w:ascii="Arial" w:cs="Arial" w:eastAsia="Arial" w:hAnsi="Arial"/>
          <w:sz w:val="15"/>
          <w:szCs w:val="15"/>
          <w:color w:val="auto"/>
        </w:rPr>
      </w:pPr>
    </w:p>
    <w:p>
      <w:pPr>
        <w:ind w:left="-20" w:right="40" w:firstLine="410"/>
        <w:spacing w:after="0" w:line="268" w:lineRule="auto"/>
        <w:tabs>
          <w:tab w:leader="none" w:pos="632" w:val="left"/>
        </w:tabs>
        <w:numPr>
          <w:ilvl w:val="0"/>
          <w:numId w:val="263"/>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Definitive Parties. </w:t>
      </w:r>
      <w:r>
        <w:rPr>
          <w:rFonts w:ascii="Arial" w:cs="Arial" w:eastAsia="Arial" w:hAnsi="Arial"/>
          <w:sz w:val="16"/>
          <w:szCs w:val="16"/>
          <w:color w:val="auto"/>
        </w:rPr>
        <w:t>Each Underwriter agrees, severally and not jointly, to indemnify and hold harmless each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Party and the directors and officers of the Company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[fifth] paragraph and the information contained in the [eleventh, twelfth and thirteenth] paragraphs, in each case under the caption “Underwriting.”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80"/>
          </w:cols>
          <w:pgMar w:left="800" w:top="266" w:right="819" w:bottom="1440" w:gutter="0" w:footer="0" w:header="0"/>
        </w:sectPr>
      </w:pPr>
    </w:p>
    <w:bookmarkStart w:id="315" w:name="page316"/>
    <w:bookmarkEnd w:id="315"/>
    <w:p>
      <w:pPr>
        <w:ind w:firstLine="410"/>
        <w:spacing w:after="0" w:line="283" w:lineRule="auto"/>
        <w:tabs>
          <w:tab w:leader="none" w:pos="642" w:val="left"/>
        </w:tabs>
        <w:numPr>
          <w:ilvl w:val="0"/>
          <w:numId w:val="264"/>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 xml:space="preserve">Notice and Procedures. </w:t>
      </w:r>
      <w:r>
        <w:rPr>
          <w:rFonts w:ascii="Arial" w:cs="Arial" w:eastAsia="Arial" w:hAnsi="Arial"/>
          <w:sz w:val="15"/>
          <w:szCs w:val="15"/>
          <w:color w:val="auto"/>
        </w:rPr>
        <w:t>If any suit, action, proceeding (including any governmental or regulatory investigation), claim or demand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fees and expenses in such proceeding and shall pay the reasonable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Goldman Sachs &amp; Co. LLC, J.P. Morgan Securities LLC, Morgan Stanley &amp; Co. LLC and Barclays Capital Inc. and any such separate firm for the Company, its directors, its officers who signed the Registration Statement and any control persons of the Company shall be designated in writing by the Company shall be designated in writing by any one of them.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320"/>
          </w:cols>
          <w:pgMar w:left="780" w:top="266" w:right="799" w:bottom="1440" w:gutter="0" w:footer="0" w:header="0"/>
        </w:sectPr>
      </w:pPr>
    </w:p>
    <w:bookmarkStart w:id="316" w:name="page317"/>
    <w:bookmarkEnd w:id="316"/>
    <w:p>
      <w:pPr>
        <w:ind w:left="3"/>
        <w:spacing w:after="0" w:line="29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w:t>
      </w:r>
    </w:p>
    <w:p>
      <w:pPr>
        <w:ind w:left="243" w:hanging="243"/>
        <w:spacing w:after="0"/>
        <w:tabs>
          <w:tab w:leader="none" w:pos="243" w:val="left"/>
        </w:tabs>
        <w:numPr>
          <w:ilvl w:val="0"/>
          <w:numId w:val="265"/>
        </w:numPr>
        <w:rPr>
          <w:rFonts w:ascii="Arial" w:cs="Arial" w:eastAsia="Arial" w:hAnsi="Arial"/>
          <w:sz w:val="17"/>
          <w:szCs w:val="17"/>
          <w:color w:val="auto"/>
        </w:rPr>
      </w:pPr>
      <w:r>
        <w:rPr>
          <w:rFonts w:ascii="Arial" w:cs="Arial" w:eastAsia="Arial" w:hAnsi="Arial"/>
          <w:sz w:val="17"/>
          <w:szCs w:val="17"/>
          <w:color w:val="auto"/>
        </w:rPr>
        <w:t>does not include any statement as to or any admission of fault, culpability or a failure to act by or on behalf of any Indemnified Person.</w:t>
      </w:r>
    </w:p>
    <w:p>
      <w:pPr>
        <w:spacing w:after="0" w:line="96" w:lineRule="exact"/>
        <w:rPr>
          <w:rFonts w:ascii="Arial" w:cs="Arial" w:eastAsia="Arial" w:hAnsi="Arial"/>
          <w:sz w:val="17"/>
          <w:szCs w:val="17"/>
          <w:color w:val="auto"/>
        </w:rPr>
      </w:pPr>
    </w:p>
    <w:p>
      <w:pPr>
        <w:ind w:left="3" w:firstLine="410"/>
        <w:spacing w:after="0" w:line="286" w:lineRule="auto"/>
        <w:tabs>
          <w:tab w:leader="none" w:pos="655" w:val="left"/>
        </w:tabs>
        <w:numPr>
          <w:ilvl w:val="1"/>
          <w:numId w:val="265"/>
        </w:numPr>
        <w:rPr>
          <w:rFonts w:ascii="Arial" w:cs="Arial" w:eastAsia="Arial" w:hAnsi="Arial"/>
          <w:sz w:val="15"/>
          <w:szCs w:val="15"/>
          <w:color w:val="auto"/>
        </w:rPr>
      </w:pPr>
      <w:r>
        <w:rPr>
          <w:rFonts w:ascii="Arial" w:cs="Arial" w:eastAsia="Arial" w:hAnsi="Arial"/>
          <w:sz w:val="15"/>
          <w:szCs w:val="15"/>
          <w:i w:val="1"/>
          <w:iCs w:val="1"/>
          <w:color w:val="auto"/>
        </w:rPr>
        <w:t xml:space="preserve">Contribution. </w:t>
      </w:r>
      <w:r>
        <w:rPr>
          <w:rFonts w:ascii="Arial" w:cs="Arial" w:eastAsia="Arial" w:hAnsi="Arial"/>
          <w:sz w:val="15"/>
          <w:szCs w:val="15"/>
          <w:color w:val="auto"/>
        </w:rPr>
        <w:t>If the indemnification provided for in paragraphs (a) or (b) above is unavailable to an Indemnified Person or insufficient in</w:t>
      </w:r>
      <w:r>
        <w:rPr>
          <w:rFonts w:ascii="Arial" w:cs="Arial" w:eastAsia="Arial" w:hAnsi="Arial"/>
          <w:sz w:val="15"/>
          <w:szCs w:val="15"/>
          <w:i w:val="1"/>
          <w:iCs w:val="1"/>
          <w:color w:val="auto"/>
        </w:rPr>
        <w:t xml:space="preserve"> </w:t>
      </w:r>
      <w:r>
        <w:rPr>
          <w:rFonts w:ascii="Arial" w:cs="Arial" w:eastAsia="Arial" w:hAnsi="Arial"/>
          <w:sz w:val="15"/>
          <w:szCs w:val="15"/>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Definitive Parties,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Definitive Parties, on the one hand, and the Underwriters on the other, in connection with the statements or omissions that resulted in such losses, claims, damages or liabilities, as well as any other relevant equitable considerations. The relative benefits received by the Definitive Parties,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Definitive Parties, on the one hand, and the Underwriters on the other, shall be determined by reference to, among other things, whether the untrue or alleged untrue statement of a material fact or the omission or alleged omission to state a material fact relates to information supplied by the Definitive Parties or by the Underwriters and the parties’ relative intent, knowledge, access to information and opportunity to correct or prevent such statement or omission.</w:t>
      </w:r>
    </w:p>
    <w:p>
      <w:pPr>
        <w:spacing w:after="0" w:line="60" w:lineRule="exact"/>
        <w:rPr>
          <w:rFonts w:ascii="Arial" w:cs="Arial" w:eastAsia="Arial" w:hAnsi="Arial"/>
          <w:sz w:val="15"/>
          <w:szCs w:val="15"/>
          <w:color w:val="auto"/>
        </w:rPr>
      </w:pPr>
    </w:p>
    <w:p>
      <w:pPr>
        <w:ind w:left="3" w:right="20" w:firstLine="410"/>
        <w:spacing w:after="0" w:line="287" w:lineRule="auto"/>
        <w:tabs>
          <w:tab w:leader="none" w:pos="645" w:val="left"/>
        </w:tabs>
        <w:numPr>
          <w:ilvl w:val="1"/>
          <w:numId w:val="265"/>
        </w:numPr>
        <w:rPr>
          <w:rFonts w:ascii="Arial" w:cs="Arial" w:eastAsia="Arial" w:hAnsi="Arial"/>
          <w:sz w:val="15"/>
          <w:szCs w:val="15"/>
          <w:color w:val="auto"/>
        </w:rPr>
      </w:pPr>
      <w:r>
        <w:rPr>
          <w:rFonts w:ascii="Arial" w:cs="Arial" w:eastAsia="Arial" w:hAnsi="Arial"/>
          <w:sz w:val="15"/>
          <w:szCs w:val="15"/>
          <w:i w:val="1"/>
          <w:iCs w:val="1"/>
          <w:color w:val="auto"/>
        </w:rPr>
        <w:t xml:space="preserve">Limitation on Liability. </w:t>
      </w:r>
      <w:r>
        <w:rPr>
          <w:rFonts w:ascii="Arial" w:cs="Arial" w:eastAsia="Arial" w:hAnsi="Arial"/>
          <w:sz w:val="15"/>
          <w:szCs w:val="15"/>
          <w:color w:val="auto"/>
        </w:rPr>
        <w:t>The Definitive Parties and the Underwriters agree that it would not be just and equitable if contribution pursuant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paragraph (d) above were determined by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allocation (even if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legal or other expenses incurred by such Indemnified Person in connection with any such action or claim. Notwithstanding the provisions of paragraphs (e) and (f),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w:t>
      </w:r>
    </w:p>
    <w:p>
      <w:pPr>
        <w:spacing w:after="0" w:line="99"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303"/>
          </w:cols>
          <w:pgMar w:left="777" w:top="266" w:right="819" w:bottom="1440" w:gutter="0" w:footer="0" w:header="0"/>
        </w:sectPr>
      </w:pPr>
    </w:p>
    <w:bookmarkStart w:id="317" w:name="page318"/>
    <w:bookmarkEnd w:id="317"/>
    <w:p>
      <w:pPr>
        <w:ind w:left="3" w:right="220" w:firstLine="410"/>
        <w:spacing w:after="0" w:line="272" w:lineRule="auto"/>
        <w:tabs>
          <w:tab w:leader="none" w:pos="627" w:val="left"/>
        </w:tabs>
        <w:numPr>
          <w:ilvl w:val="0"/>
          <w:numId w:val="26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3">
                      <a:extLst>
                        <a:ext uri="{28A0092B-C50C-407E-A947-70E740481C1C}"/>
                      </a:extLst>
                    </a:blip>
                    <a:srcRect/>
                    <a:stretch>
                      <a:fillRect/>
                    </a:stretch>
                  </pic:blipFill>
                  <pic:spPr bwMode="auto">
                    <a:xfrm>
                      <a:off x="0" y="0"/>
                      <a:ext cx="7182485" cy="36195"/>
                    </a:xfrm>
                    <a:prstGeom prst="rect">
                      <a:avLst/>
                    </a:prstGeom>
                    <a:noFill/>
                  </pic:spPr>
                </pic:pic>
              </a:graphicData>
            </a:graphic>
          </wp:anchor>
        </w:drawing>
        <w:t xml:space="preserve">Non-Exclusive Remedies. </w:t>
      </w:r>
      <w:r>
        <w:rPr>
          <w:rFonts w:ascii="Arial" w:cs="Arial" w:eastAsia="Arial" w:hAnsi="Arial"/>
          <w:sz w:val="17"/>
          <w:szCs w:val="17"/>
          <w:color w:val="auto"/>
        </w:rPr>
        <w:t>The remedies provided for in this Section 9 are not exclusive and shall not limit any rights or remedies which may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be available to any Indemnified Person at law or in equity.</w:t>
      </w:r>
    </w:p>
    <w:p>
      <w:pPr>
        <w:spacing w:after="0" w:line="63" w:lineRule="exact"/>
        <w:rPr>
          <w:sz w:val="20"/>
          <w:szCs w:val="20"/>
          <w:color w:val="auto"/>
        </w:rPr>
      </w:pPr>
    </w:p>
    <w:p>
      <w:pPr>
        <w:ind w:left="663" w:hanging="250"/>
        <w:spacing w:after="0"/>
        <w:tabs>
          <w:tab w:leader="none" w:pos="663" w:val="left"/>
        </w:tabs>
        <w:numPr>
          <w:ilvl w:val="1"/>
          <w:numId w:val="267"/>
        </w:numPr>
        <w:rPr>
          <w:rFonts w:ascii="Arial" w:cs="Arial" w:eastAsia="Arial" w:hAnsi="Arial"/>
          <w:sz w:val="17"/>
          <w:szCs w:val="17"/>
          <w:color w:val="auto"/>
        </w:rPr>
      </w:pPr>
      <w:r>
        <w:rPr>
          <w:rFonts w:ascii="Arial" w:cs="Arial" w:eastAsia="Arial" w:hAnsi="Arial"/>
          <w:sz w:val="17"/>
          <w:szCs w:val="17"/>
          <w:u w:val="single" w:color="auto"/>
          <w:color w:val="auto"/>
        </w:rPr>
        <w:t>Effectiveness of Agreement</w:t>
      </w:r>
      <w:r>
        <w:rPr>
          <w:rFonts w:ascii="Arial" w:cs="Arial" w:eastAsia="Arial" w:hAnsi="Arial"/>
          <w:sz w:val="17"/>
          <w:szCs w:val="17"/>
          <w:color w:val="auto"/>
        </w:rPr>
        <w:t>. This Agreement shall become effective as of the date first written above.</w:t>
      </w:r>
    </w:p>
    <w:p>
      <w:pPr>
        <w:spacing w:after="0" w:line="108" w:lineRule="exact"/>
        <w:rPr>
          <w:rFonts w:ascii="Arial" w:cs="Arial" w:eastAsia="Arial" w:hAnsi="Arial"/>
          <w:sz w:val="17"/>
          <w:szCs w:val="17"/>
          <w:color w:val="auto"/>
        </w:rPr>
      </w:pPr>
    </w:p>
    <w:p>
      <w:pPr>
        <w:ind w:left="3" w:right="200" w:firstLine="410"/>
        <w:spacing w:after="0" w:line="290" w:lineRule="auto"/>
        <w:tabs>
          <w:tab w:leader="none" w:pos="663" w:val="left"/>
        </w:tabs>
        <w:numPr>
          <w:ilvl w:val="1"/>
          <w:numId w:val="267"/>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w:t>
      </w:r>
    </w:p>
    <w:p>
      <w:pPr>
        <w:ind w:left="203" w:hanging="203"/>
        <w:spacing w:after="0"/>
        <w:tabs>
          <w:tab w:leader="none" w:pos="203"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trading generally shall have been suspended or materially limited on or by any of the New York Stock Exchange or The Nasdaq Stock Market;</w:t>
      </w:r>
    </w:p>
    <w:p>
      <w:pPr>
        <w:spacing w:after="0" w:line="18" w:lineRule="exact"/>
        <w:rPr>
          <w:rFonts w:ascii="Arial" w:cs="Arial" w:eastAsia="Arial" w:hAnsi="Arial"/>
          <w:sz w:val="16"/>
          <w:szCs w:val="16"/>
          <w:color w:val="auto"/>
        </w:rPr>
      </w:pPr>
    </w:p>
    <w:p>
      <w:pPr>
        <w:ind w:left="3" w:right="80" w:hanging="3"/>
        <w:spacing w:after="0" w:line="269" w:lineRule="auto"/>
        <w:tabs>
          <w:tab w:leader="none" w:pos="251"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67" w:lineRule="exact"/>
        <w:rPr>
          <w:rFonts w:ascii="Arial" w:cs="Arial" w:eastAsia="Arial" w:hAnsi="Arial"/>
          <w:sz w:val="16"/>
          <w:szCs w:val="16"/>
          <w:color w:val="auto"/>
        </w:rPr>
      </w:pPr>
    </w:p>
    <w:p>
      <w:pPr>
        <w:ind w:left="663" w:hanging="250"/>
        <w:spacing w:after="0"/>
        <w:tabs>
          <w:tab w:leader="none" w:pos="663"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t>Defaulting Underwriter</w:t>
      </w:r>
      <w:r>
        <w:rPr>
          <w:rFonts w:ascii="Arial" w:cs="Arial" w:eastAsia="Arial" w:hAnsi="Arial"/>
          <w:sz w:val="17"/>
          <w:szCs w:val="17"/>
          <w:color w:val="auto"/>
        </w:rPr>
        <w:t>.</w:t>
      </w:r>
    </w:p>
    <w:p>
      <w:pPr>
        <w:spacing w:after="0" w:line="108" w:lineRule="exact"/>
        <w:rPr>
          <w:sz w:val="20"/>
          <w:szCs w:val="20"/>
          <w:color w:val="auto"/>
        </w:rPr>
      </w:pPr>
    </w:p>
    <w:p>
      <w:pPr>
        <w:ind w:left="3" w:right="20" w:firstLine="410"/>
        <w:spacing w:after="0" w:line="286" w:lineRule="auto"/>
        <w:tabs>
          <w:tab w:leader="none" w:pos="645" w:val="left"/>
        </w:tabs>
        <w:numPr>
          <w:ilvl w:val="0"/>
          <w:numId w:val="269"/>
        </w:numPr>
        <w:rPr>
          <w:rFonts w:ascii="Arial" w:cs="Arial" w:eastAsia="Arial" w:hAnsi="Arial"/>
          <w:sz w:val="15"/>
          <w:szCs w:val="15"/>
          <w:color w:val="auto"/>
        </w:rPr>
      </w:pPr>
      <w:r>
        <w:rPr>
          <w:rFonts w:ascii="Arial" w:cs="Arial" w:eastAsia="Arial" w:hAnsi="Arial"/>
          <w:sz w:val="15"/>
          <w:szCs w:val="15"/>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thirty-six (36) hours after any such default by any Underwriter, the non-defaulting Underwriters do not arrange for the purchase of such Shares, then the Company shall be entitled to a further period of</w:t>
      </w:r>
    </w:p>
    <w:p>
      <w:pPr>
        <w:ind w:left="3"/>
        <w:spacing w:after="0" w:line="288" w:lineRule="auto"/>
        <w:rPr>
          <w:rFonts w:ascii="Arial" w:cs="Arial" w:eastAsia="Arial" w:hAnsi="Arial"/>
          <w:sz w:val="15"/>
          <w:szCs w:val="15"/>
          <w:color w:val="auto"/>
        </w:rPr>
      </w:pPr>
      <w:r>
        <w:rPr>
          <w:rFonts w:ascii="Arial" w:cs="Arial" w:eastAsia="Arial" w:hAnsi="Arial"/>
          <w:sz w:val="15"/>
          <w:szCs w:val="15"/>
          <w:color w:val="auto"/>
        </w:rPr>
        <w:t>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97" w:lineRule="exact"/>
        <w:rPr>
          <w:sz w:val="20"/>
          <w:szCs w:val="20"/>
          <w:color w:val="auto"/>
        </w:rPr>
      </w:pPr>
    </w:p>
    <w:p>
      <w:pPr>
        <w:jc w:val="center"/>
        <w:ind w:right="-2"/>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323"/>
          </w:cols>
          <w:pgMar w:left="777" w:top="266" w:right="799" w:bottom="1440" w:gutter="0" w:footer="0" w:header="0"/>
        </w:sectPr>
      </w:pPr>
    </w:p>
    <w:bookmarkStart w:id="318" w:name="page319"/>
    <w:bookmarkEnd w:id="318"/>
    <w:p>
      <w:pPr>
        <w:ind w:right="180" w:firstLine="410"/>
        <w:spacing w:after="0" w:line="293" w:lineRule="auto"/>
        <w:tabs>
          <w:tab w:leader="none" w:pos="652" w:val="left"/>
        </w:tabs>
        <w:numPr>
          <w:ilvl w:val="0"/>
          <w:numId w:val="27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4">
                      <a:extLst>
                        <a:ext uri="{28A0092B-C50C-407E-A947-70E740481C1C}"/>
                      </a:extLst>
                    </a:blip>
                    <a:srcRect/>
                    <a:stretch>
                      <a:fillRect/>
                    </a:stretch>
                  </pic:blipFill>
                  <pic:spPr bwMode="auto">
                    <a:xfrm>
                      <a:off x="0" y="0"/>
                      <a:ext cx="7182485" cy="36195"/>
                    </a:xfrm>
                    <a:prstGeom prst="rect">
                      <a:avLst/>
                    </a:prstGeom>
                    <a:noFill/>
                  </pic:spPr>
                </pic:pic>
              </a:graphicData>
            </a:graphic>
          </wp:anchor>
        </w:drawing>
        <w:t xml:space="preserve">If, after giving effect to any arrangements for the purchase of the Shares of a defaulting Underwriter or Underwriters by the non-defaulting Underwriters,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 (based on the number of Shares that such Underwriter agreed to purchase on such date) of the Shares of such defaulting Underwriter or Underwriters for which such arrangements have not been made.</w:t>
      </w:r>
    </w:p>
    <w:p>
      <w:pPr>
        <w:spacing w:after="0" w:line="53" w:lineRule="exact"/>
        <w:rPr>
          <w:rFonts w:ascii="Arial" w:cs="Arial" w:eastAsia="Arial" w:hAnsi="Arial"/>
          <w:sz w:val="15"/>
          <w:szCs w:val="15"/>
          <w:color w:val="auto"/>
        </w:rPr>
      </w:pPr>
    </w:p>
    <w:p>
      <w:pPr>
        <w:ind w:right="140" w:firstLine="410"/>
        <w:spacing w:after="0" w:line="290" w:lineRule="auto"/>
        <w:tabs>
          <w:tab w:leader="none" w:pos="643" w:val="left"/>
        </w:tabs>
        <w:numPr>
          <w:ilvl w:val="0"/>
          <w:numId w:val="270"/>
        </w:numPr>
        <w:rPr>
          <w:rFonts w:ascii="Arial" w:cs="Arial" w:eastAsia="Arial" w:hAnsi="Arial"/>
          <w:sz w:val="15"/>
          <w:szCs w:val="15"/>
          <w:color w:val="auto"/>
        </w:rPr>
      </w:pPr>
      <w:r>
        <w:rPr>
          <w:rFonts w:ascii="Arial" w:cs="Arial" w:eastAsia="Arial" w:hAnsi="Arial"/>
          <w:sz w:val="15"/>
          <w:szCs w:val="15"/>
          <w:color w:val="auto"/>
        </w:rPr>
        <w:t>If, after giving effect to any arrangements for the purchase of the Shares of a defaulting Underwriter or Underwriters by the non-defaulting Underwriters,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Definitive Parties, except that each Definitive Party will continue to be jointly and severally liable for the payment of expenses as set forth in Section 13 hereof and except that the provisions of Section 9 hereof shall not terminate and shall remain in effect.</w:t>
      </w:r>
    </w:p>
    <w:p>
      <w:pPr>
        <w:spacing w:after="0" w:line="54" w:lineRule="exact"/>
        <w:rPr>
          <w:rFonts w:ascii="Arial" w:cs="Arial" w:eastAsia="Arial" w:hAnsi="Arial"/>
          <w:sz w:val="15"/>
          <w:szCs w:val="15"/>
          <w:color w:val="auto"/>
        </w:rPr>
      </w:pPr>
    </w:p>
    <w:p>
      <w:pPr>
        <w:ind w:right="360" w:firstLine="410"/>
        <w:spacing w:after="0" w:line="272" w:lineRule="auto"/>
        <w:tabs>
          <w:tab w:leader="none" w:pos="65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Nothing contained herein shall relieve a defaulting Underwriter of any liability it may have to the Definitive Parties or any non-defaulting Underwriter for damages caused by its default.</w:t>
      </w:r>
    </w:p>
    <w:p>
      <w:pPr>
        <w:spacing w:after="0" w:line="63" w:lineRule="exact"/>
        <w:rPr>
          <w:sz w:val="20"/>
          <w:szCs w:val="20"/>
          <w:color w:val="auto"/>
        </w:rPr>
      </w:pPr>
    </w:p>
    <w:p>
      <w:pPr>
        <w:ind w:left="660" w:hanging="250"/>
        <w:spacing w:after="0"/>
        <w:tabs>
          <w:tab w:leader="none" w:pos="660"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Payment of Expenses</w:t>
      </w:r>
      <w:r>
        <w:rPr>
          <w:rFonts w:ascii="Arial" w:cs="Arial" w:eastAsia="Arial" w:hAnsi="Arial"/>
          <w:sz w:val="17"/>
          <w:szCs w:val="17"/>
          <w:i w:val="1"/>
          <w:iCs w:val="1"/>
          <w:color w:val="auto"/>
        </w:rPr>
        <w:t>.</w:t>
      </w:r>
    </w:p>
    <w:p>
      <w:pPr>
        <w:spacing w:after="0" w:line="108" w:lineRule="exact"/>
        <w:rPr>
          <w:sz w:val="20"/>
          <w:szCs w:val="20"/>
          <w:color w:val="auto"/>
        </w:rPr>
      </w:pPr>
    </w:p>
    <w:p>
      <w:pPr>
        <w:ind w:firstLine="410"/>
        <w:spacing w:after="0" w:line="286" w:lineRule="auto"/>
        <w:tabs>
          <w:tab w:leader="none" w:pos="643" w:val="left"/>
        </w:tabs>
        <w:numPr>
          <w:ilvl w:val="0"/>
          <w:numId w:val="272"/>
        </w:numPr>
        <w:rPr>
          <w:rFonts w:ascii="Arial" w:cs="Arial" w:eastAsia="Arial" w:hAnsi="Arial"/>
          <w:sz w:val="15"/>
          <w:szCs w:val="15"/>
          <w:color w:val="auto"/>
        </w:rPr>
      </w:pPr>
      <w:r>
        <w:rPr>
          <w:rFonts w:ascii="Arial" w:cs="Arial" w:eastAsia="Arial" w:hAnsi="Arial"/>
          <w:sz w:val="15"/>
          <w:szCs w:val="15"/>
          <w:color w:val="auto"/>
        </w:rPr>
        <w:t>Whether or not the transactions contemplated by this Agreement are consummated or this Agreement is terminated, the Definitive Parties, jointly and severally, will pay or cause to be paid all costs and expenses incident to the performance of its obligations hereunder, including without limitation, (i) the costs incident to the authorization, issuance, sale, preparation and delivery of the Shares and any taxes payable in connection therewith;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Definitive Parties’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(including the related fees and expenses of counsel for the Underwriters, provided that the amounts payable by the Company to the Underwriters pursuant to subsections (iv) and (vii) shall not exceed $35,000); (viii) all expenses incurred by the Company in connection with any “road show” presentation to potential investors; and (ix) all expenses and application fees related to the listing of the Shares on the Exchange.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320"/>
          </w:cols>
          <w:pgMar w:left="780" w:top="266" w:right="799" w:bottom="1440" w:gutter="0" w:footer="0" w:header="0"/>
        </w:sectPr>
      </w:pPr>
    </w:p>
    <w:bookmarkStart w:id="319" w:name="page320"/>
    <w:bookmarkEnd w:id="319"/>
    <w:p>
      <w:pPr>
        <w:ind w:right="80" w:firstLine="410"/>
        <w:spacing w:after="0" w:line="270" w:lineRule="auto"/>
        <w:tabs>
          <w:tab w:leader="none" w:pos="652" w:val="left"/>
        </w:tabs>
        <w:numPr>
          <w:ilvl w:val="0"/>
          <w:numId w:val="2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5">
                      <a:extLst>
                        <a:ext uri="{28A0092B-C50C-407E-A947-70E740481C1C}"/>
                      </a:extLst>
                    </a:blip>
                    <a:srcRect/>
                    <a:stretch>
                      <a:fillRect/>
                    </a:stretch>
                  </pic:blipFill>
                  <pic:spPr bwMode="auto">
                    <a:xfrm>
                      <a:off x="0" y="0"/>
                      <a:ext cx="7182485" cy="36195"/>
                    </a:xfrm>
                    <a:prstGeom prst="rect">
                      <a:avLst/>
                    </a:prstGeom>
                    <a:noFill/>
                  </pic:spPr>
                </pic:pic>
              </a:graphicData>
            </a:graphic>
          </wp:anchor>
        </w:drawing>
        <w:t>If (i) this Agreement is terminated pursuant to Section 11, (ii) the Company for any reason fail to tender the Shares for delivery to the Underwriters or (iii) the Underwriters decline to purchase the Shares for any reason permitted under this Agreement, the Definitive Parties, jointly and severally agree to reimburse the Underwriters for all out-of-pocket costs and expenses (including the fees and expenses of their counsel) reasonably incurred by the Underwriters in connection with this Agreement and the offering contemplated hereby. For avoidance of doubt, if this Agreement is terminated pursuant to Section 12, the Definitive Parties shall have no obligation to reimburse a defaulting Underwriter for out of pocket costs and expenses (including the fees and expenses of their counsel) incurred by such defaulting Underwriter in connection with this Agreement and the offering contemplated hereby, except that the provisions of Section 9 hereof shall not terminate and shall remain in effect.</w:t>
      </w:r>
    </w:p>
    <w:p>
      <w:pPr>
        <w:spacing w:after="0" w:line="71" w:lineRule="exact"/>
        <w:rPr>
          <w:sz w:val="20"/>
          <w:szCs w:val="20"/>
          <w:color w:val="auto"/>
        </w:rPr>
      </w:pPr>
    </w:p>
    <w:p>
      <w:pPr>
        <w:ind w:firstLine="410"/>
        <w:spacing w:after="0" w:line="254" w:lineRule="auto"/>
        <w:tabs>
          <w:tab w:leader="none" w:pos="666"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80" w:lineRule="exact"/>
        <w:rPr>
          <w:rFonts w:ascii="Arial" w:cs="Arial" w:eastAsia="Arial" w:hAnsi="Arial"/>
          <w:sz w:val="17"/>
          <w:szCs w:val="17"/>
          <w:color w:val="auto"/>
        </w:rPr>
      </w:pPr>
    </w:p>
    <w:p>
      <w:pPr>
        <w:ind w:right="140" w:firstLine="410"/>
        <w:spacing w:after="0" w:line="254" w:lineRule="auto"/>
        <w:tabs>
          <w:tab w:leader="none" w:pos="666"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Definitive Parties and the Underwriters contained in this Agreement or made by or on behalf of the Definitive Parties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Definitive Parties or the Underwriters or the directors, officers, controlling persons or affiliates referred to in Section 9 hereof.</w:t>
      </w:r>
    </w:p>
    <w:p>
      <w:pPr>
        <w:spacing w:after="0" w:line="80" w:lineRule="exact"/>
        <w:rPr>
          <w:rFonts w:ascii="Arial" w:cs="Arial" w:eastAsia="Arial" w:hAnsi="Arial"/>
          <w:sz w:val="17"/>
          <w:szCs w:val="17"/>
          <w:color w:val="auto"/>
        </w:rPr>
      </w:pPr>
    </w:p>
    <w:p>
      <w:pPr>
        <w:jc w:val="both"/>
        <w:ind w:right="160" w:firstLine="410"/>
        <w:spacing w:after="0" w:line="277" w:lineRule="auto"/>
        <w:tabs>
          <w:tab w:leader="none" w:pos="666"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Certain Defined Terms</w:t>
      </w:r>
      <w:r>
        <w:rPr>
          <w:rFonts w:ascii="Arial" w:cs="Arial" w:eastAsia="Arial" w:hAnsi="Arial"/>
          <w:sz w:val="16"/>
          <w:szCs w:val="16"/>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62" w:lineRule="exact"/>
        <w:rPr>
          <w:rFonts w:ascii="Arial" w:cs="Arial" w:eastAsia="Arial" w:hAnsi="Arial"/>
          <w:sz w:val="16"/>
          <w:szCs w:val="16"/>
          <w:color w:val="auto"/>
        </w:rPr>
      </w:pPr>
    </w:p>
    <w:p>
      <w:pPr>
        <w:ind w:right="20" w:firstLine="410"/>
        <w:spacing w:after="0" w:line="256" w:lineRule="auto"/>
        <w:tabs>
          <w:tab w:leader="none" w:pos="666"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Compliance with USA Patriot Act</w:t>
      </w:r>
      <w:r>
        <w:rPr>
          <w:rFonts w:ascii="Arial" w:cs="Arial" w:eastAsia="Arial" w:hAnsi="Arial"/>
          <w:sz w:val="17"/>
          <w:szCs w:val="17"/>
          <w:color w:val="auto"/>
        </w:rPr>
        <w:t>. In accordance with the requirements of the USA Patriot Act (Title III of Pub. L. 107-56 (signed into law October 26, 2001)), the Underwriters are required to obtain, verify and record information that identifies their respective clients, including the Definitive Parties, which information may include the name and address of their respective clients, as well as other information that will allow the Underwriters to properly identify their respective clients.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320"/>
          </w:cols>
          <w:pgMar w:left="780" w:top="266" w:right="799" w:bottom="1440" w:gutter="0" w:footer="0" w:header="0"/>
        </w:sectPr>
      </w:pPr>
    </w:p>
    <w:bookmarkStart w:id="320" w:name="page321"/>
    <w:bookmarkEnd w:id="320"/>
    <w:p>
      <w:pPr>
        <w:ind w:left="660" w:hanging="250"/>
        <w:spacing w:after="0"/>
        <w:tabs>
          <w:tab w:leader="none" w:pos="660"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6">
                      <a:extLst>
                        <a:ext uri="{28A0092B-C50C-407E-A947-70E740481C1C}"/>
                      </a:extLst>
                    </a:blip>
                    <a:srcRect/>
                    <a:stretch>
                      <a:fillRect/>
                    </a:stretch>
                  </pic:blipFill>
                  <pic:spPr bwMode="auto">
                    <a:xfrm>
                      <a:off x="0" y="0"/>
                      <a:ext cx="7182485" cy="36195"/>
                    </a:xfrm>
                    <a:prstGeom prst="rect">
                      <a:avLst/>
                    </a:prstGeom>
                    <a:noFill/>
                  </pic:spPr>
                </pic:pic>
              </a:graphicData>
            </a:graphic>
          </wp:anchor>
        </w:drawing>
        <w:t>Miscellaneous</w:t>
      </w:r>
      <w:r>
        <w:rPr>
          <w:rFonts w:ascii="Arial" w:cs="Arial" w:eastAsia="Arial" w:hAnsi="Arial"/>
          <w:sz w:val="17"/>
          <w:szCs w:val="17"/>
          <w:color w:val="auto"/>
        </w:rPr>
        <w:t>.</w:t>
      </w:r>
    </w:p>
    <w:p>
      <w:pPr>
        <w:spacing w:after="0" w:line="108" w:lineRule="exact"/>
        <w:rPr>
          <w:sz w:val="20"/>
          <w:szCs w:val="20"/>
          <w:color w:val="auto"/>
        </w:rPr>
      </w:pPr>
    </w:p>
    <w:p>
      <w:pPr>
        <w:ind w:right="160" w:firstLine="410"/>
        <w:spacing w:after="0" w:line="293" w:lineRule="auto"/>
        <w:tabs>
          <w:tab w:leader="none" w:pos="642" w:val="left"/>
        </w:tabs>
        <w:numPr>
          <w:ilvl w:val="0"/>
          <w:numId w:val="276"/>
        </w:numPr>
        <w:rPr>
          <w:rFonts w:ascii="Arial" w:cs="Arial" w:eastAsia="Arial" w:hAnsi="Arial"/>
          <w:sz w:val="15"/>
          <w:szCs w:val="15"/>
          <w:color w:val="auto"/>
        </w:rPr>
      </w:pPr>
      <w:r>
        <w:rPr>
          <w:rFonts w:ascii="Arial" w:cs="Arial" w:eastAsia="Arial" w:hAnsi="Arial"/>
          <w:sz w:val="15"/>
          <w:szCs w:val="15"/>
          <w:i w:val="1"/>
          <w:iCs w:val="1"/>
          <w:color w:val="auto"/>
        </w:rPr>
        <w:t xml:space="preserve">Notices. </w:t>
      </w:r>
      <w:r>
        <w:rPr>
          <w:rFonts w:ascii="Arial" w:cs="Arial" w:eastAsia="Arial" w:hAnsi="Arial"/>
          <w:sz w:val="15"/>
          <w:szCs w:val="15"/>
          <w:color w:val="auto"/>
        </w:rPr>
        <w:t>All notices and other communications hereunder shall be in writing and shall be deemed to have been duly given if mailed or</w:t>
      </w:r>
      <w:r>
        <w:rPr>
          <w:rFonts w:ascii="Arial" w:cs="Arial" w:eastAsia="Arial" w:hAnsi="Arial"/>
          <w:sz w:val="15"/>
          <w:szCs w:val="15"/>
          <w:i w:val="1"/>
          <w:iCs w:val="1"/>
          <w:color w:val="auto"/>
        </w:rPr>
        <w:t xml:space="preserve"> </w:t>
      </w:r>
      <w:r>
        <w:rPr>
          <w:rFonts w:ascii="Arial" w:cs="Arial" w:eastAsia="Arial" w:hAnsi="Arial"/>
          <w:sz w:val="15"/>
          <w:szCs w:val="15"/>
          <w:color w:val="auto"/>
        </w:rPr>
        <w:t>transmitted and confirmed by any standard form of telecommunication. Notices to the Underwriters shall be given to the Representatives c/o Goldman Sachs &amp; Co. LLC, 200 West Street, New York, New York 10282, Attention: Control Room; J.P. Morgan Securities LLC, 383 Madison Avenue, New York, New York 10179 (fax: (212) 622-8358), Attention: Equity Syndicate Desk; Morgan Stanley &amp; Co. LLC, 1585 Broadway, New York, New York 10036, Attention: Equity Syndicate Desk; and Barclays Capital Inc., 745 Seventh Avenue, New York, New York 10019, Attention: Syndicate Registration (fax: (646) 834-8133). Notices to the Definitive Parties shall be given to it at 550 Cochiuate Rd; Attention: David M. Samuels.</w:t>
      </w:r>
    </w:p>
    <w:p>
      <w:pPr>
        <w:spacing w:after="0" w:line="53" w:lineRule="exact"/>
        <w:rPr>
          <w:rFonts w:ascii="Arial" w:cs="Arial" w:eastAsia="Arial" w:hAnsi="Arial"/>
          <w:sz w:val="15"/>
          <w:szCs w:val="15"/>
          <w:color w:val="auto"/>
        </w:rPr>
      </w:pPr>
    </w:p>
    <w:p>
      <w:pPr>
        <w:ind w:right="280" w:firstLine="410"/>
        <w:spacing w:after="0" w:line="272" w:lineRule="auto"/>
        <w:tabs>
          <w:tab w:leader="none" w:pos="652" w:val="left"/>
        </w:tabs>
        <w:numPr>
          <w:ilvl w:val="0"/>
          <w:numId w:val="276"/>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w:t>
      </w:r>
    </w:p>
    <w:p>
      <w:pPr>
        <w:spacing w:after="0" w:line="63" w:lineRule="exact"/>
        <w:rPr>
          <w:rFonts w:ascii="Arial" w:cs="Arial" w:eastAsia="Arial" w:hAnsi="Arial"/>
          <w:sz w:val="17"/>
          <w:szCs w:val="17"/>
          <w:color w:val="auto"/>
        </w:rPr>
      </w:pPr>
    </w:p>
    <w:p>
      <w:pPr>
        <w:ind w:right="80" w:firstLine="410"/>
        <w:spacing w:after="0" w:line="272" w:lineRule="auto"/>
        <w:tabs>
          <w:tab w:leader="none" w:pos="642" w:val="left"/>
        </w:tabs>
        <w:numPr>
          <w:ilvl w:val="0"/>
          <w:numId w:val="276"/>
        </w:numPr>
        <w:rPr>
          <w:rFonts w:ascii="Arial" w:cs="Arial" w:eastAsia="Arial" w:hAnsi="Arial"/>
          <w:sz w:val="16"/>
          <w:szCs w:val="16"/>
          <w:color w:val="auto"/>
        </w:rPr>
      </w:pPr>
      <w:r>
        <w:rPr>
          <w:rFonts w:ascii="Arial" w:cs="Arial" w:eastAsia="Arial" w:hAnsi="Arial"/>
          <w:sz w:val="16"/>
          <w:szCs w:val="16"/>
          <w:i w:val="1"/>
          <w:iCs w:val="1"/>
          <w:color w:val="auto"/>
        </w:rPr>
        <w:t>Submission to Jurisdiction</w:t>
      </w:r>
      <w:r>
        <w:rPr>
          <w:rFonts w:ascii="Arial" w:cs="Arial" w:eastAsia="Arial" w:hAnsi="Arial"/>
          <w:sz w:val="16"/>
          <w:szCs w:val="16"/>
          <w:color w:val="auto"/>
        </w:rPr>
        <w:t>. Each of the Definitive Parties hereby submits to the exclusive jurisdiction of the U.S. federal and New York state</w:t>
      </w:r>
      <w:r>
        <w:rPr>
          <w:rFonts w:ascii="Arial" w:cs="Arial" w:eastAsia="Arial" w:hAnsi="Arial"/>
          <w:sz w:val="16"/>
          <w:szCs w:val="16"/>
          <w:i w:val="1"/>
          <w:iCs w:val="1"/>
          <w:color w:val="auto"/>
        </w:rPr>
        <w:t xml:space="preserve"> </w:t>
      </w:r>
      <w:r>
        <w:rPr>
          <w:rFonts w:ascii="Arial" w:cs="Arial" w:eastAsia="Arial" w:hAnsi="Arial"/>
          <w:sz w:val="16"/>
          <w:szCs w:val="16"/>
          <w:color w:val="auto"/>
        </w:rPr>
        <w:t>courts in the Borough of Manhattan in The City of New York in any suit or proceeding arising out of or relating to this Agreement or the transactions contemplated hereby. Each of the Definitive Parties waive any objection which it may now or hereafter have to the laying of venue of any such suit or proceeding in such courts. Each of the Definitive Parties and agree that final judgment in any such suit, action or proceeding brought in such court shall be conclusive and binding upon each of the Definitive Parties, as applicable, and may be enforced in any court to the jurisdiction of which any applicable Definitive Party is subject by a suit upon such judgment.</w:t>
      </w:r>
    </w:p>
    <w:p>
      <w:pPr>
        <w:spacing w:after="0" w:line="66" w:lineRule="exact"/>
        <w:rPr>
          <w:sz w:val="20"/>
          <w:szCs w:val="20"/>
          <w:color w:val="auto"/>
        </w:rPr>
      </w:pPr>
    </w:p>
    <w:p>
      <w:pPr>
        <w:ind w:firstLine="410"/>
        <w:spacing w:after="0" w:line="272" w:lineRule="auto"/>
        <w:tabs>
          <w:tab w:leader="none" w:pos="624" w:val="left"/>
        </w:tabs>
        <w:numPr>
          <w:ilvl w:val="0"/>
          <w:numId w:val="277"/>
        </w:numPr>
        <w:rPr>
          <w:rFonts w:ascii="Arial" w:cs="Arial" w:eastAsia="Arial" w:hAnsi="Arial"/>
          <w:sz w:val="17"/>
          <w:szCs w:val="17"/>
          <w:color w:val="auto"/>
        </w:rPr>
      </w:pPr>
      <w:r>
        <w:rPr>
          <w:rFonts w:ascii="Arial" w:cs="Arial" w:eastAsia="Arial" w:hAnsi="Arial"/>
          <w:sz w:val="17"/>
          <w:szCs w:val="17"/>
          <w:i w:val="1"/>
          <w:iCs w:val="1"/>
          <w:color w:val="auto"/>
        </w:rPr>
        <w:t xml:space="preserve">Waiver of Jury Trial. </w:t>
      </w:r>
      <w:r>
        <w:rPr>
          <w:rFonts w:ascii="Arial" w:cs="Arial" w:eastAsia="Arial" w:hAnsi="Arial"/>
          <w:sz w:val="17"/>
          <w:szCs w:val="17"/>
          <w:color w:val="auto"/>
        </w:rPr>
        <w:t>Each of the parties hereto hereby waives any right to trial by jury in any suit or proceeding arising out of or relating to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w:t>
      </w:r>
    </w:p>
    <w:p>
      <w:pPr>
        <w:spacing w:after="0" w:line="63" w:lineRule="exact"/>
        <w:rPr>
          <w:rFonts w:ascii="Arial" w:cs="Arial" w:eastAsia="Arial" w:hAnsi="Arial"/>
          <w:sz w:val="17"/>
          <w:szCs w:val="17"/>
          <w:color w:val="auto"/>
        </w:rPr>
      </w:pPr>
    </w:p>
    <w:p>
      <w:pPr>
        <w:ind w:left="640" w:hanging="230"/>
        <w:spacing w:after="0"/>
        <w:tabs>
          <w:tab w:leader="none" w:pos="640" w:val="left"/>
        </w:tabs>
        <w:numPr>
          <w:ilvl w:val="0"/>
          <w:numId w:val="277"/>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w:t>
      </w:r>
    </w:p>
    <w:p>
      <w:pPr>
        <w:spacing w:after="0" w:line="108" w:lineRule="exact"/>
        <w:rPr>
          <w:rFonts w:ascii="Arial" w:cs="Arial" w:eastAsia="Arial" w:hAnsi="Arial"/>
          <w:sz w:val="17"/>
          <w:szCs w:val="17"/>
          <w:color w:val="auto"/>
        </w:rPr>
      </w:pPr>
    </w:p>
    <w:p>
      <w:pPr>
        <w:ind w:left="420" w:right="80" w:firstLine="387"/>
        <w:spacing w:after="0" w:line="256" w:lineRule="auto"/>
        <w:tabs>
          <w:tab w:leader="none" w:pos="101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7" w:lineRule="exact"/>
        <w:rPr>
          <w:rFonts w:ascii="Arial" w:cs="Arial" w:eastAsia="Arial" w:hAnsi="Arial"/>
          <w:sz w:val="17"/>
          <w:szCs w:val="17"/>
          <w:color w:val="auto"/>
        </w:rPr>
      </w:pPr>
    </w:p>
    <w:p>
      <w:pPr>
        <w:ind w:left="420" w:right="40" w:firstLine="387"/>
        <w:spacing w:after="0" w:line="256" w:lineRule="auto"/>
        <w:tabs>
          <w:tab w:leader="none" w:pos="1065" w:val="left"/>
        </w:tabs>
        <w:numPr>
          <w:ilvl w:val="1"/>
          <w:numId w:val="277"/>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used in this Section 18(g):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320"/>
          </w:cols>
          <w:pgMar w:left="780" w:top="266" w:right="799" w:bottom="1440" w:gutter="0" w:footer="0" w:header="0"/>
        </w:sectPr>
      </w:pPr>
    </w:p>
    <w:bookmarkStart w:id="321" w:name="page322"/>
    <w:bookmarkEnd w:id="321"/>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7">
                      <a:extLst>
                        <a:ext uri="{28A0092B-C50C-407E-A947-70E740481C1C}"/>
                      </a:extLst>
                    </a:blip>
                    <a:srcRect/>
                    <a:stretch>
                      <a:fillRect/>
                    </a:stretch>
                  </pic:blipFill>
                  <pic:spPr bwMode="auto">
                    <a:xfrm>
                      <a:off x="0" y="0"/>
                      <a:ext cx="7182485" cy="36195"/>
                    </a:xfrm>
                    <a:prstGeom prst="rect">
                      <a:avLst/>
                    </a:prstGeom>
                    <a:noFill/>
                  </pic:spPr>
                </pic:pic>
              </a:graphicData>
            </a:graphic>
          </wp:anchor>
        </w:drawing>
        <w:t>“BHC Act Affiliate” has the meaning assigned to the term “affiliate” in, and shall be interpreted in accordance with, 12 U.S.C. § 1841(k).</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“Covered Entity” means any of the following:</w:t>
      </w:r>
    </w:p>
    <w:p>
      <w:pPr>
        <w:spacing w:after="0" w:line="108" w:lineRule="exact"/>
        <w:rPr>
          <w:sz w:val="20"/>
          <w:szCs w:val="20"/>
          <w:color w:val="auto"/>
        </w:rPr>
      </w:pPr>
    </w:p>
    <w:p>
      <w:pPr>
        <w:ind w:left="1120" w:hanging="193"/>
        <w:spacing w:after="0"/>
        <w:tabs>
          <w:tab w:leader="none" w:pos="11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 “covered entity” as that term is defined in, and interpreted in accordance with, 12 C.F.R. § 252.82(b);</w:t>
      </w:r>
    </w:p>
    <w:p>
      <w:pPr>
        <w:spacing w:after="0" w:line="108" w:lineRule="exact"/>
        <w:rPr>
          <w:rFonts w:ascii="Arial" w:cs="Arial" w:eastAsia="Arial" w:hAnsi="Arial"/>
          <w:sz w:val="17"/>
          <w:szCs w:val="17"/>
          <w:color w:val="auto"/>
        </w:rPr>
      </w:pPr>
    </w:p>
    <w:p>
      <w:pPr>
        <w:ind w:left="1180" w:hanging="253"/>
        <w:spacing w:after="0"/>
        <w:tabs>
          <w:tab w:leader="none" w:pos="118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 “covered bank” as that term is defined in, and interpreted in accordance with, 12 C.F.R. § 47.3(b); or</w:t>
      </w:r>
    </w:p>
    <w:p>
      <w:pPr>
        <w:spacing w:after="0" w:line="108" w:lineRule="exact"/>
        <w:rPr>
          <w:rFonts w:ascii="Arial" w:cs="Arial" w:eastAsia="Arial" w:hAnsi="Arial"/>
          <w:sz w:val="17"/>
          <w:szCs w:val="17"/>
          <w:color w:val="auto"/>
        </w:rPr>
      </w:pPr>
    </w:p>
    <w:p>
      <w:pPr>
        <w:ind w:left="1220" w:hanging="293"/>
        <w:spacing w:after="0"/>
        <w:tabs>
          <w:tab w:leader="none" w:pos="12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 “covered FSI” as that term is defined in, and interpreted in accordance with, 12 C.F.R. § 382.2(b).</w:t>
      </w:r>
    </w:p>
    <w:p>
      <w:pPr>
        <w:spacing w:after="0" w:line="108" w:lineRule="exact"/>
        <w:rPr>
          <w:sz w:val="20"/>
          <w:szCs w:val="20"/>
          <w:color w:val="auto"/>
        </w:rPr>
      </w:pPr>
    </w:p>
    <w:p>
      <w:pPr>
        <w:ind w:left="420" w:right="440"/>
        <w:spacing w:after="0" w:line="272" w:lineRule="auto"/>
        <w:rPr>
          <w:sz w:val="20"/>
          <w:szCs w:val="20"/>
          <w:color w:val="auto"/>
        </w:rPr>
      </w:pPr>
      <w:r>
        <w:rPr>
          <w:rFonts w:ascii="Arial" w:cs="Arial" w:eastAsia="Arial" w:hAnsi="Arial"/>
          <w:sz w:val="17"/>
          <w:szCs w:val="17"/>
          <w:color w:val="auto"/>
        </w:rPr>
        <w:t>“Default Right” has the meaning assigned to that term in, and shall be interpreted in accordance with, 12 C.F.R. §§ 252.81, 47.2 or 382.1, as applicable.</w:t>
      </w:r>
    </w:p>
    <w:p>
      <w:pPr>
        <w:spacing w:after="0" w:line="63" w:lineRule="exact"/>
        <w:rPr>
          <w:sz w:val="20"/>
          <w:szCs w:val="20"/>
          <w:color w:val="auto"/>
        </w:rPr>
      </w:pPr>
    </w:p>
    <w:p>
      <w:pPr>
        <w:ind w:left="420"/>
        <w:spacing w:after="0" w:line="272" w:lineRule="auto"/>
        <w:rPr>
          <w:sz w:val="20"/>
          <w:szCs w:val="20"/>
          <w:color w:val="auto"/>
        </w:rPr>
      </w:pPr>
      <w:r>
        <w:rPr>
          <w:rFonts w:ascii="Arial" w:cs="Arial" w:eastAsia="Arial" w:hAnsi="Arial"/>
          <w:sz w:val="17"/>
          <w:szCs w:val="17"/>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63" w:lineRule="exact"/>
        <w:rPr>
          <w:sz w:val="20"/>
          <w:szCs w:val="20"/>
          <w:color w:val="auto"/>
        </w:rPr>
      </w:pPr>
    </w:p>
    <w:p>
      <w:pPr>
        <w:ind w:right="300" w:firstLine="410"/>
        <w:spacing w:after="0" w:line="296" w:lineRule="auto"/>
        <w:tabs>
          <w:tab w:leader="none" w:pos="652" w:val="left"/>
        </w:tabs>
        <w:numPr>
          <w:ilvl w:val="0"/>
          <w:numId w:val="279"/>
        </w:numPr>
        <w:rPr>
          <w:rFonts w:ascii="Arial" w:cs="Arial" w:eastAsia="Arial" w:hAnsi="Arial"/>
          <w:sz w:val="15"/>
          <w:szCs w:val="15"/>
          <w:color w:val="auto"/>
        </w:rPr>
      </w:pPr>
      <w:r>
        <w:rPr>
          <w:rFonts w:ascii="Arial" w:cs="Arial" w:eastAsia="Arial" w:hAnsi="Arial"/>
          <w:sz w:val="15"/>
          <w:szCs w:val="15"/>
          <w:i w:val="1"/>
          <w:iCs w:val="1"/>
          <w:color w:val="auto"/>
        </w:rPr>
        <w:t xml:space="preserve">Counterparts and Electronic Signatures. </w:t>
      </w:r>
      <w:r>
        <w:rPr>
          <w:rFonts w:ascii="Arial" w:cs="Arial" w:eastAsia="Arial" w:hAnsi="Arial"/>
          <w:sz w:val="15"/>
          <w:szCs w:val="15"/>
          <w:color w:val="auto"/>
        </w:rPr>
        <w:t>This Agreement may be signed in counterparts (which may include counterparts delivered by any</w:t>
      </w:r>
      <w:r>
        <w:rPr>
          <w:rFonts w:ascii="Arial" w:cs="Arial" w:eastAsia="Arial" w:hAnsi="Arial"/>
          <w:sz w:val="15"/>
          <w:szCs w:val="15"/>
          <w:i w:val="1"/>
          <w:iCs w:val="1"/>
          <w:color w:val="auto"/>
        </w:rPr>
        <w:t xml:space="preserve"> </w:t>
      </w:r>
      <w:r>
        <w:rPr>
          <w:rFonts w:ascii="Arial" w:cs="Arial" w:eastAsia="Arial" w:hAnsi="Arial"/>
          <w:sz w:val="15"/>
          <w:szCs w:val="15"/>
          <w:color w:val="auto"/>
        </w:rPr>
        <w:t>standard form of telecommunication), each of which shall be an original and all of which together shall constitute one and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50" w:lineRule="exact"/>
        <w:rPr>
          <w:rFonts w:ascii="Arial" w:cs="Arial" w:eastAsia="Arial" w:hAnsi="Arial"/>
          <w:sz w:val="15"/>
          <w:szCs w:val="15"/>
          <w:color w:val="auto"/>
        </w:rPr>
      </w:pPr>
    </w:p>
    <w:p>
      <w:pPr>
        <w:ind w:firstLine="410"/>
        <w:spacing w:after="0" w:line="272" w:lineRule="auto"/>
        <w:tabs>
          <w:tab w:leader="none" w:pos="615" w:val="left"/>
        </w:tabs>
        <w:numPr>
          <w:ilvl w:val="0"/>
          <w:numId w:val="279"/>
        </w:numPr>
        <w:rPr>
          <w:rFonts w:ascii="Arial" w:cs="Arial" w:eastAsia="Arial" w:hAnsi="Arial"/>
          <w:sz w:val="17"/>
          <w:szCs w:val="17"/>
          <w:color w:val="auto"/>
        </w:rPr>
      </w:pPr>
      <w:r>
        <w:rPr>
          <w:rFonts w:ascii="Arial" w:cs="Arial" w:eastAsia="Arial" w:hAnsi="Arial"/>
          <w:sz w:val="17"/>
          <w:szCs w:val="17"/>
          <w:i w:val="1"/>
          <w:iCs w:val="1"/>
          <w:color w:val="auto"/>
        </w:rPr>
        <w:t xml:space="preserve">Amendments or Waivers. </w:t>
      </w:r>
      <w:r>
        <w:rPr>
          <w:rFonts w:ascii="Arial" w:cs="Arial" w:eastAsia="Arial" w:hAnsi="Arial"/>
          <w:sz w:val="17"/>
          <w:szCs w:val="17"/>
          <w:color w:val="auto"/>
        </w:rPr>
        <w:t>No amendment or waiver of any provision of this Agreement, nor any consent or approval to any departure therefrom,</w:t>
      </w:r>
      <w:r>
        <w:rPr>
          <w:rFonts w:ascii="Arial" w:cs="Arial" w:eastAsia="Arial" w:hAnsi="Arial"/>
          <w:sz w:val="17"/>
          <w:szCs w:val="17"/>
          <w:i w:val="1"/>
          <w:iCs w:val="1"/>
          <w:color w:val="auto"/>
        </w:rPr>
        <w:t xml:space="preserve"> </w:t>
      </w:r>
      <w:r>
        <w:rPr>
          <w:rFonts w:ascii="Arial" w:cs="Arial" w:eastAsia="Arial" w:hAnsi="Arial"/>
          <w:sz w:val="17"/>
          <w:szCs w:val="17"/>
          <w:color w:val="auto"/>
        </w:rPr>
        <w:t>shall in any event be effective unless the same shall be in writing and signed by the parties hereto.</w:t>
      </w:r>
    </w:p>
    <w:p>
      <w:pPr>
        <w:spacing w:after="0" w:line="63" w:lineRule="exact"/>
        <w:rPr>
          <w:rFonts w:ascii="Arial" w:cs="Arial" w:eastAsia="Arial" w:hAnsi="Arial"/>
          <w:sz w:val="17"/>
          <w:szCs w:val="17"/>
          <w:color w:val="auto"/>
        </w:rPr>
      </w:pPr>
    </w:p>
    <w:p>
      <w:pPr>
        <w:ind w:right="260" w:firstLine="410"/>
        <w:spacing w:after="0" w:line="272" w:lineRule="auto"/>
        <w:tabs>
          <w:tab w:leader="none" w:pos="615" w:val="left"/>
        </w:tabs>
        <w:numPr>
          <w:ilvl w:val="0"/>
          <w:numId w:val="279"/>
        </w:numPr>
        <w:rPr>
          <w:rFonts w:ascii="Arial" w:cs="Arial" w:eastAsia="Arial" w:hAnsi="Arial"/>
          <w:sz w:val="17"/>
          <w:szCs w:val="17"/>
          <w:color w:val="auto"/>
        </w:rPr>
      </w:pPr>
      <w:r>
        <w:rPr>
          <w:rFonts w:ascii="Arial" w:cs="Arial" w:eastAsia="Arial" w:hAnsi="Arial"/>
          <w:sz w:val="17"/>
          <w:szCs w:val="17"/>
          <w:i w:val="1"/>
          <w:iCs w:val="1"/>
          <w:color w:val="auto"/>
        </w:rPr>
        <w:t xml:space="preserve">Headings. </w:t>
      </w:r>
      <w:r>
        <w:rPr>
          <w:rFonts w:ascii="Arial" w:cs="Arial" w:eastAsia="Arial" w:hAnsi="Arial"/>
          <w:sz w:val="17"/>
          <w:szCs w:val="17"/>
          <w:color w:val="auto"/>
        </w:rPr>
        <w:t>The headings herein are included for convenience of reference only and are not intended to be part of, or to affect the meaning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interpretation of, this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320"/>
          </w:cols>
          <w:pgMar w:left="780" w:top="266" w:right="799" w:bottom="1440" w:gutter="0" w:footer="0" w:header="0"/>
        </w:sectPr>
      </w:pPr>
    </w:p>
    <w:bookmarkStart w:id="322" w:name="page323"/>
    <w:bookmarkEnd w:id="322"/>
    <w:p>
      <w:pPr>
        <w:ind w:firstLine="41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0"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Very truly yours,</w:t>
      </w:r>
    </w:p>
    <w:p>
      <w:pPr>
        <w:spacing w:after="0" w:line="210"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AIDH TopCo, LLC</w:t>
      </w:r>
    </w:p>
    <w:p>
      <w:pPr>
        <w:spacing w:after="0" w:line="210"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4155440</wp:posOffset>
            </wp:positionH>
            <wp:positionV relativeFrom="paragraph">
              <wp:posOffset>12700</wp:posOffset>
            </wp:positionV>
            <wp:extent cx="240411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9">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Definitive Healthcare Corp.</w:t>
      </w:r>
    </w:p>
    <w:p>
      <w:pPr>
        <w:spacing w:after="0" w:line="210"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4155440</wp:posOffset>
            </wp:positionH>
            <wp:positionV relativeFrom="paragraph">
              <wp:posOffset>12700</wp:posOffset>
            </wp:positionV>
            <wp:extent cx="240411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0">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w:t>
      </w:r>
    </w:p>
    <w:p>
      <w:pPr>
        <w:spacing w:after="0" w:line="19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10000"/>
          </w:cols>
          <w:pgMar w:left="780" w:top="266" w:right="1119" w:bottom="1440" w:gutter="0" w:footer="0" w:header="0"/>
        </w:sectPr>
      </w:pPr>
    </w:p>
    <w:bookmarkStart w:id="323" w:name="page324"/>
    <w:bookmarkEnd w:id="32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Accepted: As of the date first written above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For itself and on behalf of the</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several Underwriters listed</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Schedule 1 hereto.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12700</wp:posOffset>
            </wp:positionV>
            <wp:extent cx="240411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2">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198" w:lineRule="exact"/>
        <w:rPr>
          <w:sz w:val="20"/>
          <w:szCs w:val="20"/>
          <w:color w:val="auto"/>
        </w:rPr>
      </w:pPr>
    </w:p>
    <w:p>
      <w:pPr>
        <w:jc w:val="right"/>
        <w:ind w:right="29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9679"/>
          </w:cols>
          <w:pgMar w:left="780" w:top="266" w:right="1440" w:bottom="1440" w:gutter="0" w:footer="0" w:header="0"/>
        </w:sectPr>
      </w:pPr>
    </w:p>
    <w:bookmarkStart w:id="324" w:name="page325"/>
    <w:bookmarkEnd w:id="32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Accepted: As of the date first written above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For itself and on behalf of the several Underwriters listed in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Schedule 1 hereto.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12700</wp:posOffset>
            </wp:positionV>
            <wp:extent cx="240411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4">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198" w:lineRule="exact"/>
        <w:rPr>
          <w:sz w:val="20"/>
          <w:szCs w:val="20"/>
          <w:color w:val="auto"/>
        </w:rPr>
      </w:pPr>
    </w:p>
    <w:p>
      <w:pPr>
        <w:jc w:val="right"/>
        <w:ind w:right="29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9679"/>
          </w:cols>
          <w:pgMar w:left="780" w:top="266" w:right="1440" w:bottom="1440" w:gutter="0" w:footer="0" w:header="0"/>
        </w:sectPr>
      </w:pPr>
    </w:p>
    <w:bookmarkStart w:id="325" w:name="page326"/>
    <w:bookmarkEnd w:id="3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5">
                      <a:extLst>
                        <a:ext uri="{28A0092B-C50C-407E-A947-70E740481C1C}"/>
                      </a:extLst>
                    </a:blip>
                    <a:srcRect/>
                    <a:stretch>
                      <a:fillRect/>
                    </a:stretch>
                  </pic:blipFill>
                  <pic:spPr bwMode="auto">
                    <a:xfrm>
                      <a:off x="0" y="0"/>
                      <a:ext cx="7182485" cy="36195"/>
                    </a:xfrm>
                    <a:prstGeom prst="rect">
                      <a:avLst/>
                    </a:prstGeom>
                    <a:noFill/>
                  </pic:spPr>
                </pic:pic>
              </a:graphicData>
            </a:graphic>
          </wp:anchor>
        </w:drawing>
        <w:t>Accepted: As of the date first written above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For itself and on behalf of the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Underwriters listed</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Schedule 1 hereto.</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12700</wp:posOffset>
            </wp:positionV>
            <wp:extent cx="240411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6">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198" w:lineRule="exact"/>
        <w:rPr>
          <w:sz w:val="20"/>
          <w:szCs w:val="20"/>
          <w:color w:val="auto"/>
        </w:rPr>
      </w:pPr>
    </w:p>
    <w:p>
      <w:pPr>
        <w:jc w:val="right"/>
        <w:ind w:right="29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9679"/>
          </w:cols>
          <w:pgMar w:left="780" w:top="266" w:right="1440" w:bottom="1440" w:gutter="0" w:footer="0" w:header="0"/>
        </w:sectPr>
      </w:pPr>
    </w:p>
    <w:bookmarkStart w:id="326" w:name="page327"/>
    <w:bookmarkEnd w:id="32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7">
                      <a:extLst>
                        <a:ext uri="{28A0092B-C50C-407E-A947-70E740481C1C}"/>
                      </a:extLst>
                    </a:blip>
                    <a:srcRect/>
                    <a:stretch>
                      <a:fillRect/>
                    </a:stretch>
                  </pic:blipFill>
                  <pic:spPr bwMode="auto">
                    <a:xfrm>
                      <a:off x="0" y="0"/>
                      <a:ext cx="7182485" cy="36195"/>
                    </a:xfrm>
                    <a:prstGeom prst="rect">
                      <a:avLst/>
                    </a:prstGeom>
                    <a:noFill/>
                  </pic:spPr>
                </pic:pic>
              </a:graphicData>
            </a:graphic>
          </wp:anchor>
        </w:drawing>
        <w:t>Accepted: As of the date first written above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BARCLAYS CAPITAL INC.</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For itself and on behalf of the several Underwriters listed in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12700</wp:posOffset>
            </wp:positionV>
            <wp:extent cx="240411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8">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198" w:lineRule="exact"/>
        <w:rPr>
          <w:sz w:val="20"/>
          <w:szCs w:val="20"/>
          <w:color w:val="auto"/>
        </w:rPr>
      </w:pPr>
    </w:p>
    <w:p>
      <w:pPr>
        <w:jc w:val="right"/>
        <w:ind w:right="29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9679"/>
          </w:cols>
          <w:pgMar w:left="780" w:top="266" w:right="1440" w:bottom="1440" w:gutter="0" w:footer="0" w:header="0"/>
        </w:sectPr>
      </w:pPr>
    </w:p>
    <w:bookmarkStart w:id="327" w:name="page328"/>
    <w:bookmarkEnd w:id="3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9">
                      <a:extLst>
                        <a:ext uri="{28A0092B-C50C-407E-A947-70E740481C1C}"/>
                      </a:extLst>
                    </a:blip>
                    <a:srcRect/>
                    <a:stretch>
                      <a:fillRect/>
                    </a:stretch>
                  </pic:blipFill>
                  <pic:spPr bwMode="auto">
                    <a:xfrm>
                      <a:off x="0" y="0"/>
                      <a:ext cx="7182485" cy="3619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13335</wp:posOffset>
            </wp:positionV>
            <wp:extent cx="5508625" cy="1289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0">
                      <a:extLst>
                        <a:ext uri="{28A0092B-C50C-407E-A947-70E740481C1C}"/>
                      </a:extLst>
                    </a:blip>
                    <a:srcRect/>
                    <a:stretch>
                      <a:fillRect/>
                    </a:stretch>
                  </pic:blipFill>
                  <pic:spPr bwMode="auto">
                    <a:xfrm>
                      <a:off x="0" y="0"/>
                      <a:ext cx="5508625" cy="128905"/>
                    </a:xfrm>
                    <a:prstGeom prst="rect">
                      <a:avLst/>
                    </a:prstGeom>
                    <a:noFill/>
                  </pic:spPr>
                </pic:pic>
              </a:graphicData>
            </a:graphic>
          </wp:anchor>
        </w:drawing>
      </w:r>
    </w:p>
    <w:p>
      <w:pPr>
        <w:spacing w:after="0" w:line="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Goldman Sachs &amp; Co. LLC</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J.P. Morgan Securities LLC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-123190</wp:posOffset>
            </wp:positionV>
            <wp:extent cx="5508625" cy="1289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1">
                      <a:extLst>
                        <a:ext uri="{28A0092B-C50C-407E-A947-70E740481C1C}"/>
                      </a:extLst>
                    </a:blip>
                    <a:srcRect/>
                    <a:stretch>
                      <a:fillRect/>
                    </a:stretch>
                  </pic:blipFill>
                  <pic:spPr bwMode="auto">
                    <a:xfrm>
                      <a:off x="0" y="0"/>
                      <a:ext cx="5508625"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Barclays Capital 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-123190</wp:posOffset>
            </wp:positionV>
            <wp:extent cx="5508625" cy="1289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2">
                      <a:extLst>
                        <a:ext uri="{28A0092B-C50C-407E-A947-70E740481C1C}"/>
                      </a:extLst>
                    </a:blip>
                    <a:srcRect/>
                    <a:stretch>
                      <a:fillRect/>
                    </a:stretch>
                  </pic:blipFill>
                  <pic:spPr bwMode="auto">
                    <a:xfrm>
                      <a:off x="0" y="0"/>
                      <a:ext cx="5508625"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Deutsche Bank Securities 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-123190</wp:posOffset>
            </wp:positionV>
            <wp:extent cx="5508625" cy="1289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3">
                      <a:extLst>
                        <a:ext uri="{28A0092B-C50C-407E-A947-70E740481C1C}"/>
                      </a:extLst>
                    </a:blip>
                    <a:srcRect/>
                    <a:stretch>
                      <a:fillRect/>
                    </a:stretch>
                  </pic:blipFill>
                  <pic:spPr bwMode="auto">
                    <a:xfrm>
                      <a:off x="0" y="0"/>
                      <a:ext cx="5508625"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Raymond James &amp; Associates, 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-108585</wp:posOffset>
            </wp:positionV>
            <wp:extent cx="5508625" cy="1289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4">
                      <a:extLst>
                        <a:ext uri="{28A0092B-C50C-407E-A947-70E740481C1C}"/>
                      </a:extLst>
                    </a:blip>
                    <a:srcRect/>
                    <a:stretch>
                      <a:fillRect/>
                    </a:stretch>
                  </pic:blipFill>
                  <pic:spPr bwMode="auto">
                    <a:xfrm>
                      <a:off x="0" y="0"/>
                      <a:ext cx="5508625" cy="128905"/>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Drexel Hamilton, LLC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-123190</wp:posOffset>
            </wp:positionV>
            <wp:extent cx="5508625" cy="1289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5">
                      <a:extLst>
                        <a:ext uri="{28A0092B-C50C-407E-A947-70E740481C1C}"/>
                      </a:extLst>
                    </a:blip>
                    <a:srcRect/>
                    <a:stretch>
                      <a:fillRect/>
                    </a:stretch>
                  </pic:blipFill>
                  <pic:spPr bwMode="auto">
                    <a:xfrm>
                      <a:off x="0" y="0"/>
                      <a:ext cx="550862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b w:val="1"/>
          <w:bCs w:val="1"/>
          <w:color w:val="auto"/>
        </w:rPr>
        <w:t>Schedule 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8"/>
              </w:rPr>
              <w:t>Number of</w:t>
            </w:r>
          </w:p>
        </w:tc>
      </w:tr>
      <w:tr>
        <w:trPr>
          <w:trHeight w:val="152"/>
        </w:trPr>
        <w:tc>
          <w:tcPr>
            <w:tcW w:w="120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Number of Firm</w:t>
            </w: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Option</w:t>
            </w:r>
          </w:p>
        </w:tc>
      </w:tr>
      <w:tr>
        <w:trPr>
          <w:trHeight w:val="158"/>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Shares</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1407160</wp:posOffset>
            </wp:positionV>
            <wp:extent cx="139890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6">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
        <w:spacing w:after="0"/>
        <w:tabs>
          <w:tab w:leader="none" w:pos="1280" w:val="left"/>
        </w:tabs>
        <w:rPr>
          <w:sz w:val="20"/>
          <w:szCs w:val="20"/>
          <w:color w:val="auto"/>
        </w:rPr>
      </w:pPr>
      <w:r>
        <w:rPr>
          <w:rFonts w:ascii="Arial" w:cs="Arial" w:eastAsia="Arial" w:hAnsi="Arial"/>
          <w:sz w:val="17"/>
          <w:szCs w:val="17"/>
          <w:color w:val="auto"/>
        </w:rPr>
        <w:t>Total</w:t>
      </w:r>
      <w:r>
        <w:rPr>
          <w:sz w:val="20"/>
          <w:szCs w:val="20"/>
          <w:color w:val="auto"/>
        </w:rPr>
        <w:tab/>
      </w:r>
      <w:r>
        <w:rPr>
          <w:rFonts w:ascii="Arial" w:cs="Arial" w:eastAsia="Arial" w:hAnsi="Arial"/>
          <w:sz w:val="17"/>
          <w:szCs w:val="17"/>
          <w:color w:val="auto"/>
        </w:rPr>
        <w:t>Total</w:t>
      </w:r>
    </w:p>
    <w:p>
      <w:pPr>
        <w:sectPr>
          <w:pgSz w:w="11900" w:h="16838" w:orient="portrait"/>
          <w:cols w:equalWidth="0" w:num="2">
            <w:col w:w="5860" w:space="720"/>
            <w:col w:w="3100"/>
          </w:cols>
          <w:pgMar w:left="1440" w:top="262" w:right="779" w:bottom="1440" w:gutter="0" w:footer="0" w:header="0"/>
        </w:sectPr>
      </w:pPr>
    </w:p>
    <w:bookmarkStart w:id="328" w:name="page329"/>
    <w:bookmarkEnd w:id="32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7182485" cy="36195"/>
                    </a:xfrm>
                    <a:prstGeom prst="rect">
                      <a:avLst/>
                    </a:prstGeom>
                    <a:noFill/>
                  </pic:spPr>
                </pic:pic>
              </a:graphicData>
            </a:graphic>
          </wp:anchor>
        </w:drawing>
        <w:t>Annex A</w:t>
      </w:r>
    </w:p>
    <w:p>
      <w:pPr>
        <w:spacing w:after="0" w:line="121" w:lineRule="exact"/>
        <w:rPr>
          <w:sz w:val="20"/>
          <w:szCs w:val="20"/>
          <w:color w:val="auto"/>
        </w:rPr>
      </w:pPr>
    </w:p>
    <w:p>
      <w:pPr>
        <w:ind w:left="403" w:hanging="403"/>
        <w:spacing w:after="0"/>
        <w:tabs>
          <w:tab w:leader="none" w:pos="403"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Pricing Disclosure Package</w:t>
      </w:r>
    </w:p>
    <w:p>
      <w:pPr>
        <w:spacing w:after="0" w:line="112" w:lineRule="exact"/>
        <w:rPr>
          <w:rFonts w:ascii="Arial" w:cs="Arial" w:eastAsia="Arial" w:hAnsi="Arial"/>
          <w:sz w:val="17"/>
          <w:szCs w:val="17"/>
          <w:b w:val="1"/>
          <w:bCs w:val="1"/>
          <w:color w:val="auto"/>
        </w:rPr>
      </w:pPr>
    </w:p>
    <w:p>
      <w:pPr>
        <w:ind w:left="423"/>
        <w:spacing w:after="0"/>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i w:val="1"/>
          <w:iCs w:val="1"/>
          <w:color w:val="auto"/>
        </w:rPr>
        <w:t>List each Issuer Free Writing Prospectus to be included in the Pricing Disclosure Package</w:t>
      </w:r>
      <w:r>
        <w:rPr>
          <w:rFonts w:ascii="Arial" w:cs="Arial" w:eastAsia="Arial" w:hAnsi="Arial"/>
          <w:sz w:val="17"/>
          <w:szCs w:val="17"/>
          <w:color w:val="auto"/>
        </w:rPr>
        <w:t>]</w:t>
      </w:r>
    </w:p>
    <w:p>
      <w:pPr>
        <w:spacing w:after="0" w:line="345" w:lineRule="exact"/>
        <w:rPr>
          <w:rFonts w:ascii="Arial" w:cs="Arial" w:eastAsia="Arial" w:hAnsi="Arial"/>
          <w:sz w:val="17"/>
          <w:szCs w:val="17"/>
          <w:b w:val="1"/>
          <w:bCs w:val="1"/>
          <w:color w:val="auto"/>
        </w:rPr>
      </w:pPr>
    </w:p>
    <w:p>
      <w:pPr>
        <w:ind w:left="403" w:hanging="403"/>
        <w:spacing w:after="0"/>
        <w:tabs>
          <w:tab w:leader="none" w:pos="403"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Pricing Information Provided Orally by Underwriters</w:t>
      </w:r>
    </w:p>
    <w:p>
      <w:pPr>
        <w:spacing w:after="0" w:line="213" w:lineRule="exact"/>
        <w:rPr>
          <w:rFonts w:ascii="Arial" w:cs="Arial" w:eastAsia="Arial" w:hAnsi="Arial"/>
          <w:sz w:val="17"/>
          <w:szCs w:val="17"/>
          <w:b w:val="1"/>
          <w:bCs w:val="1"/>
          <w:color w:val="auto"/>
        </w:rPr>
      </w:pPr>
    </w:p>
    <w:p>
      <w:pPr>
        <w:ind w:left="423"/>
        <w:spacing w:after="0"/>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i w:val="1"/>
          <w:iCs w:val="1"/>
          <w:color w:val="auto"/>
        </w:rPr>
        <w:t>Set out key information included in script that will be used by Underwriters to confirm sales</w:t>
      </w:r>
      <w:r>
        <w:rPr>
          <w:rFonts w:ascii="Arial" w:cs="Arial" w:eastAsia="Arial" w:hAnsi="Arial"/>
          <w:sz w:val="17"/>
          <w:szCs w:val="17"/>
          <w:color w:val="auto"/>
        </w:rPr>
        <w:t>]</w:t>
      </w:r>
    </w:p>
    <w:p>
      <w:pPr>
        <w:sectPr>
          <w:pgSz w:w="11900" w:h="16838" w:orient="portrait"/>
          <w:cols w:equalWidth="0" w:num="1">
            <w:col w:w="10343"/>
          </w:cols>
          <w:pgMar w:left="777" w:top="262" w:right="779" w:bottom="1440" w:gutter="0" w:footer="0" w:header="0"/>
        </w:sectPr>
      </w:pPr>
    </w:p>
    <w:bookmarkStart w:id="329" w:name="page330"/>
    <w:bookmarkEnd w:id="32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7182485" cy="36195"/>
                    </a:xfrm>
                    <a:prstGeom prst="rect">
                      <a:avLst/>
                    </a:prstGeom>
                    <a:noFill/>
                  </pic:spPr>
                </pic:pic>
              </a:graphicData>
            </a:graphic>
          </wp:anchor>
        </w:drawing>
        <w:t>Annex B</w:t>
      </w:r>
    </w:p>
    <w:p>
      <w:pPr>
        <w:spacing w:after="0" w:line="214" w:lineRule="exact"/>
        <w:rPr>
          <w:sz w:val="20"/>
          <w:szCs w:val="20"/>
          <w:color w:val="auto"/>
        </w:rPr>
      </w:pPr>
    </w:p>
    <w:p>
      <w:pPr>
        <w:jc w:val="center"/>
        <w:ind w:right="680"/>
        <w:spacing w:after="0"/>
        <w:rPr>
          <w:sz w:val="20"/>
          <w:szCs w:val="20"/>
          <w:color w:val="auto"/>
        </w:rPr>
      </w:pPr>
      <w:r>
        <w:rPr>
          <w:rFonts w:ascii="Arial" w:cs="Arial" w:eastAsia="Arial" w:hAnsi="Arial"/>
          <w:sz w:val="15"/>
          <w:szCs w:val="15"/>
          <w:color w:val="auto"/>
        </w:rPr>
        <w:t>Definitive Healthcare Corp.</w:t>
      </w:r>
    </w:p>
    <w:p>
      <w:pPr>
        <w:spacing w:after="0" w:line="233" w:lineRule="exact"/>
        <w:rPr>
          <w:sz w:val="20"/>
          <w:szCs w:val="20"/>
          <w:color w:val="auto"/>
        </w:rPr>
      </w:pPr>
    </w:p>
    <w:p>
      <w:pPr>
        <w:ind w:left="3860"/>
        <w:spacing w:after="0"/>
        <w:rPr>
          <w:sz w:val="20"/>
          <w:szCs w:val="20"/>
          <w:color w:val="auto"/>
        </w:rPr>
      </w:pPr>
      <w:r>
        <w:rPr>
          <w:rFonts w:ascii="Arial" w:cs="Arial" w:eastAsia="Arial" w:hAnsi="Arial"/>
          <w:sz w:val="17"/>
          <w:szCs w:val="17"/>
          <w:u w:val="single" w:color="auto"/>
          <w:color w:val="auto"/>
        </w:rPr>
        <w:t>Pricing Term Sheet</w:t>
      </w:r>
    </w:p>
    <w:p>
      <w:pPr>
        <w:sectPr>
          <w:pgSz w:w="11900" w:h="16838" w:orient="portrait"/>
          <w:cols w:equalWidth="0" w:num="1">
            <w:col w:w="9680"/>
          </w:cols>
          <w:pgMar w:left="1440" w:top="262" w:right="779" w:bottom="1440" w:gutter="0" w:footer="0" w:header="0"/>
        </w:sectPr>
      </w:pPr>
    </w:p>
    <w:bookmarkStart w:id="330" w:name="page331"/>
    <w:bookmarkEnd w:id="33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Annex C</w:t>
      </w:r>
    </w:p>
    <w:p>
      <w:pPr>
        <w:spacing w:after="0" w:line="210"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auto"/>
        </w:rPr>
        <w:t>Form of Opinion of Counsel for the Definitive Parties</w:t>
      </w:r>
    </w:p>
    <w:p>
      <w:pPr>
        <w:sectPr>
          <w:pgSz w:w="11900" w:h="16838" w:orient="portrait"/>
          <w:cols w:equalWidth="0" w:num="1">
            <w:col w:w="9680"/>
          </w:cols>
          <w:pgMar w:left="1440" w:top="262" w:right="779" w:bottom="1440" w:gutter="0" w:footer="0" w:header="0"/>
        </w:sectPr>
      </w:pPr>
    </w:p>
    <w:bookmarkStart w:id="331" w:name="page332"/>
    <w:bookmarkEnd w:id="331"/>
    <w:p>
      <w:pPr>
        <w:jc w:val="right"/>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160020</wp:posOffset>
            </wp:positionV>
            <wp:extent cx="2315845" cy="2330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0">
                      <a:extLst>
                        <a:ext uri="{28A0092B-C50C-407E-A947-70E740481C1C}"/>
                      </a:extLst>
                    </a:blip>
                    <a:srcRect/>
                    <a:stretch>
                      <a:fillRect/>
                    </a:stretch>
                  </pic:blipFill>
                  <pic:spPr bwMode="auto">
                    <a:xfrm>
                      <a:off x="0" y="0"/>
                      <a:ext cx="2315845"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767 Fifth Avenue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New York, NY 10153-0119</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+1 212 310 8000 tel</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+1 212 310 8007 fax</w:t>
      </w:r>
    </w:p>
    <w:p>
      <w:pPr>
        <w:spacing w:after="0" w:line="97" w:lineRule="exact"/>
        <w:rPr>
          <w:sz w:val="20"/>
          <w:szCs w:val="20"/>
          <w:color w:val="auto"/>
        </w:rPr>
      </w:pPr>
    </w:p>
    <w:p>
      <w:pPr>
        <w:ind w:left="3"/>
        <w:spacing w:after="0"/>
        <w:rPr>
          <w:sz w:val="20"/>
          <w:szCs w:val="20"/>
          <w:color w:val="auto"/>
        </w:rPr>
      </w:pPr>
      <w:r>
        <w:rPr>
          <w:rFonts w:ascii="Arial" w:cs="Arial" w:eastAsia="Arial" w:hAnsi="Arial"/>
          <w:sz w:val="17"/>
          <w:szCs w:val="17"/>
          <w:color w:val="auto"/>
        </w:rPr>
        <w:t>November 15, 2021</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7"/>
          <w:szCs w:val="17"/>
          <w:color w:val="auto"/>
        </w:rPr>
        <w:t>Definitive Healthcare Corp.</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7"/>
          <w:szCs w:val="17"/>
          <w:color w:val="auto"/>
        </w:rPr>
        <w:t>550 Cochituate Rd</w:t>
      </w:r>
    </w:p>
    <w:p>
      <w:pPr>
        <w:spacing w:after="0" w:line="7" w:lineRule="exact"/>
        <w:rPr>
          <w:sz w:val="20"/>
          <w:szCs w:val="20"/>
          <w:color w:val="auto"/>
        </w:rPr>
      </w:pPr>
    </w:p>
    <w:p>
      <w:pPr>
        <w:ind w:left="3"/>
        <w:spacing w:after="0"/>
        <w:rPr>
          <w:sz w:val="20"/>
          <w:szCs w:val="20"/>
          <w:color w:val="auto"/>
        </w:rPr>
      </w:pPr>
      <w:r>
        <w:rPr>
          <w:rFonts w:ascii="Arial" w:cs="Arial" w:eastAsia="Arial" w:hAnsi="Arial"/>
          <w:sz w:val="17"/>
          <w:szCs w:val="17"/>
          <w:color w:val="auto"/>
        </w:rPr>
        <w:t>Framingham, MA 01701</w:t>
      </w:r>
    </w:p>
    <w:p>
      <w:pPr>
        <w:spacing w:after="0" w:line="198" w:lineRule="exact"/>
        <w:rPr>
          <w:sz w:val="20"/>
          <w:szCs w:val="20"/>
          <w:color w:val="auto"/>
        </w:rPr>
      </w:pPr>
    </w:p>
    <w:p>
      <w:pPr>
        <w:ind w:left="3"/>
        <w:spacing w:after="0"/>
        <w:rPr>
          <w:sz w:val="20"/>
          <w:szCs w:val="20"/>
          <w:color w:val="auto"/>
        </w:rPr>
      </w:pPr>
      <w:r>
        <w:rPr>
          <w:rFonts w:ascii="Arial" w:cs="Arial" w:eastAsia="Arial" w:hAnsi="Arial"/>
          <w:sz w:val="17"/>
          <w:szCs w:val="17"/>
          <w:color w:val="auto"/>
        </w:rPr>
        <w:t>Ladies and Gentlemen:</w:t>
      </w:r>
    </w:p>
    <w:p>
      <w:pPr>
        <w:spacing w:after="0" w:line="108" w:lineRule="exact"/>
        <w:rPr>
          <w:sz w:val="20"/>
          <w:szCs w:val="20"/>
          <w:color w:val="auto"/>
        </w:rPr>
      </w:pPr>
    </w:p>
    <w:p>
      <w:pPr>
        <w:ind w:left="3" w:right="60"/>
        <w:spacing w:after="0" w:line="269" w:lineRule="auto"/>
        <w:rPr>
          <w:sz w:val="20"/>
          <w:szCs w:val="20"/>
          <w:color w:val="auto"/>
        </w:rPr>
      </w:pPr>
      <w:r>
        <w:rPr>
          <w:rFonts w:ascii="Arial" w:cs="Arial" w:eastAsia="Arial" w:hAnsi="Arial"/>
          <w:sz w:val="16"/>
          <w:szCs w:val="16"/>
          <w:color w:val="auto"/>
        </w:rPr>
        <w:t>We have acted as counsel to Definitive Healthcare Corp., a Delaware corporation (the “Company”), in connection with the preparation and filing with the Securities and Exchange Commission of the Company’s Registration Statement on Form S-1 and including any subsequent registration statement on Form S-1 filed pursuant to Rule 462(b), (the “Registration Statement”), under the Securities Act of 1933, as amended (the “Act”), relating to the registration of the offer, issuance and sale by the Company of the number of shares of Class A common stock, par value $0.001 per share of the Company (the “Common Stock”) specified in the Registration Statement (together with any additional shares of Common Stock that may be sold by the Company pursuant to Rule 462(b) under the Act, the “Shares”). The Shares are to be issued and sold by the Company pursuant to an underwriting agreement among the Company, AIDH TopCo, LLC and the underwriters named therein (the “Underwriting Agreement”), the form of which will be filed as Exhibit 1.1 to the Registration Statement.</w:t>
      </w:r>
    </w:p>
    <w:p>
      <w:pPr>
        <w:spacing w:after="0" w:line="174" w:lineRule="exact"/>
        <w:rPr>
          <w:sz w:val="20"/>
          <w:szCs w:val="20"/>
          <w:color w:val="auto"/>
        </w:rPr>
      </w:pPr>
    </w:p>
    <w:p>
      <w:pPr>
        <w:jc w:val="both"/>
        <w:ind w:left="3" w:right="160"/>
        <w:spacing w:after="0" w:line="287" w:lineRule="auto"/>
        <w:rPr>
          <w:sz w:val="20"/>
          <w:szCs w:val="20"/>
          <w:color w:val="auto"/>
        </w:rPr>
      </w:pPr>
      <w:r>
        <w:rPr>
          <w:rFonts w:ascii="Arial" w:cs="Arial" w:eastAsia="Arial" w:hAnsi="Arial"/>
          <w:sz w:val="15"/>
          <w:szCs w:val="15"/>
          <w:color w:val="auto"/>
        </w:rPr>
        <w:t>In so acting, we have examined originals or copies (certified or otherwise identified to our satisfaction) of (i) the Amended and Restated Certificate of Incorporation of the Company filed with the Secretary of State of the State of Delaware on September 14, 2021, filed as Exhibit 3.1 to the Registration Statement; (ii) the Amended and Restated Bylaws of the Company, effective September 14, 2021, filed as Exhibit 3.2 to the Registration Statement,</w:t>
      </w:r>
    </w:p>
    <w:p>
      <w:pPr>
        <w:spacing w:after="0" w:line="1" w:lineRule="exact"/>
        <w:rPr>
          <w:sz w:val="20"/>
          <w:szCs w:val="20"/>
          <w:color w:val="auto"/>
        </w:rPr>
      </w:pPr>
    </w:p>
    <w:p>
      <w:pPr>
        <w:jc w:val="both"/>
        <w:ind w:left="3" w:right="220" w:hanging="3"/>
        <w:spacing w:after="0" w:line="250" w:lineRule="auto"/>
        <w:tabs>
          <w:tab w:leader="none" w:pos="298"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Registration Statement; (iv) the prospectus contained within the Registration Statement; (v) the form of the Underwriting Agreement; (vi) the form of the Certificate of Class A Common Stock of the Company, filed as Exhibit 4.1 to the Registration Statement; and (vii)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 hereinafter set forth.</w:t>
      </w:r>
    </w:p>
    <w:p>
      <w:pPr>
        <w:spacing w:after="0" w:line="186" w:lineRule="exact"/>
        <w:rPr>
          <w:sz w:val="20"/>
          <w:szCs w:val="20"/>
          <w:color w:val="auto"/>
        </w:rPr>
      </w:pPr>
    </w:p>
    <w:p>
      <w:pPr>
        <w:ind w:left="3" w:right="20"/>
        <w:spacing w:after="0" w:line="277" w:lineRule="auto"/>
        <w:rPr>
          <w:sz w:val="20"/>
          <w:szCs w:val="20"/>
          <w:color w:val="auto"/>
        </w:rPr>
      </w:pPr>
      <w:r>
        <w:rPr>
          <w:rFonts w:ascii="Arial" w:cs="Arial" w:eastAsia="Arial" w:hAnsi="Arial"/>
          <w:sz w:val="16"/>
          <w:szCs w:val="16"/>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ectPr>
          <w:pgSz w:w="11900" w:h="16838" w:orient="portrait"/>
          <w:cols w:equalWidth="0" w:num="1">
            <w:col w:w="10343"/>
          </w:cols>
          <w:pgMar w:left="777" w:top="123" w:right="779" w:bottom="1440" w:gutter="0" w:footer="0" w:header="0"/>
        </w:sectPr>
      </w:pPr>
    </w:p>
    <w:bookmarkStart w:id="332" w:name="page333"/>
    <w:bookmarkEnd w:id="33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-115570</wp:posOffset>
            </wp:positionV>
            <wp:extent cx="1600200" cy="2330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2">
                      <a:extLst>
                        <a:ext uri="{28A0092B-C50C-407E-A947-70E740481C1C}"/>
                      </a:extLst>
                    </a:blip>
                    <a:srcRect/>
                    <a:stretch>
                      <a:fillRect/>
                    </a:stretch>
                  </pic:blipFill>
                  <pic:spPr bwMode="auto">
                    <a:xfrm>
                      <a:off x="0" y="0"/>
                      <a:ext cx="1600200" cy="2330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Page 2</w:t>
      </w:r>
    </w:p>
    <w:p>
      <w:pPr>
        <w:spacing w:after="0" w:line="350" w:lineRule="exact"/>
        <w:rPr>
          <w:sz w:val="20"/>
          <w:szCs w:val="20"/>
          <w:color w:val="auto"/>
        </w:rPr>
      </w:pPr>
    </w:p>
    <w:p>
      <w:pPr>
        <w:jc w:val="both"/>
        <w:ind w:right="100"/>
        <w:spacing w:after="0" w:line="260" w:lineRule="auto"/>
        <w:rPr>
          <w:sz w:val="20"/>
          <w:szCs w:val="20"/>
          <w:color w:val="auto"/>
        </w:rPr>
      </w:pPr>
      <w:r>
        <w:rPr>
          <w:rFonts w:ascii="Arial" w:cs="Arial" w:eastAsia="Arial" w:hAnsi="Arial"/>
          <w:sz w:val="17"/>
          <w:szCs w:val="17"/>
          <w:color w:val="auto"/>
        </w:rPr>
        <w:t>Based on the foregoing, and subject to the qualifications stated herein, we are of the opinion that the Shares, when issued and sold as contemplated in the Registration Statement and the Underwriting Agreement, and upon payment and delivery in accordance with the Underwriting Agreement, will be validly issued, fully paid and non-assessable.</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opinion expressed herein is limited to the corporate laws of the State of Delaware and we express no opinion as to the effect on the matters covered by this letter of the laws of any other jurisdiction.</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hereby consent to the filing of this letter as an exhibit to the Registration Statement, to the incorporation by reference of this letter into any subsequent registration statement on Form S-1 filed by the Company pursuant to Rule 462(b) of the Act with respect to the Shares and to the reference to our firm under the caption “Legal Matters” in the prospectus which is a part of the Registration Statement. In giving such consent we do not hereby admit that we are in the category of persons whose consent is required under Section 7 of the Act or the rules and regulations of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 Weil, Gotshal &amp; Manges, LLP</w:t>
      </w:r>
    </w:p>
    <w:p>
      <w:pPr>
        <w:sectPr>
          <w:pgSz w:w="11900" w:h="16838" w:orient="portrait"/>
          <w:cols w:equalWidth="0" w:num="1">
            <w:col w:w="10240"/>
          </w:cols>
          <w:pgMar w:left="780" w:top="266" w:right="879" w:bottom="1440" w:gutter="0" w:footer="0" w:header="0"/>
        </w:sectPr>
      </w:pPr>
    </w:p>
    <w:bookmarkStart w:id="333" w:name="page334"/>
    <w:bookmarkEnd w:id="333"/>
    <w:p>
      <w:pPr>
        <w:jc w:val="right"/>
        <w:spacing w:after="0"/>
        <w:rPr>
          <w:sz w:val="20"/>
          <w:szCs w:val="20"/>
          <w:color w:val="auto"/>
        </w:rPr>
      </w:pPr>
      <w:r>
        <w:rPr>
          <w:rFonts w:ascii="Arial" w:cs="Arial" w:eastAsia="Arial" w:hAnsi="Arial"/>
          <w:sz w:val="17"/>
          <w:szCs w:val="17"/>
          <w:b w:val="1"/>
          <w:bCs w:val="1"/>
          <w:color w:val="auto"/>
        </w:rPr>
        <w:t>Exhibit 10.21</w:t>
      </w:r>
    </w:p>
    <w:p>
      <w:pPr>
        <w:spacing w:after="0" w:line="210" w:lineRule="exact"/>
        <w:rPr>
          <w:sz w:val="20"/>
          <w:szCs w:val="20"/>
          <w:color w:val="auto"/>
        </w:rPr>
      </w:pPr>
    </w:p>
    <w:p>
      <w:pPr>
        <w:jc w:val="center"/>
        <w:ind w:right="-2"/>
        <w:spacing w:after="0"/>
        <w:rPr>
          <w:sz w:val="20"/>
          <w:szCs w:val="20"/>
          <w:color w:val="auto"/>
        </w:rPr>
      </w:pPr>
      <w:r>
        <w:rPr>
          <w:rFonts w:ascii="Arial" w:cs="Arial" w:eastAsia="Arial" w:hAnsi="Arial"/>
          <w:sz w:val="17"/>
          <w:szCs w:val="17"/>
          <w:b w:val="1"/>
          <w:bCs w:val="1"/>
          <w:color w:val="auto"/>
        </w:rPr>
        <w:t>STOCK AND UNIT PURCHASE AGREEMENT</w:t>
      </w:r>
    </w:p>
    <w:p>
      <w:pPr>
        <w:spacing w:after="0" w:line="214" w:lineRule="exact"/>
        <w:rPr>
          <w:sz w:val="20"/>
          <w:szCs w:val="20"/>
          <w:color w:val="auto"/>
        </w:rPr>
      </w:pPr>
    </w:p>
    <w:p>
      <w:pPr>
        <w:jc w:val="both"/>
        <w:ind w:left="3" w:right="280" w:firstLine="413"/>
        <w:spacing w:after="0" w:line="260" w:lineRule="auto"/>
        <w:rPr>
          <w:sz w:val="20"/>
          <w:szCs w:val="20"/>
          <w:color w:val="auto"/>
        </w:rPr>
      </w:pPr>
      <w:r>
        <w:rPr>
          <w:rFonts w:ascii="Arial" w:cs="Arial" w:eastAsia="Arial" w:hAnsi="Arial"/>
          <w:sz w:val="17"/>
          <w:szCs w:val="17"/>
          <w:color w:val="auto"/>
        </w:rPr>
        <w:t>THIS STOCK AND UNIT PURCHASE AGREEMENT (this “</w:t>
      </w:r>
      <w:r>
        <w:rPr>
          <w:rFonts w:ascii="Arial" w:cs="Arial" w:eastAsia="Arial" w:hAnsi="Arial"/>
          <w:sz w:val="17"/>
          <w:szCs w:val="17"/>
          <w:u w:val="single" w:color="auto"/>
          <w:color w:val="auto"/>
        </w:rPr>
        <w:t>Agreement”) is entered into as of November 10, 2021 by and among Definitive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Healthcare Corp., a Delaware corporation (the “Company”), and certain persons listed on Schedule I hereto (each such securityholder a “Seller” and collectively, the “Sellers”).</w:t>
      </w:r>
    </w:p>
    <w:p>
      <w:pPr>
        <w:spacing w:after="0" w:line="374" w:lineRule="exact"/>
        <w:rPr>
          <w:sz w:val="20"/>
          <w:szCs w:val="20"/>
          <w:color w:val="auto"/>
        </w:rPr>
      </w:pPr>
    </w:p>
    <w:p>
      <w:pPr>
        <w:jc w:val="center"/>
        <w:ind w:right="-2"/>
        <w:spacing w:after="0"/>
        <w:rPr>
          <w:sz w:val="20"/>
          <w:szCs w:val="20"/>
          <w:color w:val="auto"/>
        </w:rPr>
      </w:pPr>
      <w:r>
        <w:rPr>
          <w:rFonts w:ascii="Arial" w:cs="Arial" w:eastAsia="Arial" w:hAnsi="Arial"/>
          <w:sz w:val="17"/>
          <w:szCs w:val="17"/>
          <w:b w:val="1"/>
          <w:bCs w:val="1"/>
          <w:u w:val="single" w:color="auto"/>
          <w:color w:val="auto"/>
        </w:rPr>
        <w:t>BACKGROUND</w:t>
      </w:r>
    </w:p>
    <w:p>
      <w:pPr>
        <w:spacing w:after="0" w:line="214" w:lineRule="exact"/>
        <w:rPr>
          <w:sz w:val="20"/>
          <w:szCs w:val="20"/>
          <w:color w:val="auto"/>
        </w:rPr>
      </w:pPr>
    </w:p>
    <w:p>
      <w:pPr>
        <w:ind w:left="3" w:right="260" w:firstLine="413"/>
        <w:spacing w:after="0" w:line="272" w:lineRule="auto"/>
        <w:rPr>
          <w:sz w:val="20"/>
          <w:szCs w:val="20"/>
          <w:color w:val="auto"/>
        </w:rPr>
      </w:pPr>
      <w:r>
        <w:rPr>
          <w:rFonts w:ascii="Arial" w:cs="Arial" w:eastAsia="Arial" w:hAnsi="Arial"/>
          <w:sz w:val="17"/>
          <w:szCs w:val="17"/>
          <w:color w:val="auto"/>
        </w:rPr>
        <w:t>A. The Company has determined to effect an underwritten public offering (the “</w:t>
      </w:r>
      <w:r>
        <w:rPr>
          <w:rFonts w:ascii="Arial" w:cs="Arial" w:eastAsia="Arial" w:hAnsi="Arial"/>
          <w:sz w:val="17"/>
          <w:szCs w:val="17"/>
          <w:u w:val="single" w:color="auto"/>
          <w:color w:val="auto"/>
        </w:rPr>
        <w:t>Offering</w:t>
      </w:r>
      <w:r>
        <w:rPr>
          <w:rFonts w:ascii="Arial" w:cs="Arial" w:eastAsia="Arial" w:hAnsi="Arial"/>
          <w:sz w:val="17"/>
          <w:szCs w:val="17"/>
          <w:color w:val="auto"/>
        </w:rPr>
        <w:t>”) of shares of the Company’s Class A Common Stock $0.001 par value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w:t>
      </w:r>
    </w:p>
    <w:p>
      <w:pPr>
        <w:spacing w:after="0" w:line="165" w:lineRule="exact"/>
        <w:rPr>
          <w:sz w:val="20"/>
          <w:szCs w:val="20"/>
          <w:color w:val="auto"/>
        </w:rPr>
      </w:pPr>
    </w:p>
    <w:p>
      <w:pPr>
        <w:jc w:val="both"/>
        <w:ind w:left="3" w:right="160" w:firstLine="413"/>
        <w:spacing w:after="0" w:line="256" w:lineRule="auto"/>
        <w:rPr>
          <w:sz w:val="20"/>
          <w:szCs w:val="20"/>
          <w:color w:val="auto"/>
        </w:rPr>
      </w:pPr>
      <w:r>
        <w:rPr>
          <w:rFonts w:ascii="Arial" w:cs="Arial" w:eastAsia="Arial" w:hAnsi="Arial"/>
          <w:sz w:val="17"/>
          <w:szCs w:val="17"/>
          <w:color w:val="auto"/>
        </w:rPr>
        <w:t>B. The Sellers intend to sell to the Company, and the Company intends to purchase from the Sellers, in a private, non-underwritten transaction, a portion of the shares of Class A Common Stock and/or limited liability company units (“</w:t>
      </w:r>
      <w:r>
        <w:rPr>
          <w:rFonts w:ascii="Arial" w:cs="Arial" w:eastAsia="Arial" w:hAnsi="Arial"/>
          <w:sz w:val="17"/>
          <w:szCs w:val="17"/>
          <w:u w:val="single" w:color="auto"/>
          <w:color w:val="auto"/>
        </w:rPr>
        <w:t>LLC Units</w:t>
      </w:r>
      <w:r>
        <w:rPr>
          <w:rFonts w:ascii="Arial" w:cs="Arial" w:eastAsia="Arial" w:hAnsi="Arial"/>
          <w:sz w:val="17"/>
          <w:szCs w:val="17"/>
          <w:color w:val="auto"/>
        </w:rPr>
        <w:t>”) of AIDH TopCo, LLC (“</w:t>
      </w:r>
      <w:r>
        <w:rPr>
          <w:rFonts w:ascii="Arial" w:cs="Arial" w:eastAsia="Arial" w:hAnsi="Arial"/>
          <w:sz w:val="17"/>
          <w:szCs w:val="17"/>
          <w:u w:val="single" w:color="auto"/>
          <w:color w:val="auto"/>
        </w:rPr>
        <w:t>Definitive OpCo</w:t>
      </w:r>
      <w:r>
        <w:rPr>
          <w:rFonts w:ascii="Arial" w:cs="Arial" w:eastAsia="Arial" w:hAnsi="Arial"/>
          <w:sz w:val="17"/>
          <w:szCs w:val="17"/>
          <w:color w:val="auto"/>
        </w:rPr>
        <w:t>”) held by the Sellers, as applicable, as set forth herein (the “</w:t>
      </w:r>
      <w:r>
        <w:rPr>
          <w:rFonts w:ascii="Arial" w:cs="Arial" w:eastAsia="Arial" w:hAnsi="Arial"/>
          <w:sz w:val="17"/>
          <w:szCs w:val="17"/>
          <w:u w:val="single" w:color="auto"/>
          <w:color w:val="auto"/>
        </w:rPr>
        <w:t>Firm Purchased Equity Interests”</w:t>
      </w:r>
      <w:r>
        <w:rPr>
          <w:rFonts w:ascii="Arial" w:cs="Arial" w:eastAsia="Arial" w:hAnsi="Arial"/>
          <w:sz w:val="17"/>
          <w:szCs w:val="17"/>
          <w:color w:val="auto"/>
        </w:rPr>
        <w:t>), at the price and upon the terms and conditions provided in this Agreement.</w:t>
      </w:r>
    </w:p>
    <w:p>
      <w:pPr>
        <w:spacing w:after="0" w:line="179" w:lineRule="exact"/>
        <w:rPr>
          <w:sz w:val="20"/>
          <w:szCs w:val="20"/>
          <w:color w:val="auto"/>
        </w:rPr>
      </w:pPr>
    </w:p>
    <w:p>
      <w:pPr>
        <w:ind w:left="3" w:right="100" w:firstLine="413"/>
        <w:spacing w:after="0" w:line="301" w:lineRule="auto"/>
        <w:rPr>
          <w:sz w:val="20"/>
          <w:szCs w:val="20"/>
          <w:color w:val="auto"/>
        </w:rPr>
      </w:pPr>
      <w:r>
        <w:rPr>
          <w:rFonts w:ascii="Arial" w:cs="Arial" w:eastAsia="Arial" w:hAnsi="Arial"/>
          <w:sz w:val="15"/>
          <w:szCs w:val="15"/>
          <w:color w:val="auto"/>
        </w:rPr>
        <w:t>C. In order to effect the Offering, the Company and Definitive OpCo will enter into an Underwriting Agreement (the “Underwriting Agreement”) with Goldman Sachs &amp; Co. LLC, J.P. Morgan Securities LLC, Morgan Stanley &amp; Co. LLC and Barclays Capital Inc., as representatives of the several underwriters named therein (the “</w:t>
      </w:r>
      <w:r>
        <w:rPr>
          <w:rFonts w:ascii="Arial" w:cs="Arial" w:eastAsia="Arial" w:hAnsi="Arial"/>
          <w:sz w:val="15"/>
          <w:szCs w:val="15"/>
          <w:u w:val="single" w:color="auto"/>
          <w:color w:val="auto"/>
        </w:rPr>
        <w:t>Underwriters</w:t>
      </w:r>
      <w:r>
        <w:rPr>
          <w:rFonts w:ascii="Arial" w:cs="Arial" w:eastAsia="Arial" w:hAnsi="Arial"/>
          <w:sz w:val="15"/>
          <w:szCs w:val="15"/>
          <w:color w:val="auto"/>
        </w:rPr>
        <w:t>”), and the Underwriters will have the option to purchase, at one or more times, additional shares of Class A Common Stock in the aggregate in the Offering pursuant to the Underwriting Agreement (each, an “</w:t>
      </w:r>
      <w:r>
        <w:rPr>
          <w:rFonts w:ascii="Arial" w:cs="Arial" w:eastAsia="Arial" w:hAnsi="Arial"/>
          <w:sz w:val="15"/>
          <w:szCs w:val="15"/>
          <w:u w:val="single" w:color="auto"/>
          <w:color w:val="auto"/>
        </w:rPr>
        <w:t>Over-Allotment Option</w:t>
      </w:r>
      <w:r>
        <w:rPr>
          <w:rFonts w:ascii="Arial" w:cs="Arial" w:eastAsia="Arial" w:hAnsi="Arial"/>
          <w:sz w:val="15"/>
          <w:szCs w:val="15"/>
          <w:color w:val="auto"/>
        </w:rPr>
        <w:t>”).</w:t>
      </w:r>
    </w:p>
    <w:p>
      <w:pPr>
        <w:spacing w:after="0" w:line="148" w:lineRule="exact"/>
        <w:rPr>
          <w:sz w:val="20"/>
          <w:szCs w:val="20"/>
          <w:color w:val="auto"/>
        </w:rPr>
      </w:pPr>
    </w:p>
    <w:p>
      <w:pPr>
        <w:ind w:left="3" w:right="100" w:firstLine="413"/>
        <w:spacing w:after="0" w:line="284" w:lineRule="auto"/>
        <w:rPr>
          <w:sz w:val="20"/>
          <w:szCs w:val="20"/>
          <w:color w:val="auto"/>
        </w:rPr>
      </w:pPr>
      <w:r>
        <w:rPr>
          <w:rFonts w:ascii="Arial" w:cs="Arial" w:eastAsia="Arial" w:hAnsi="Arial"/>
          <w:sz w:val="16"/>
          <w:szCs w:val="16"/>
          <w:color w:val="auto"/>
        </w:rPr>
        <w:t>D. In connection with each exercise of an Over-Allotment Option by the Underwriters, each Seller will sell to the Company an additional number of shares of Class A Common Stock and LLC Units, as applicable (the “</w:t>
      </w:r>
      <w:r>
        <w:rPr>
          <w:rFonts w:ascii="Arial" w:cs="Arial" w:eastAsia="Arial" w:hAnsi="Arial"/>
          <w:sz w:val="16"/>
          <w:szCs w:val="16"/>
          <w:u w:val="single" w:color="auto"/>
          <w:color w:val="auto"/>
        </w:rPr>
        <w:t>Option Purchased Equity Interests</w:t>
      </w:r>
      <w:r>
        <w:rPr>
          <w:rFonts w:ascii="Arial" w:cs="Arial" w:eastAsia="Arial" w:hAnsi="Arial"/>
          <w:sz w:val="16"/>
          <w:szCs w:val="16"/>
          <w:color w:val="auto"/>
        </w:rPr>
        <w:t>,” and together with the Firm Purchased Equity Interests, the “</w:t>
      </w:r>
      <w:r>
        <w:rPr>
          <w:rFonts w:ascii="Arial" w:cs="Arial" w:eastAsia="Arial" w:hAnsi="Arial"/>
          <w:sz w:val="16"/>
          <w:szCs w:val="16"/>
          <w:u w:val="single" w:color="auto"/>
          <w:color w:val="auto"/>
        </w:rPr>
        <w:t>Purchased Equity Interests</w:t>
      </w:r>
      <w:r>
        <w:rPr>
          <w:rFonts w:ascii="Arial" w:cs="Arial" w:eastAsia="Arial" w:hAnsi="Arial"/>
          <w:sz w:val="16"/>
          <w:szCs w:val="16"/>
          <w:color w:val="auto"/>
        </w:rPr>
        <w:t>”), at the price and upon the terms and conditions provided in this Agreement.</w:t>
      </w:r>
    </w:p>
    <w:p>
      <w:pPr>
        <w:spacing w:after="0" w:line="157" w:lineRule="exact"/>
        <w:rPr>
          <w:sz w:val="20"/>
          <w:szCs w:val="20"/>
          <w:color w:val="auto"/>
        </w:rPr>
      </w:pPr>
    </w:p>
    <w:p>
      <w:pPr>
        <w:ind w:left="3" w:right="140" w:firstLine="413"/>
        <w:spacing w:after="0" w:line="272" w:lineRule="auto"/>
        <w:rPr>
          <w:sz w:val="20"/>
          <w:szCs w:val="20"/>
          <w:color w:val="auto"/>
        </w:rPr>
      </w:pPr>
      <w:r>
        <w:rPr>
          <w:rFonts w:ascii="Arial" w:cs="Arial" w:eastAsia="Arial" w:hAnsi="Arial"/>
          <w:sz w:val="17"/>
          <w:szCs w:val="17"/>
          <w:color w:val="auto"/>
        </w:rPr>
        <w:t>E. The Company and the Sellers agree that the transactions contemplated by this Agreement are being undertaken to reduce each Seller’s interest in the Company after the Offering.</w:t>
      </w: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7"/>
          <w:szCs w:val="17"/>
          <w:b w:val="1"/>
          <w:bCs w:val="1"/>
          <w:u w:val="single" w:color="auto"/>
          <w:color w:val="auto"/>
        </w:rPr>
        <w:t>AGREEMENT</w:t>
      </w:r>
    </w:p>
    <w:p>
      <w:pPr>
        <w:spacing w:after="0" w:line="214" w:lineRule="exact"/>
        <w:rPr>
          <w:sz w:val="20"/>
          <w:szCs w:val="20"/>
          <w:color w:val="auto"/>
        </w:rPr>
      </w:pPr>
    </w:p>
    <w:p>
      <w:pPr>
        <w:ind w:left="163" w:hanging="163"/>
        <w:spacing w:after="0"/>
        <w:tabs>
          <w:tab w:leader="none" w:pos="163"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Purchase of Company and Definitive OpCo Equity Interests</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 w:right="140" w:firstLine="410"/>
        <w:spacing w:after="0" w:line="274" w:lineRule="auto"/>
        <w:tabs>
          <w:tab w:leader="none" w:pos="645"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The per share or unit purchase price, as applicable, for each Firm Purchased Equity Interest to be purchased by the Company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shall be equal to the price at which each share of Class A Common Stock is purchased from the Company by the Underwriters pursuant to the Underwriting Agreement and the per share or unit purchase price, as applicable, for each Option Purchased Equity Interest to be purchased by the Company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shall be equal to the price at which each share of Class A Common Stock is purchased from the Company by the Underwriters pursuant to the Underwriting Agreement (the “</w:t>
      </w:r>
      <w:r>
        <w:rPr>
          <w:rFonts w:ascii="Arial" w:cs="Arial" w:eastAsia="Arial" w:hAnsi="Arial"/>
          <w:sz w:val="16"/>
          <w:szCs w:val="16"/>
          <w:u w:val="single" w:color="auto"/>
          <w:color w:val="auto"/>
        </w:rPr>
        <w:t>Per Equity Interest Purchase Price</w:t>
      </w:r>
      <w:r>
        <w:rPr>
          <w:rFonts w:ascii="Arial" w:cs="Arial" w:eastAsia="Arial" w:hAnsi="Arial"/>
          <w:sz w:val="16"/>
          <w:szCs w:val="16"/>
          <w:color w:val="auto"/>
        </w:rPr>
        <w:t>”).</w:t>
      </w:r>
    </w:p>
    <w:p>
      <w:pPr>
        <w:sectPr>
          <w:pgSz w:w="11900" w:h="16838" w:orient="portrait"/>
          <w:cols w:equalWidth="0" w:num="1">
            <w:col w:w="10343"/>
          </w:cols>
          <w:pgMar w:left="777" w:top="123" w:right="779" w:bottom="1440" w:gutter="0" w:footer="0" w:header="0"/>
        </w:sectPr>
      </w:pPr>
    </w:p>
    <w:bookmarkStart w:id="334" w:name="page335"/>
    <w:bookmarkEnd w:id="334"/>
    <w:p>
      <w:pPr>
        <w:ind w:left="3" w:right="40" w:firstLine="410"/>
        <w:spacing w:after="0" w:line="268" w:lineRule="auto"/>
        <w:tabs>
          <w:tab w:leader="none" w:pos="655" w:val="left"/>
        </w:tabs>
        <w:numPr>
          <w:ilvl w:val="1"/>
          <w:numId w:val="2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3">
                      <a:extLst>
                        <a:ext uri="{28A0092B-C50C-407E-A947-70E740481C1C}"/>
                      </a:extLst>
                    </a:blip>
                    <a:srcRect/>
                    <a:stretch>
                      <a:fillRect/>
                    </a:stretch>
                  </pic:blipFill>
                  <pic:spPr bwMode="auto">
                    <a:xfrm>
                      <a:off x="0" y="0"/>
                      <a:ext cx="7182485" cy="36195"/>
                    </a:xfrm>
                    <a:prstGeom prst="rect">
                      <a:avLst/>
                    </a:prstGeom>
                    <a:noFill/>
                  </pic:spPr>
                </pic:pic>
              </a:graphicData>
            </a:graphic>
          </wp:anchor>
        </w:drawing>
        <w:t>At the Initial Closing (as defined below) and subject to the satisfaction of the terms and conditions set forth herein, each Seller hereby agrees to sell, and the Company hereby agrees to purchase from each of them, at the Per Equity Interest Purchase Price the number of shares of Class A Common Stock or LLC Units (rounded to the nearest whole number), as applicable, equal to the number calculated by multiplying (i) the total number of shares of Class A Common Stock and LLC Units to be purchased by the Company from existing holders of shares of Class A common stock or LLC Units, if any, as specified in the Prospectus filed by the Company pursuant to Rule 424(b) in connection with the Offering (the “Prospectus”), without giving effect to the exercise of the Over-Allotment Option, by (ii) the Seller’s Pro Rata Percentage of Proceeds as set forth opposite such Seller’s name on Schedule I hereto. The aggregate number of shares of Class A Common Stock or LLC Units to be purchased from the Sellers, if any, and disclosed in the Prospectus will be determined by the Company in its sole discretion. For the avoidance of doubt, if the Company determines it will not use any of the proceeds of the Offering to purchase shares of Class A Common Stock or LLC Units from existing holders, it will notify the Sellers of such determination and the Company will have no obligation to use any of the proceeds from the Offering to purchase any shares of Class A Common Stock or LLC Units from the Sellers hereunder.</w:t>
      </w:r>
    </w:p>
    <w:p>
      <w:pPr>
        <w:spacing w:after="0" w:line="171" w:lineRule="exact"/>
        <w:rPr>
          <w:rFonts w:ascii="Arial" w:cs="Arial" w:eastAsia="Arial" w:hAnsi="Arial"/>
          <w:sz w:val="16"/>
          <w:szCs w:val="16"/>
          <w:color w:val="auto"/>
        </w:rPr>
      </w:pPr>
    </w:p>
    <w:p>
      <w:pPr>
        <w:ind w:left="3" w:firstLine="410"/>
        <w:spacing w:after="0" w:line="290" w:lineRule="auto"/>
        <w:tabs>
          <w:tab w:leader="none" w:pos="645" w:val="left"/>
        </w:tabs>
        <w:numPr>
          <w:ilvl w:val="1"/>
          <w:numId w:val="283"/>
        </w:numPr>
        <w:rPr>
          <w:rFonts w:ascii="Arial" w:cs="Arial" w:eastAsia="Arial" w:hAnsi="Arial"/>
          <w:sz w:val="15"/>
          <w:szCs w:val="15"/>
          <w:color w:val="auto"/>
        </w:rPr>
      </w:pPr>
      <w:r>
        <w:rPr>
          <w:rFonts w:ascii="Arial" w:cs="Arial" w:eastAsia="Arial" w:hAnsi="Arial"/>
          <w:sz w:val="15"/>
          <w:szCs w:val="15"/>
          <w:color w:val="auto"/>
        </w:rPr>
        <w:t xml:space="preserve">Unless the Company has notified the Sellers of its determination to not use any of the proceeds from the Offering to purchase shares of Class A Common Stock or LLC Units from the Sellers as set forth in Section 1(b), if the Underwriters exercise an Over-Allotment Option, at an Option Closing (as defined below) and subject to the satisfaction of the terms and conditions set forth herein, each Seller shall sell, and the Company shall purchase from each of them at the Per Equity Interest Purchase Price, an additional number of shares of Class A Common Stock or LLC Units (rounded to the nearest whole number), as applicable, equal to (i) the aggregate proceeds the Company receives from the Underwriters pursuant to such Over-Allotment Option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Per Equity Interest Purchase Price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(ii) such Seller’s Pro Rata Percentage of Over-Allotment Proceeds as set forth opposite such Seller’s name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For the avoidance of doubt, any Option Purchased Equity Interests to be purchased pursuant to this Agreement as a result of an Over-Allotment Option shall constitute Purchased Equity Interests for all purposes under this Agreement.</w:t>
      </w:r>
    </w:p>
    <w:p>
      <w:pPr>
        <w:spacing w:after="0" w:line="156" w:lineRule="exact"/>
        <w:rPr>
          <w:rFonts w:ascii="Arial" w:cs="Arial" w:eastAsia="Arial" w:hAnsi="Arial"/>
          <w:sz w:val="15"/>
          <w:szCs w:val="15"/>
          <w:color w:val="auto"/>
        </w:rPr>
      </w:pPr>
    </w:p>
    <w:p>
      <w:pPr>
        <w:ind w:left="3" w:right="320" w:firstLine="410"/>
        <w:spacing w:after="0" w:line="272" w:lineRule="auto"/>
        <w:tabs>
          <w:tab w:leader="none" w:pos="655" w:val="left"/>
        </w:tabs>
        <w:numPr>
          <w:ilvl w:val="1"/>
          <w:numId w:val="283"/>
        </w:numPr>
        <w:rPr>
          <w:rFonts w:ascii="Arial" w:cs="Arial" w:eastAsia="Arial" w:hAnsi="Arial"/>
          <w:sz w:val="17"/>
          <w:szCs w:val="17"/>
          <w:color w:val="auto"/>
        </w:rPr>
      </w:pPr>
      <w:r>
        <w:rPr>
          <w:rFonts w:ascii="Arial" w:cs="Arial" w:eastAsia="Arial" w:hAnsi="Arial"/>
          <w:sz w:val="17"/>
          <w:szCs w:val="17"/>
          <w:color w:val="auto"/>
        </w:rPr>
        <w:t>In connection with any purchase of LLC Units by the Company pursuant to this Agreement, the corresponding shares of Class B Common Stock of the Company shall be retired and canceled for no consideration.</w:t>
      </w:r>
    </w:p>
    <w:p>
      <w:pPr>
        <w:spacing w:after="0" w:line="164" w:lineRule="exact"/>
        <w:rPr>
          <w:rFonts w:ascii="Arial" w:cs="Arial" w:eastAsia="Arial" w:hAnsi="Arial"/>
          <w:sz w:val="17"/>
          <w:szCs w:val="17"/>
          <w:color w:val="auto"/>
        </w:rPr>
      </w:pPr>
    </w:p>
    <w:p>
      <w:pPr>
        <w:ind w:left="3" w:right="120" w:firstLine="410"/>
        <w:spacing w:after="0" w:line="290" w:lineRule="auto"/>
        <w:tabs>
          <w:tab w:leader="none" w:pos="645" w:val="left"/>
        </w:tabs>
        <w:numPr>
          <w:ilvl w:val="1"/>
          <w:numId w:val="283"/>
        </w:numPr>
        <w:rPr>
          <w:rFonts w:ascii="Arial" w:cs="Arial" w:eastAsia="Arial" w:hAnsi="Arial"/>
          <w:sz w:val="15"/>
          <w:szCs w:val="15"/>
          <w:color w:val="auto"/>
        </w:rPr>
      </w:pPr>
      <w:r>
        <w:rPr>
          <w:rFonts w:ascii="Arial" w:cs="Arial" w:eastAsia="Arial" w:hAnsi="Arial"/>
          <w:sz w:val="15"/>
          <w:szCs w:val="15"/>
          <w:color w:val="auto"/>
        </w:rPr>
        <w:t>The obligations of each Seller to sell its Firm Purchased Equity Interests to the Company at the Initial Closing shall be conditioned upon each of (i) the public filing with the Securities and Exchange Commission (“</w:t>
      </w:r>
      <w:r>
        <w:rPr>
          <w:rFonts w:ascii="Arial" w:cs="Arial" w:eastAsia="Arial" w:hAnsi="Arial"/>
          <w:sz w:val="15"/>
          <w:szCs w:val="15"/>
          <w:u w:val="single" w:color="auto"/>
          <w:color w:val="auto"/>
        </w:rPr>
        <w:t>SEC</w:t>
      </w:r>
      <w:r>
        <w:rPr>
          <w:rFonts w:ascii="Arial" w:cs="Arial" w:eastAsia="Arial" w:hAnsi="Arial"/>
          <w:sz w:val="15"/>
          <w:szCs w:val="15"/>
          <w:color w:val="auto"/>
        </w:rPr>
        <w:t>”) of the Company’s Registration Statement on Form S-1 within four</w:t>
      </w:r>
    </w:p>
    <w:p>
      <w:pPr>
        <w:ind w:left="3" w:hanging="3"/>
        <w:spacing w:after="0" w:line="251" w:lineRule="auto"/>
        <w:tabs>
          <w:tab w:leader="none" w:pos="242"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business days after the date of this Agreement, (ii) the consummation of the Offering immediately prior to the transactions contemplated by this Agreement pursuant to the Underwriting Agreement no later than ten (10) business days from the date of this Agreement and (iii) each of the representations and warranties made by the Company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being true and correct (disregarding all qualifications or limitations as to “materially”, “Material Adverse Effect”</w:t>
      </w:r>
    </w:p>
    <w:p>
      <w:pPr>
        <w:spacing w:after="0" w:line="120"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323"/>
          </w:cols>
          <w:pgMar w:left="777" w:top="266" w:right="799" w:bottom="1440" w:gutter="0" w:footer="0" w:header="0"/>
        </w:sectPr>
      </w:pPr>
    </w:p>
    <w:bookmarkStart w:id="335" w:name="page336"/>
    <w:bookmarkEnd w:id="335"/>
    <w:p>
      <w:pPr>
        <w:ind w:left="3" w:right="22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4">
                      <a:extLst>
                        <a:ext uri="{28A0092B-C50C-407E-A947-70E740481C1C}"/>
                      </a:extLst>
                    </a:blip>
                    <a:srcRect/>
                    <a:stretch>
                      <a:fillRect/>
                    </a:stretch>
                  </pic:blipFill>
                  <pic:spPr bwMode="auto">
                    <a:xfrm>
                      <a:off x="0" y="0"/>
                      <a:ext cx="7182485" cy="36195"/>
                    </a:xfrm>
                    <a:prstGeom prst="rect">
                      <a:avLst/>
                    </a:prstGeom>
                    <a:noFill/>
                  </pic:spPr>
                </pic:pic>
              </a:graphicData>
            </a:graphic>
          </wp:anchor>
        </w:drawing>
        <w:t>and words of similar import set forth therein) as of the date of the Initial Closing (the “</w:t>
      </w:r>
      <w:r>
        <w:rPr>
          <w:rFonts w:ascii="Arial" w:cs="Arial" w:eastAsia="Arial" w:hAnsi="Arial"/>
          <w:sz w:val="17"/>
          <w:szCs w:val="17"/>
          <w:u w:val="single" w:color="auto"/>
          <w:color w:val="auto"/>
        </w:rPr>
        <w:t>Initial Closing Date”), except where the failure of such</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representations and warranties to be so true and correct would not, individually or in the aggregate, reasonably be expected to have a material adverse effect on the ability of the Company to consummate the transactions contemplated by this Agreement.</w:t>
      </w:r>
    </w:p>
    <w:p>
      <w:pPr>
        <w:spacing w:after="0" w:line="175" w:lineRule="exact"/>
        <w:rPr>
          <w:sz w:val="20"/>
          <w:szCs w:val="20"/>
          <w:color w:val="auto"/>
        </w:rPr>
      </w:pPr>
    </w:p>
    <w:p>
      <w:pPr>
        <w:ind w:left="623" w:hanging="210"/>
        <w:spacing w:after="0"/>
        <w:tabs>
          <w:tab w:leader="none" w:pos="623" w:val="left"/>
        </w:tabs>
        <w:numPr>
          <w:ilvl w:val="1"/>
          <w:numId w:val="285"/>
        </w:numPr>
        <w:rPr>
          <w:rFonts w:ascii="Arial" w:cs="Arial" w:eastAsia="Arial" w:hAnsi="Arial"/>
          <w:sz w:val="15"/>
          <w:szCs w:val="15"/>
          <w:color w:val="auto"/>
        </w:rPr>
      </w:pPr>
      <w:r>
        <w:rPr>
          <w:rFonts w:ascii="Arial" w:cs="Arial" w:eastAsia="Arial" w:hAnsi="Arial"/>
          <w:sz w:val="15"/>
          <w:szCs w:val="15"/>
          <w:color w:val="auto"/>
        </w:rPr>
        <w:t>The obligations of the Company to purchase a Seller’s Firm Purchases Equity Interests at the Initial Closing shall be conditioned upon each of</w:t>
      </w:r>
    </w:p>
    <w:p>
      <w:pPr>
        <w:spacing w:after="0" w:line="41" w:lineRule="exact"/>
        <w:rPr>
          <w:rFonts w:ascii="Arial" w:cs="Arial" w:eastAsia="Arial" w:hAnsi="Arial"/>
          <w:sz w:val="15"/>
          <w:szCs w:val="15"/>
          <w:color w:val="auto"/>
        </w:rPr>
      </w:pPr>
    </w:p>
    <w:p>
      <w:pPr>
        <w:ind w:left="203" w:hanging="203"/>
        <w:spacing w:after="0"/>
        <w:tabs>
          <w:tab w:leader="none" w:pos="203" w:val="left"/>
        </w:tabs>
        <w:numPr>
          <w:ilvl w:val="0"/>
          <w:numId w:val="286"/>
        </w:numPr>
        <w:rPr>
          <w:rFonts w:ascii="Arial" w:cs="Arial" w:eastAsia="Arial" w:hAnsi="Arial"/>
          <w:sz w:val="15"/>
          <w:szCs w:val="15"/>
          <w:color w:val="auto"/>
        </w:rPr>
      </w:pPr>
      <w:r>
        <w:rPr>
          <w:rFonts w:ascii="Arial" w:cs="Arial" w:eastAsia="Arial" w:hAnsi="Arial"/>
          <w:sz w:val="15"/>
          <w:szCs w:val="15"/>
          <w:color w:val="auto"/>
        </w:rPr>
        <w:t>the public filing with the SEC of the Company’s Registration Statement on Form S-1 within four (4) business days after the date of this Agreement,</w:t>
      </w:r>
    </w:p>
    <w:p>
      <w:pPr>
        <w:spacing w:after="0" w:line="30" w:lineRule="exact"/>
        <w:rPr>
          <w:rFonts w:ascii="Arial" w:cs="Arial" w:eastAsia="Arial" w:hAnsi="Arial"/>
          <w:sz w:val="15"/>
          <w:szCs w:val="15"/>
          <w:color w:val="auto"/>
        </w:rPr>
      </w:pPr>
    </w:p>
    <w:p>
      <w:pPr>
        <w:ind w:left="3" w:hanging="3"/>
        <w:spacing w:after="0" w:line="250" w:lineRule="auto"/>
        <w:tabs>
          <w:tab w:leader="none" w:pos="251"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the consummation of the Offering immediately prior to the transactions contemplated by this Agreement pursuant to the Underwriting Agreement no later than ten (10) business days from the date of this Agreement and (iii) each of the representations and warranties made by such Seller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being true and correct (disregarding all qualifications or limitations as to “materially”, “Material Adverse Effect” and words of similar import set forth therein) as of the Initial Closing Date, except where the failure of such representations and warranties to be so true and correct would not, individually or in the aggregate, reasonably be expected to have a material adverse effect on the ability of such Seller to consummate the transactions contemplated by this Agreement.</w:t>
      </w:r>
    </w:p>
    <w:p>
      <w:pPr>
        <w:spacing w:after="0" w:line="184" w:lineRule="exact"/>
        <w:rPr>
          <w:rFonts w:ascii="Arial" w:cs="Arial" w:eastAsia="Arial" w:hAnsi="Arial"/>
          <w:sz w:val="17"/>
          <w:szCs w:val="17"/>
          <w:color w:val="auto"/>
        </w:rPr>
      </w:pPr>
    </w:p>
    <w:p>
      <w:pPr>
        <w:ind w:left="3" w:firstLine="410"/>
        <w:spacing w:after="0" w:line="253" w:lineRule="auto"/>
        <w:tabs>
          <w:tab w:leader="none" w:pos="655" w:val="left"/>
        </w:tabs>
        <w:numPr>
          <w:ilvl w:val="1"/>
          <w:numId w:val="286"/>
        </w:numPr>
        <w:rPr>
          <w:rFonts w:ascii="Arial" w:cs="Arial" w:eastAsia="Arial" w:hAnsi="Arial"/>
          <w:sz w:val="17"/>
          <w:szCs w:val="17"/>
          <w:color w:val="auto"/>
        </w:rPr>
      </w:pPr>
      <w:r>
        <w:rPr>
          <w:rFonts w:ascii="Arial" w:cs="Arial" w:eastAsia="Arial" w:hAnsi="Arial"/>
          <w:sz w:val="17"/>
          <w:szCs w:val="17"/>
          <w:color w:val="auto"/>
        </w:rPr>
        <w:t xml:space="preserve">The obligations of each Seller to sell its Option Purchased Equity Interests to the Company at an Option Closing (if other than at the Initial Closing) shall be conditioned upon each of the representations and warranties made by the Company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being true and correct (disregarding all qualifications or limitations as to “materially”, “Material Adverse Effect” and words of similar import set forth therein) as of the date of such Option Closing (the “</w:t>
      </w:r>
      <w:r>
        <w:rPr>
          <w:rFonts w:ascii="Arial" w:cs="Arial" w:eastAsia="Arial" w:hAnsi="Arial"/>
          <w:sz w:val="17"/>
          <w:szCs w:val="17"/>
          <w:u w:val="single" w:color="auto"/>
          <w:color w:val="auto"/>
        </w:rPr>
        <w:t>Option Closing Date</w:t>
      </w:r>
      <w:r>
        <w:rPr>
          <w:rFonts w:ascii="Arial" w:cs="Arial" w:eastAsia="Arial" w:hAnsi="Arial"/>
          <w:sz w:val="17"/>
          <w:szCs w:val="17"/>
          <w:color w:val="auto"/>
        </w:rPr>
        <w:t>”), except where the failure of such representations and warranties to be so true and correct would not, individually or in the aggregate, reasonably be expected to have a material adverse effect on the ability of the Company to consummate the transactions contemplated by this Agreement.</w:t>
      </w:r>
    </w:p>
    <w:p>
      <w:pPr>
        <w:spacing w:after="0" w:line="181" w:lineRule="exact"/>
        <w:rPr>
          <w:rFonts w:ascii="Arial" w:cs="Arial" w:eastAsia="Arial" w:hAnsi="Arial"/>
          <w:sz w:val="17"/>
          <w:szCs w:val="17"/>
          <w:color w:val="auto"/>
        </w:rPr>
      </w:pPr>
    </w:p>
    <w:p>
      <w:pPr>
        <w:ind w:left="3" w:right="160" w:firstLine="410"/>
        <w:spacing w:after="0" w:line="296" w:lineRule="auto"/>
        <w:tabs>
          <w:tab w:leader="none" w:pos="655" w:val="left"/>
        </w:tabs>
        <w:numPr>
          <w:ilvl w:val="1"/>
          <w:numId w:val="286"/>
        </w:numPr>
        <w:rPr>
          <w:rFonts w:ascii="Arial" w:cs="Arial" w:eastAsia="Arial" w:hAnsi="Arial"/>
          <w:sz w:val="15"/>
          <w:szCs w:val="15"/>
          <w:color w:val="auto"/>
        </w:rPr>
      </w:pPr>
      <w:r>
        <w:rPr>
          <w:rFonts w:ascii="Arial" w:cs="Arial" w:eastAsia="Arial" w:hAnsi="Arial"/>
          <w:sz w:val="15"/>
          <w:szCs w:val="15"/>
          <w:color w:val="auto"/>
        </w:rPr>
        <w:t xml:space="preserve">The obligations of the Company to purchase a Seller’s Option Purchased Equity Interests at an Option Closing (if other than at the Initial Closing) shall be conditioned upon each of the representations and warranties made by such Seller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being true and correct (disregarding all qualifications or limitations as to “materially”, “Material Adverse Effect” and words of similar import set forth therein) as of the date of such Option Closing Date, except where the failure of such representations and warranties to be so true and correct would not, individually or in the aggregate, reasonably be expected to have a material adverse effect on the ability of such Seller to consummate the transactions contemplated by this Agreement.</w:t>
      </w:r>
    </w:p>
    <w:p>
      <w:pPr>
        <w:spacing w:after="0" w:line="152" w:lineRule="exact"/>
        <w:rPr>
          <w:rFonts w:ascii="Arial" w:cs="Arial" w:eastAsia="Arial" w:hAnsi="Arial"/>
          <w:sz w:val="15"/>
          <w:szCs w:val="15"/>
          <w:color w:val="auto"/>
        </w:rPr>
      </w:pPr>
    </w:p>
    <w:p>
      <w:pPr>
        <w:ind w:left="3" w:firstLine="410"/>
        <w:spacing w:after="0" w:line="253" w:lineRule="auto"/>
        <w:tabs>
          <w:tab w:leader="none" w:pos="617" w:val="left"/>
        </w:tabs>
        <w:numPr>
          <w:ilvl w:val="1"/>
          <w:numId w:val="286"/>
        </w:numPr>
        <w:rPr>
          <w:rFonts w:ascii="Arial" w:cs="Arial" w:eastAsia="Arial" w:hAnsi="Arial"/>
          <w:sz w:val="17"/>
          <w:szCs w:val="17"/>
          <w:color w:val="auto"/>
        </w:rPr>
      </w:pPr>
      <w:r>
        <w:rPr>
          <w:rFonts w:ascii="Arial" w:cs="Arial" w:eastAsia="Arial" w:hAnsi="Arial"/>
          <w:sz w:val="17"/>
          <w:szCs w:val="17"/>
          <w:color w:val="auto"/>
        </w:rPr>
        <w:t xml:space="preserve">The closing of the transactions contemplated by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Initial Closing</w:t>
      </w:r>
      <w:r>
        <w:rPr>
          <w:rFonts w:ascii="Arial" w:cs="Arial" w:eastAsia="Arial" w:hAnsi="Arial"/>
          <w:sz w:val="17"/>
          <w:szCs w:val="17"/>
          <w:color w:val="auto"/>
        </w:rPr>
        <w:t xml:space="preserve">”) shall occur immediately after the closing of the Offering, or at such other time or place after the Offering as may be agreed upon by the Company and the Sellers. At the Initial Closing, the Sellers shall deliver to the Company customary duly executed stock powers or other transfer instruments relating to the applicable Initial Purchased Equity Interests, and the Company agrees to deliver to the Sellers an aggregate dollar amount equal to the product of the Per Equity Interest Purchase Price and the total number of applicable Initial Purchased Equity Interests by wire transfer of immediately available funds pursuant to the wire transfer instructions set forth opposite such Seller’s name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w:t>
      </w:r>
    </w:p>
    <w:p>
      <w:pPr>
        <w:spacing w:after="0" w:line="119" w:lineRule="exact"/>
        <w:rPr>
          <w:sz w:val="20"/>
          <w:szCs w:val="20"/>
          <w:color w:val="auto"/>
        </w:rPr>
      </w:pPr>
    </w:p>
    <w:p>
      <w:pPr>
        <w:jc w:val="center"/>
        <w:ind w:right="-2"/>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323"/>
          </w:cols>
          <w:pgMar w:left="777" w:top="266" w:right="799" w:bottom="1440" w:gutter="0" w:footer="0" w:header="0"/>
        </w:sectPr>
      </w:pPr>
    </w:p>
    <w:bookmarkStart w:id="336" w:name="page337"/>
    <w:bookmarkEnd w:id="336"/>
    <w:p>
      <w:pPr>
        <w:ind w:left="3" w:firstLine="410"/>
        <w:spacing w:after="0" w:line="270" w:lineRule="auto"/>
        <w:tabs>
          <w:tab w:leader="none" w:pos="617" w:val="left"/>
        </w:tabs>
        <w:numPr>
          <w:ilvl w:val="1"/>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5">
                      <a:extLst>
                        <a:ext uri="{28A0092B-C50C-407E-A947-70E740481C1C}"/>
                      </a:extLst>
                    </a:blip>
                    <a:srcRect/>
                    <a:stretch>
                      <a:fillRect/>
                    </a:stretch>
                  </pic:blipFill>
                  <pic:spPr bwMode="auto">
                    <a:xfrm>
                      <a:off x="0" y="0"/>
                      <a:ext cx="7182485" cy="36195"/>
                    </a:xfrm>
                    <a:prstGeom prst="rect">
                      <a:avLst/>
                    </a:prstGeom>
                    <a:noFill/>
                  </pic:spPr>
                </pic:pic>
              </a:graphicData>
            </a:graphic>
          </wp:anchor>
        </w:drawing>
        <w:t xml:space="preserve">The closing of any transactions contemplated by </w:t>
      </w:r>
      <w:r>
        <w:rPr>
          <w:rFonts w:ascii="Arial" w:cs="Arial" w:eastAsia="Arial" w:hAnsi="Arial"/>
          <w:sz w:val="16"/>
          <w:szCs w:val="16"/>
          <w:u w:val="single" w:color="auto"/>
          <w:color w:val="auto"/>
        </w:rPr>
        <w:t>Section 1(c)</w:t>
      </w:r>
      <w:r>
        <w:rPr>
          <w:rFonts w:ascii="Arial" w:cs="Arial" w:eastAsia="Arial" w:hAnsi="Arial"/>
          <w:sz w:val="16"/>
          <w:szCs w:val="16"/>
          <w:color w:val="auto"/>
        </w:rPr>
        <w:t>, which for the avoidance of doubt may be at the same time as the Initial Closing (a “</w:t>
      </w:r>
      <w:r>
        <w:rPr>
          <w:rFonts w:ascii="Arial" w:cs="Arial" w:eastAsia="Arial" w:hAnsi="Arial"/>
          <w:sz w:val="16"/>
          <w:szCs w:val="16"/>
          <w:u w:val="single" w:color="auto"/>
          <w:color w:val="auto"/>
        </w:rPr>
        <w:t>Option Closing</w:t>
      </w:r>
      <w:r>
        <w:rPr>
          <w:rFonts w:ascii="Arial" w:cs="Arial" w:eastAsia="Arial" w:hAnsi="Arial"/>
          <w:sz w:val="16"/>
          <w:szCs w:val="16"/>
          <w:color w:val="auto"/>
        </w:rPr>
        <w:t xml:space="preserve">”) shall occur as promptly as practicable following the Company’s receipt of proceeds from the Underwriters pursuant to such Over-Allotment Option, or at such other time or place as may be agreed upon by the Company and the Sellers. At such Option Closing, the Sellers shall deliver to the Company customary duly executed stock powers or other transfer instruments relating to the applicable Option Purchased Equity Interests, and the Company agrees to deliver to the Sellers an aggregate dollar amount equal to the product of the Per Equity Interest Purchase Price and the total number of applicable Option Purchased Equity Interests by wire transfer of immediately available funds pursuant to the wire transfer instructions set forth opposite such Seller’s name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172" w:lineRule="exact"/>
        <w:rPr>
          <w:rFonts w:ascii="Arial" w:cs="Arial" w:eastAsia="Arial" w:hAnsi="Arial"/>
          <w:sz w:val="16"/>
          <w:szCs w:val="16"/>
          <w:color w:val="auto"/>
        </w:rPr>
      </w:pPr>
    </w:p>
    <w:p>
      <w:pPr>
        <w:ind w:left="3" w:firstLine="410"/>
        <w:spacing w:after="0" w:line="252" w:lineRule="auto"/>
        <w:tabs>
          <w:tab w:leader="none" w:pos="655" w:val="left"/>
        </w:tabs>
        <w:numPr>
          <w:ilvl w:val="1"/>
          <w:numId w:val="287"/>
        </w:numPr>
        <w:rPr>
          <w:rFonts w:ascii="Arial" w:cs="Arial" w:eastAsia="Arial" w:hAnsi="Arial"/>
          <w:sz w:val="17"/>
          <w:szCs w:val="17"/>
          <w:color w:val="auto"/>
        </w:rPr>
      </w:pPr>
      <w:r>
        <w:rPr>
          <w:rFonts w:ascii="Arial" w:cs="Arial" w:eastAsia="Arial" w:hAnsi="Arial"/>
          <w:sz w:val="17"/>
          <w:szCs w:val="17"/>
          <w:color w:val="auto"/>
        </w:rPr>
        <w:t>Notwithstanding any other provision in this Agreement, the Company and its agents and affiliates shall have the right to deduct and withhold taxes from any payments to be made to any Seller pursuant to this Agreement if, in their opinion, such withholding is required by law, and shall be provided with any necessary tax forms, including Form W-9 or the appropriate series of Form W-8, as applicable, and any similar information. To the extent that any of the aforementioned amounts are so withheld, such withheld amounts shall be treated for all purposes of this Agreement as having been delivered and paid to the recipient of the payments in respect of which such deduction and withholding was made. To the extent that any payment pursuant to this Agreement is not reduced by any such required deduction or withholding, the Company may deduct and withhold with respect to any future payment to such person to cover such amounts. The Company and Sellers agree to cooperate in good faith to reduce or eliminate any applicable withholding tax.</w:t>
      </w:r>
    </w:p>
    <w:p>
      <w:pPr>
        <w:spacing w:after="0" w:line="181" w:lineRule="exact"/>
        <w:rPr>
          <w:rFonts w:ascii="Arial" w:cs="Arial" w:eastAsia="Arial" w:hAnsi="Arial"/>
          <w:sz w:val="17"/>
          <w:szCs w:val="17"/>
          <w:color w:val="auto"/>
        </w:rPr>
      </w:pPr>
    </w:p>
    <w:p>
      <w:pPr>
        <w:ind w:left="3" w:right="320" w:hanging="3"/>
        <w:spacing w:after="0" w:line="272" w:lineRule="auto"/>
        <w:tabs>
          <w:tab w:leader="none" w:pos="172"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Company Representations</w:t>
      </w:r>
      <w:r>
        <w:rPr>
          <w:rFonts w:ascii="Arial" w:cs="Arial" w:eastAsia="Arial" w:hAnsi="Arial"/>
          <w:sz w:val="17"/>
          <w:szCs w:val="17"/>
          <w:color w:val="auto"/>
        </w:rPr>
        <w:t>. In connection with the transactions contemplated hereby, the Company represents and warrants to the Sellers as of the Initial Closing Date and each Option Closing Date, as the case may be, that:</w:t>
      </w:r>
    </w:p>
    <w:p>
      <w:pPr>
        <w:spacing w:after="0" w:line="63" w:lineRule="exact"/>
        <w:rPr>
          <w:rFonts w:ascii="Arial" w:cs="Arial" w:eastAsia="Arial" w:hAnsi="Arial"/>
          <w:sz w:val="17"/>
          <w:szCs w:val="17"/>
          <w:color w:val="auto"/>
        </w:rPr>
      </w:pPr>
    </w:p>
    <w:p>
      <w:pPr>
        <w:jc w:val="both"/>
        <w:ind w:left="3" w:right="180" w:firstLine="410"/>
        <w:spacing w:after="0" w:line="256" w:lineRule="auto"/>
        <w:tabs>
          <w:tab w:leader="none" w:pos="645"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All consents, approvals, authorizations and orders necessary for the execution, delivery and performance by the Company of this Agreement and for the purchase and receipt of the applicable Purchased Equity Interests to be purchased by the Company hereunder, have been obtained; and the Company has full right, power and authority to enter into this Agreement and to purchase and receive the applicable Purchased Equity Interests to be purchased by the Company hereunder.</w:t>
      </w:r>
    </w:p>
    <w:p>
      <w:pPr>
        <w:spacing w:after="0" w:line="179" w:lineRule="exact"/>
        <w:rPr>
          <w:rFonts w:ascii="Arial" w:cs="Arial" w:eastAsia="Arial" w:hAnsi="Arial"/>
          <w:sz w:val="17"/>
          <w:szCs w:val="17"/>
          <w:color w:val="auto"/>
        </w:rPr>
      </w:pPr>
    </w:p>
    <w:p>
      <w:pPr>
        <w:ind w:left="643" w:hanging="230"/>
        <w:spacing w:after="0"/>
        <w:tabs>
          <w:tab w:leader="none" w:pos="643"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Company is a corporation duly organized and existing under the laws of the State of Delaware.</w:t>
      </w:r>
    </w:p>
    <w:p>
      <w:pPr>
        <w:spacing w:after="0" w:line="209" w:lineRule="exact"/>
        <w:rPr>
          <w:rFonts w:ascii="Arial" w:cs="Arial" w:eastAsia="Arial" w:hAnsi="Arial"/>
          <w:sz w:val="17"/>
          <w:szCs w:val="17"/>
          <w:color w:val="auto"/>
        </w:rPr>
      </w:pPr>
    </w:p>
    <w:p>
      <w:pPr>
        <w:ind w:left="643" w:hanging="230"/>
        <w:spacing w:after="0"/>
        <w:tabs>
          <w:tab w:leader="none" w:pos="643"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w:t>
      </w:r>
    </w:p>
    <w:p>
      <w:pPr>
        <w:spacing w:after="0" w:line="209" w:lineRule="exact"/>
        <w:rPr>
          <w:rFonts w:ascii="Arial" w:cs="Arial" w:eastAsia="Arial" w:hAnsi="Arial"/>
          <w:sz w:val="17"/>
          <w:szCs w:val="17"/>
          <w:color w:val="auto"/>
        </w:rPr>
      </w:pPr>
    </w:p>
    <w:p>
      <w:pPr>
        <w:ind w:left="3" w:right="80" w:firstLine="410"/>
        <w:spacing w:after="0" w:line="301" w:lineRule="auto"/>
        <w:tabs>
          <w:tab w:leader="none" w:pos="655" w:val="left"/>
        </w:tabs>
        <w:numPr>
          <w:ilvl w:val="1"/>
          <w:numId w:val="288"/>
        </w:numPr>
        <w:rPr>
          <w:rFonts w:ascii="Arial" w:cs="Arial" w:eastAsia="Arial" w:hAnsi="Arial"/>
          <w:sz w:val="15"/>
          <w:szCs w:val="15"/>
          <w:color w:val="auto"/>
        </w:rPr>
      </w:pPr>
      <w:r>
        <w:rPr>
          <w:rFonts w:ascii="Arial" w:cs="Arial" w:eastAsia="Arial" w:hAnsi="Arial"/>
          <w:sz w:val="15"/>
          <w:szCs w:val="15"/>
          <w:color w:val="auto"/>
        </w:rPr>
        <w:t>The compliance by the Company with this Agreement and the consummation of the transactions herein contemplated will not (i) conflict with or result in a breach or violation of any of the material terms or provisions of, or constitute a default under any material indenture, material mortgage, material deed of trust, material loan agreement or other material agreement or instrument to which the Company or any of its subsidiaries is a party or by which the Company or any of its subsidiaries is bound or to which any of the property or assets of the Company or any of</w:t>
      </w:r>
    </w:p>
    <w:p>
      <w:pPr>
        <w:spacing w:after="0" w:line="84"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323"/>
          </w:cols>
          <w:pgMar w:left="777" w:top="266" w:right="799" w:bottom="1440" w:gutter="0" w:footer="0" w:header="0"/>
        </w:sectPr>
      </w:pPr>
    </w:p>
    <w:bookmarkStart w:id="337" w:name="page338"/>
    <w:bookmarkEnd w:id="337"/>
    <w:p>
      <w:pPr>
        <w:ind w:left="3"/>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1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6">
                      <a:extLst>
                        <a:ext uri="{28A0092B-C50C-407E-A947-70E740481C1C}"/>
                      </a:extLst>
                    </a:blip>
                    <a:srcRect/>
                    <a:stretch>
                      <a:fillRect/>
                    </a:stretch>
                  </pic:blipFill>
                  <pic:spPr bwMode="auto">
                    <a:xfrm>
                      <a:off x="0" y="0"/>
                      <a:ext cx="7182485" cy="36195"/>
                    </a:xfrm>
                    <a:prstGeom prst="rect">
                      <a:avLst/>
                    </a:prstGeom>
                    <a:noFill/>
                  </pic:spPr>
                </pic:pic>
              </a:graphicData>
            </a:graphic>
          </wp:anchor>
        </w:drawing>
        <w:t>its subsidiaries is subject, (ii) violate any provision of the certificate of incorporation or by-laws, or other organizational documents, as applicable, of the Company or its subsidiaries or (iii) violate any applicable statute or any order, rule or regulation of any court or governmental agency or body having jurisdiction over the Company or any of its subsidiaries or any of their properties; except, in the case of clauses (i), (ii) and (iii), as would not reasonably be expected to have a material adverse effect on the business, management, financial position or results of operations of the Company and its subsidiaries, taken as a whole or the ability of the Company to consummate the transactions contemplated by this Agreement.</w:t>
      </w:r>
    </w:p>
    <w:p>
      <w:pPr>
        <w:spacing w:after="0" w:line="152" w:lineRule="exact"/>
        <w:rPr>
          <w:sz w:val="20"/>
          <w:szCs w:val="20"/>
          <w:color w:val="auto"/>
        </w:rPr>
      </w:pPr>
    </w:p>
    <w:p>
      <w:pPr>
        <w:ind w:left="3" w:right="580" w:hanging="3"/>
        <w:spacing w:after="0" w:line="303" w:lineRule="auto"/>
        <w:tabs>
          <w:tab w:leader="none" w:pos="172"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Sellers Representations</w:t>
      </w:r>
      <w:r>
        <w:rPr>
          <w:rFonts w:ascii="Arial" w:cs="Arial" w:eastAsia="Arial" w:hAnsi="Arial"/>
          <w:sz w:val="16"/>
          <w:szCs w:val="16"/>
          <w:color w:val="auto"/>
        </w:rPr>
        <w:t>. In connection with the transactions contemplated hereby, each of the Sellers, severally and not jointly, represents and warrants to the Company as of the Initial Closing Date and each Option Closing Date, as the case may be, that:</w:t>
      </w:r>
    </w:p>
    <w:p>
      <w:pPr>
        <w:spacing w:after="0" w:line="41" w:lineRule="exact"/>
        <w:rPr>
          <w:rFonts w:ascii="Arial" w:cs="Arial" w:eastAsia="Arial" w:hAnsi="Arial"/>
          <w:sz w:val="16"/>
          <w:szCs w:val="16"/>
          <w:color w:val="auto"/>
        </w:rPr>
      </w:pPr>
    </w:p>
    <w:p>
      <w:pPr>
        <w:ind w:left="3" w:right="120" w:firstLine="410"/>
        <w:spacing w:after="0" w:line="256" w:lineRule="auto"/>
        <w:tabs>
          <w:tab w:leader="none" w:pos="645"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All consents, approvals, authorizations and orders necessary for the execution and delivery by such Seller of this Agreement and for the sale and delivery of the applicable Purchased Equity Interests to be sold by such Seller hereunder, have been obtained; and such Seller has full right, power and authority to enter into this Agreement and to sell, assign, transfer and deliver the applicable Purchased Equity Interests to be sold by such Seller hereunder.</w:t>
      </w:r>
    </w:p>
    <w:p>
      <w:pPr>
        <w:spacing w:after="0" w:line="179" w:lineRule="exact"/>
        <w:rPr>
          <w:rFonts w:ascii="Arial" w:cs="Arial" w:eastAsia="Arial" w:hAnsi="Arial"/>
          <w:sz w:val="17"/>
          <w:szCs w:val="17"/>
          <w:color w:val="auto"/>
        </w:rPr>
      </w:pPr>
    </w:p>
    <w:p>
      <w:pPr>
        <w:ind w:left="643" w:hanging="230"/>
        <w:spacing w:after="0"/>
        <w:tabs>
          <w:tab w:leader="none" w:pos="643" w:val="left"/>
        </w:tabs>
        <w:numPr>
          <w:ilvl w:val="1"/>
          <w:numId w:val="289"/>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such Seller.</w:t>
      </w:r>
    </w:p>
    <w:p>
      <w:pPr>
        <w:spacing w:after="0" w:line="209" w:lineRule="exact"/>
        <w:rPr>
          <w:rFonts w:ascii="Arial" w:cs="Arial" w:eastAsia="Arial" w:hAnsi="Arial"/>
          <w:sz w:val="17"/>
          <w:szCs w:val="17"/>
          <w:color w:val="auto"/>
        </w:rPr>
      </w:pPr>
    </w:p>
    <w:p>
      <w:pPr>
        <w:ind w:left="3" w:right="20" w:firstLine="410"/>
        <w:spacing w:after="0" w:line="269" w:lineRule="auto"/>
        <w:tabs>
          <w:tab w:leader="none" w:pos="645"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sale of the applicable Purchased Equity Interests to be sold by such Seller hereunder and the compliance by such Seller with all of the provisions of this Agreement and the consummation of the transactions contemplated herein will not (i) conflict with or result in a breach or violation of any of the terms or provisions of, or constitute a default under, any statute, indenture, material mortgage, material deed of trust, material loan agreement or other material agreement or instrument to which such Seller is a party or by which such Seller is bound or to which any of the property or assets of such Seller is subject, (ii) violate any provision of organizational documents of such Seller, if applicable or (iii) violate any applicable statute or any order, rule or regulation of any court or governmental agency or body having jurisdiction over such Seller or any of its properties; except, in the case of clauses (i), (ii) and (iii), as would not reasonably be expected to have a material adverse effect the ability of such Seller to consummate the transactions contemplated by this Agreement.</w:t>
      </w:r>
    </w:p>
    <w:p>
      <w:pPr>
        <w:spacing w:after="0" w:line="173" w:lineRule="exact"/>
        <w:rPr>
          <w:rFonts w:ascii="Arial" w:cs="Arial" w:eastAsia="Arial" w:hAnsi="Arial"/>
          <w:sz w:val="16"/>
          <w:szCs w:val="16"/>
          <w:color w:val="auto"/>
        </w:rPr>
      </w:pPr>
    </w:p>
    <w:p>
      <w:pPr>
        <w:ind w:left="3" w:right="40" w:firstLine="410"/>
        <w:spacing w:after="0" w:line="256" w:lineRule="auto"/>
        <w:tabs>
          <w:tab w:leader="none" w:pos="655" w:val="left"/>
        </w:tabs>
        <w:numPr>
          <w:ilvl w:val="1"/>
          <w:numId w:val="289"/>
        </w:numPr>
        <w:rPr>
          <w:rFonts w:ascii="Arial" w:cs="Arial" w:eastAsia="Arial" w:hAnsi="Arial"/>
          <w:sz w:val="17"/>
          <w:szCs w:val="17"/>
          <w:color w:val="auto"/>
        </w:rPr>
      </w:pPr>
      <w:r>
        <w:rPr>
          <w:rFonts w:ascii="Arial" w:cs="Arial" w:eastAsia="Arial" w:hAnsi="Arial"/>
          <w:sz w:val="17"/>
          <w:szCs w:val="17"/>
          <w:color w:val="auto"/>
        </w:rPr>
        <w:t>Immediately prior to the delivery of the applicable Purchased Equity Interests to the Company at the Initial Closing or Option Closing, as applicable, such Seller holds and will hold valid title to the applicable Purchased Equity Interests, and holds and will hold such applicable Purchased Equity Interests free and clear of all liens, encumbrances, equities or claims, except for any encumbrances imposed under applicable securities laws, the organizational documents of the Company or Definitive OpCo.</w:t>
      </w:r>
    </w:p>
    <w:p>
      <w:pPr>
        <w:spacing w:after="0" w:line="179" w:lineRule="exact"/>
        <w:rPr>
          <w:rFonts w:ascii="Arial" w:cs="Arial" w:eastAsia="Arial" w:hAnsi="Arial"/>
          <w:sz w:val="17"/>
          <w:szCs w:val="17"/>
          <w:color w:val="auto"/>
        </w:rPr>
      </w:pPr>
    </w:p>
    <w:p>
      <w:pPr>
        <w:ind w:left="3" w:right="20" w:firstLine="410"/>
        <w:spacing w:after="0" w:line="277" w:lineRule="auto"/>
        <w:tabs>
          <w:tab w:leader="none" w:pos="645" w:val="left"/>
        </w:tabs>
        <w:numPr>
          <w:ilvl w:val="1"/>
          <w:numId w:val="289"/>
        </w:numPr>
        <w:rPr>
          <w:rFonts w:ascii="Arial" w:cs="Arial" w:eastAsia="Arial" w:hAnsi="Arial"/>
          <w:sz w:val="16"/>
          <w:szCs w:val="16"/>
          <w:color w:val="auto"/>
        </w:rPr>
      </w:pPr>
      <w:r>
        <w:rPr>
          <w:rFonts w:ascii="Arial" w:cs="Arial" w:eastAsia="Arial" w:hAnsi="Arial"/>
          <w:sz w:val="16"/>
          <w:szCs w:val="16"/>
          <w:color w:val="auto"/>
        </w:rPr>
        <w:t>Such Seller (either individually or each together with its advisors) has such knowledge and experience in financial or business matters that it is capable of evaluating the merits and risks of the transactions contemplated by this Agreement. Such Seller has had the opportunity to ask questions and receive answers concerning the terms and conditions of the transactions contemplated by this Agreement as such Seller has requested. Such Seller has received all information that it believes is necessary or appropriate in connection with the transactions</w:t>
      </w:r>
    </w:p>
    <w:p>
      <w:pPr>
        <w:spacing w:after="0" w:line="100"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303"/>
          </w:cols>
          <w:pgMar w:left="777" w:top="266" w:right="819" w:bottom="1440" w:gutter="0" w:footer="0" w:header="0"/>
        </w:sectPr>
      </w:pPr>
    </w:p>
    <w:bookmarkStart w:id="338" w:name="page339"/>
    <w:bookmarkEnd w:id="338"/>
    <w:p>
      <w:pPr>
        <w:ind w:left="3"/>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contemplated by this Agreement. Such Seller acknowledges that it has not relied upon any express or implied representations or warranties of any nature made by or on behalf of the Company, whether or not any such representations, warranties or statements were made in writing or orally, except as expressly set forth for the benefit of the Sellers in this Agreement.</w:t>
      </w:r>
    </w:p>
    <w:p>
      <w:pPr>
        <w:spacing w:after="0" w:line="175" w:lineRule="exact"/>
        <w:rPr>
          <w:sz w:val="20"/>
          <w:szCs w:val="20"/>
          <w:color w:val="auto"/>
        </w:rPr>
      </w:pPr>
    </w:p>
    <w:p>
      <w:pPr>
        <w:ind w:left="3" w:right="320" w:hanging="3"/>
        <w:spacing w:after="0" w:line="272" w:lineRule="auto"/>
        <w:tabs>
          <w:tab w:leader="none" w:pos="172"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shall automatically terminate and be of no further force and effect in the event that any of the conditions set forth in </w:t>
      </w:r>
      <w:r>
        <w:rPr>
          <w:rFonts w:ascii="Arial" w:cs="Arial" w:eastAsia="Arial" w:hAnsi="Arial"/>
          <w:sz w:val="17"/>
          <w:szCs w:val="17"/>
          <w:u w:val="single" w:color="auto"/>
          <w:color w:val="auto"/>
        </w:rPr>
        <w:t>Section 1(e)(i)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1(e)(ii)</w:t>
      </w:r>
      <w:r>
        <w:rPr>
          <w:rFonts w:ascii="Arial" w:cs="Arial" w:eastAsia="Arial" w:hAnsi="Arial"/>
          <w:sz w:val="17"/>
          <w:szCs w:val="17"/>
          <w:color w:val="auto"/>
        </w:rPr>
        <w:t xml:space="preserve"> of this Agreement is not satisfied.</w:t>
      </w:r>
    </w:p>
    <w:p>
      <w:pPr>
        <w:spacing w:after="0" w:line="164" w:lineRule="exact"/>
        <w:rPr>
          <w:rFonts w:ascii="Arial" w:cs="Arial" w:eastAsia="Arial" w:hAnsi="Arial"/>
          <w:sz w:val="17"/>
          <w:szCs w:val="17"/>
          <w:color w:val="auto"/>
        </w:rPr>
      </w:pPr>
    </w:p>
    <w:p>
      <w:pPr>
        <w:ind w:left="3" w:right="180" w:hanging="3"/>
        <w:spacing w:after="0" w:line="256" w:lineRule="auto"/>
        <w:tabs>
          <w:tab w:leader="none" w:pos="172"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or other communications to be given or delivered under or by reason of the provisions of this Agreement will be in writing and will be deemed to have been given when delivered personally, mailed by certified or registered mail, return receipt requested and postage prepaid, or sent via a nationally recognized overnight courier, or sent via facsimile or electronic mail to the recipient. Such notices, demands and other communications will be sent to the address indicated below:</w:t>
      </w:r>
    </w:p>
    <w:p>
      <w:pPr>
        <w:spacing w:after="0" w:line="179" w:lineRule="exact"/>
        <w:rPr>
          <w:sz w:val="20"/>
          <w:szCs w:val="20"/>
          <w:color w:val="auto"/>
        </w:rPr>
      </w:pPr>
    </w:p>
    <w:p>
      <w:pPr>
        <w:ind w:left="423"/>
        <w:spacing w:after="0"/>
        <w:rPr>
          <w:sz w:val="20"/>
          <w:szCs w:val="20"/>
          <w:color w:val="auto"/>
        </w:rPr>
      </w:pPr>
      <w:r>
        <w:rPr>
          <w:rFonts w:ascii="Arial" w:cs="Arial" w:eastAsia="Arial" w:hAnsi="Arial"/>
          <w:sz w:val="17"/>
          <w:szCs w:val="17"/>
          <w:color w:val="auto"/>
        </w:rPr>
        <w:t>To the Company:</w:t>
      </w:r>
    </w:p>
    <w:p>
      <w:pPr>
        <w:spacing w:after="0" w:line="108"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Definitive Healthcare Corp.</w:t>
      </w:r>
    </w:p>
    <w:p>
      <w:pPr>
        <w:spacing w:after="0" w:line="19"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550 Cochiuate Rd</w:t>
      </w:r>
    </w:p>
    <w:p>
      <w:pPr>
        <w:spacing w:after="0" w:line="7"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Framingham, MA 01701</w:t>
      </w:r>
    </w:p>
    <w:p>
      <w:pPr>
        <w:spacing w:after="0" w:line="7"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Attention: David M. Samuels</w:t>
      </w:r>
    </w:p>
    <w:p>
      <w:pPr>
        <w:spacing w:after="0" w:line="7"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E-mail: dsamuels@definitivehc.com</w:t>
      </w:r>
    </w:p>
    <w:p>
      <w:pPr>
        <w:spacing w:after="0" w:line="97"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with a copy, which shall not constitute notice, to:</w:t>
      </w:r>
    </w:p>
    <w:p>
      <w:pPr>
        <w:spacing w:after="0" w:line="108"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Weil, Gotshal &amp; Manges LLP</w:t>
      </w:r>
    </w:p>
    <w:p>
      <w:pPr>
        <w:spacing w:after="0" w:line="19"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767 Fifth Avenue</w:t>
      </w:r>
    </w:p>
    <w:p>
      <w:pPr>
        <w:spacing w:after="0" w:line="7"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New York, NY 10153</w:t>
      </w:r>
    </w:p>
    <w:p>
      <w:pPr>
        <w:spacing w:after="0" w:line="7"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Attention: Alexander D. Lynch, Barbra J. Broudy and Marilyn F. Shaw</w:t>
      </w:r>
    </w:p>
    <w:p>
      <w:pPr>
        <w:spacing w:after="0" w:line="7"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Email: alex.lynch@weil.com; barbra.broudy@weil.com;</w:t>
      </w:r>
    </w:p>
    <w:p>
      <w:pPr>
        <w:spacing w:after="0" w:line="7"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marilynfrench.shaw@weil.com</w:t>
      </w:r>
    </w:p>
    <w:p>
      <w:pPr>
        <w:spacing w:after="0" w:line="198" w:lineRule="exact"/>
        <w:rPr>
          <w:sz w:val="20"/>
          <w:szCs w:val="20"/>
          <w:color w:val="auto"/>
        </w:rPr>
      </w:pPr>
    </w:p>
    <w:p>
      <w:pPr>
        <w:ind w:left="423"/>
        <w:spacing w:after="0"/>
        <w:rPr>
          <w:sz w:val="20"/>
          <w:szCs w:val="20"/>
          <w:color w:val="auto"/>
        </w:rPr>
      </w:pPr>
      <w:r>
        <w:rPr>
          <w:rFonts w:ascii="Arial" w:cs="Arial" w:eastAsia="Arial" w:hAnsi="Arial"/>
          <w:sz w:val="17"/>
          <w:szCs w:val="17"/>
          <w:color w:val="auto"/>
        </w:rPr>
        <w:t xml:space="preserve">If to a Seller, to the address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opposite the name of such Seller.</w:t>
      </w:r>
    </w:p>
    <w:p>
      <w:pPr>
        <w:spacing w:after="0" w:line="210" w:lineRule="exact"/>
        <w:rPr>
          <w:sz w:val="20"/>
          <w:szCs w:val="20"/>
          <w:color w:val="auto"/>
        </w:rPr>
      </w:pPr>
    </w:p>
    <w:p>
      <w:pPr>
        <w:ind w:left="163" w:hanging="163"/>
        <w:spacing w:after="0"/>
        <w:tabs>
          <w:tab w:leader="none" w:pos="163"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 w:right="60" w:firstLine="410"/>
        <w:spacing w:after="0" w:line="303" w:lineRule="auto"/>
        <w:tabs>
          <w:tab w:leader="none" w:pos="645" w:val="left"/>
        </w:tabs>
        <w:numPr>
          <w:ilvl w:val="1"/>
          <w:numId w:val="291"/>
        </w:numPr>
        <w:rPr>
          <w:rFonts w:ascii="Arial" w:cs="Arial" w:eastAsia="Arial" w:hAnsi="Arial"/>
          <w:sz w:val="16"/>
          <w:szCs w:val="16"/>
          <w:color w:val="auto"/>
        </w:rPr>
      </w:pP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contained herein or made in writing by any party in connection herewith shall survive the execution and delivery of this Agreement and the consummation of the transactions contemplated hereby.</w:t>
      </w:r>
    </w:p>
    <w:p>
      <w:pPr>
        <w:spacing w:after="0" w:line="143" w:lineRule="exact"/>
        <w:rPr>
          <w:rFonts w:ascii="Arial" w:cs="Arial" w:eastAsia="Arial" w:hAnsi="Arial"/>
          <w:sz w:val="16"/>
          <w:szCs w:val="16"/>
          <w:color w:val="auto"/>
        </w:rPr>
      </w:pPr>
    </w:p>
    <w:p>
      <w:pPr>
        <w:ind w:left="643" w:hanging="230"/>
        <w:spacing w:after="0"/>
        <w:tabs>
          <w:tab w:leader="none" w:pos="643" w:val="left"/>
        </w:tabs>
        <w:numPr>
          <w:ilvl w:val="1"/>
          <w:numId w:val="29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shall be held invalid, illegal or unenforceable, the validity, legality or</w:t>
      </w:r>
    </w:p>
    <w:p>
      <w:pPr>
        <w:spacing w:after="0" w:line="18" w:lineRule="exact"/>
        <w:rPr>
          <w:rFonts w:ascii="Arial" w:cs="Arial" w:eastAsia="Arial" w:hAnsi="Arial"/>
          <w:sz w:val="17"/>
          <w:szCs w:val="17"/>
          <w:color w:val="auto"/>
        </w:rPr>
      </w:pPr>
    </w:p>
    <w:p>
      <w:pPr>
        <w:ind w:left="3" w:right="180"/>
        <w:spacing w:after="0" w:line="257" w:lineRule="auto"/>
        <w:rPr>
          <w:rFonts w:ascii="Arial" w:cs="Arial" w:eastAsia="Arial" w:hAnsi="Arial"/>
          <w:sz w:val="17"/>
          <w:szCs w:val="17"/>
          <w:color w:val="auto"/>
        </w:rPr>
      </w:pPr>
      <w:r>
        <w:rPr>
          <w:rFonts w:ascii="Arial" w:cs="Arial" w:eastAsia="Arial" w:hAnsi="Arial"/>
          <w:sz w:val="17"/>
          <w:szCs w:val="17"/>
          <w:color w:val="auto"/>
        </w:rPr>
        <w:t>enforceability of the other provisions of this Agreement shall not be affected thereby, and there shall be deemed substituted for the provision at issue a valid, legal and enforceable provision as similar as possible to the provision at issue.</w:t>
      </w:r>
    </w:p>
    <w:p>
      <w:pPr>
        <w:spacing w:after="0" w:line="114"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323"/>
          </w:cols>
          <w:pgMar w:left="777" w:top="266" w:right="799" w:bottom="1440" w:gutter="0" w:footer="0" w:header="0"/>
        </w:sectPr>
      </w:pPr>
    </w:p>
    <w:bookmarkStart w:id="339" w:name="page340"/>
    <w:bookmarkEnd w:id="339"/>
    <w:p>
      <w:pPr>
        <w:ind w:left="-20" w:right="180" w:firstLine="410"/>
        <w:spacing w:after="0" w:line="272" w:lineRule="auto"/>
        <w:tabs>
          <w:tab w:leader="none" w:pos="622"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No Prior Agreement. This Agreement supersedes all prior agreements and understandings (whether written or oral) among the parties hereto with respect to the subject matter hereof.</w:t>
      </w:r>
    </w:p>
    <w:p>
      <w:pPr>
        <w:spacing w:after="0" w:line="164" w:lineRule="exact"/>
        <w:rPr>
          <w:rFonts w:ascii="Arial" w:cs="Arial" w:eastAsia="Arial" w:hAnsi="Arial"/>
          <w:sz w:val="17"/>
          <w:szCs w:val="17"/>
          <w:color w:val="auto"/>
        </w:rPr>
      </w:pPr>
    </w:p>
    <w:p>
      <w:pPr>
        <w:ind w:left="-20" w:right="20" w:firstLine="410"/>
        <w:spacing w:after="0" w:line="253" w:lineRule="auto"/>
        <w:tabs>
          <w:tab w:leader="none" w:pos="632"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separate counterparts, each of which is deemed to be an original and all of which taken together constitute one and the same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1" w:lineRule="exact"/>
        <w:rPr>
          <w:rFonts w:ascii="Arial" w:cs="Arial" w:eastAsia="Arial" w:hAnsi="Arial"/>
          <w:sz w:val="17"/>
          <w:szCs w:val="17"/>
          <w:color w:val="auto"/>
        </w:rPr>
      </w:pPr>
    </w:p>
    <w:p>
      <w:pPr>
        <w:ind w:left="-20" w:right="40" w:firstLine="410"/>
        <w:spacing w:after="0" w:line="256" w:lineRule="auto"/>
        <w:tabs>
          <w:tab w:leader="none" w:pos="622"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Neither this Agreement nor any of the rights, interests or obligations hereunder shall be assigned, in whole or in part, by any of the parties without the prior written consent of the other parties. This Agreement shall be binding upon and inure solely to the benefit of the Sellers and the Company and their respective successors and permitted assigns, and no other person shall acquire or have any right under or by virtue of this Agreement.</w:t>
      </w:r>
    </w:p>
    <w:p>
      <w:pPr>
        <w:spacing w:after="0" w:line="179" w:lineRule="exact"/>
        <w:rPr>
          <w:rFonts w:ascii="Arial" w:cs="Arial" w:eastAsia="Arial" w:hAnsi="Arial"/>
          <w:sz w:val="17"/>
          <w:szCs w:val="17"/>
          <w:color w:val="auto"/>
        </w:rPr>
      </w:pPr>
    </w:p>
    <w:p>
      <w:pPr>
        <w:ind w:left="-20" w:firstLine="410"/>
        <w:spacing w:after="0" w:line="260" w:lineRule="auto"/>
        <w:tabs>
          <w:tab w:leader="none" w:pos="604"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No Third Party Beneficiaries or Other Rights</w:t>
      </w:r>
      <w:r>
        <w:rPr>
          <w:rFonts w:ascii="Arial" w:cs="Arial" w:eastAsia="Arial" w:hAnsi="Arial"/>
          <w:sz w:val="17"/>
          <w:szCs w:val="17"/>
          <w:color w:val="auto"/>
        </w:rPr>
        <w:t>. This Agreement is for the sole benefit of the parties hereto and their successors and permitted assigns and nothing herein express or implied shall give or shall be construed to confer any legal or equitable rights or remedies to any person other than the parties to this Agreement and such successors and permitted assigns.</w:t>
      </w:r>
    </w:p>
    <w:p>
      <w:pPr>
        <w:spacing w:after="0" w:line="175" w:lineRule="exact"/>
        <w:rPr>
          <w:rFonts w:ascii="Arial" w:cs="Arial" w:eastAsia="Arial" w:hAnsi="Arial"/>
          <w:sz w:val="17"/>
          <w:szCs w:val="17"/>
          <w:color w:val="auto"/>
        </w:rPr>
      </w:pPr>
    </w:p>
    <w:p>
      <w:pPr>
        <w:ind w:left="-20" w:firstLine="410"/>
        <w:spacing w:after="0" w:line="267" w:lineRule="auto"/>
        <w:tabs>
          <w:tab w:leader="none" w:pos="632"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THIS AGREEMENT AND ANY MATTERS RELATED TO THIS TRANSACTION SHALL BE GOVERNED BY AND CONSTRUED IN ACCORDANCE WITH THE LAWS OF THE STATE OF DELAWARE WITHOUT REGARD TO PRINCIPLES OF CONFLICT OF LAWS THAT WOULD RESULT IN THE APPLICATION OF ANY LAW OTHER THAN THE LAWS OF THE STATE OF DELAWARE. EACH OF THE PARTIES TO THIS AGREEMENT IRREVOCABLY WAIVES, TO THE FULLEST EXTENT PERMITTED BY APPLICABLE LAW, ANY AND ALL RIGHTS TO TRIAL BY JURY IN ANY LEGAL PROCEEDING ARISING OUT OF OR RELATED TO THIS AGREEMENT OR THE TRANSACTIONS CONTEMPLATED HEREBY. Each of the parties to this Agreement (i) irrevocably submits to the personal jurisdiction of any state or federal court sitting in Wilmington, Delaware, as well as to the jurisdiction of all courts to which an appeal may be taken from such courts, in any suit, action or proceeding relating to or arising out of, under or in connection with this Agreement, (ii) agrees that all claims in respect of such suit, action or proceeding, whether arising under contract, tort or otherwise, shall be brought, heard and determined exclusively in the Delaware Court of Chancery (provided that, in the event that subject matter jurisdiction is unavailable in that court, then all such claims shall be brought, heard and determined exclusively in any other state or federal court sitting in Wilmington, Delaware), (iii) agrees that it shall not attempt to deny or defeat such personal jurisdiction by motion or other request for leave from such court, and (iv) agrees not to bring any action or proceeding relating to or arising out of, under or in connection with this Agreement in any other court, tribunal, forum or proceeding. Each of the parties to this Agreement waives any defense of inconvenient forum to the maintenance of any action or proceeding brought in accordance with this paragraph. Each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80"/>
          </w:cols>
          <w:pgMar w:left="800" w:top="266" w:right="819" w:bottom="1440" w:gutter="0" w:footer="0" w:header="0"/>
        </w:sectPr>
      </w:pPr>
    </w:p>
    <w:bookmarkStart w:id="340" w:name="page341"/>
    <w:bookmarkEnd w:id="34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the parties to this Agreement agrees that service of any process, summons, notice or document by U.S. registered mail to its address set forth herein shall be effective service of process for any action, suit or proceeding brought against it in accordance with this paragraph, provided that nothing in the foregoing sentence shall affect the right of any party to serve legal process in any other manner permitted by law.</w:t>
      </w:r>
    </w:p>
    <w:p>
      <w:pPr>
        <w:spacing w:after="0" w:line="157" w:lineRule="exact"/>
        <w:rPr>
          <w:sz w:val="20"/>
          <w:szCs w:val="20"/>
          <w:color w:val="auto"/>
        </w:rPr>
      </w:pPr>
    </w:p>
    <w:p>
      <w:pPr>
        <w:jc w:val="both"/>
        <w:ind w:right="140" w:firstLine="410"/>
        <w:spacing w:after="0" w:line="277" w:lineRule="auto"/>
        <w:tabs>
          <w:tab w:leader="none" w:pos="652"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parties hereto agree and acknowledge that money damages would not be an adequate remedy for any breach of the provisions of this Agreement, that any breach of the provisions of this Agreement shall cause the other parties irreparable harm, and that any party may in its sole discretion apply to any court of law or equity of competent jurisdiction (without posting any bond or deposit) for specific performance or other injunctive relief in order to enforce, or prevent any violations of, the provisions of this Agreement.</w:t>
      </w:r>
    </w:p>
    <w:p>
      <w:pPr>
        <w:spacing w:after="0" w:line="163" w:lineRule="exact"/>
        <w:rPr>
          <w:rFonts w:ascii="Arial" w:cs="Arial" w:eastAsia="Arial" w:hAnsi="Arial"/>
          <w:sz w:val="16"/>
          <w:szCs w:val="16"/>
          <w:color w:val="auto"/>
        </w:rPr>
      </w:pPr>
    </w:p>
    <w:p>
      <w:pPr>
        <w:jc w:val="both"/>
        <w:ind w:right="20" w:firstLine="410"/>
        <w:spacing w:after="0" w:line="272" w:lineRule="auto"/>
        <w:tabs>
          <w:tab w:leader="none" w:pos="615"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The provisions of this Agreement may be amended or waived at any time only by the written agreement of the Sellers and the Company. Any waiver, permit, consent or approval of any kind or character on the part of any such holders of any provision or condition of this Agreement must be made in writing and shall be effective only to the extent specifically set forth in writing. The failure of any party hereto to enforce at any time any provision of this Agreement shall not be construed to be a waiver of such provision, nor in any way to affect the validity of this Agreement or any part hereof or the right of any party thereafter to enforce each and every such provision. No waiver of any breach of this Agreement shall be held to constitute a waiver of any other or subsequent breach.</w:t>
      </w:r>
    </w:p>
    <w:p>
      <w:pPr>
        <w:spacing w:after="0" w:line="167" w:lineRule="exact"/>
        <w:rPr>
          <w:rFonts w:ascii="Arial" w:cs="Arial" w:eastAsia="Arial" w:hAnsi="Arial"/>
          <w:sz w:val="16"/>
          <w:szCs w:val="16"/>
          <w:color w:val="auto"/>
        </w:rPr>
      </w:pPr>
    </w:p>
    <w:p>
      <w:pPr>
        <w:ind w:right="160" w:firstLine="410"/>
        <w:spacing w:after="0" w:line="272" w:lineRule="auto"/>
        <w:tabs>
          <w:tab w:leader="none" w:pos="615"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Company and the Sellers shall execute and deliver such additional documents and instruments and shall take such further action as may be necessary or appropriate to effectuate fully the provisions of this Agreement.</w:t>
      </w:r>
    </w:p>
    <w:p>
      <w:pPr>
        <w:spacing w:after="0" w:line="164" w:lineRule="exact"/>
        <w:rPr>
          <w:rFonts w:ascii="Arial" w:cs="Arial" w:eastAsia="Arial" w:hAnsi="Arial"/>
          <w:sz w:val="17"/>
          <w:szCs w:val="17"/>
          <w:color w:val="auto"/>
        </w:rPr>
      </w:pPr>
    </w:p>
    <w:p>
      <w:pPr>
        <w:ind w:firstLine="410"/>
        <w:spacing w:after="0" w:line="260" w:lineRule="auto"/>
        <w:tabs>
          <w:tab w:leader="none" w:pos="652"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Mutuality of Drafting</w:t>
      </w:r>
      <w:r>
        <w:rPr>
          <w:rFonts w:ascii="Arial" w:cs="Arial" w:eastAsia="Arial" w:hAnsi="Arial"/>
          <w:sz w:val="17"/>
          <w:szCs w:val="17"/>
          <w:color w:val="auto"/>
        </w:rPr>
        <w:t>. The parties have participated jointly in the negotiation and drafting of this Agreement.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75" w:lineRule="exact"/>
        <w:rPr>
          <w:rFonts w:ascii="Arial" w:cs="Arial" w:eastAsia="Arial" w:hAnsi="Arial"/>
          <w:sz w:val="17"/>
          <w:szCs w:val="17"/>
          <w:color w:val="auto"/>
        </w:rPr>
      </w:pPr>
    </w:p>
    <w:p>
      <w:pPr>
        <w:ind w:right="240" w:firstLine="410"/>
        <w:spacing w:after="0" w:line="296" w:lineRule="auto"/>
        <w:tabs>
          <w:tab w:leader="none" w:pos="615" w:val="left"/>
        </w:tabs>
        <w:numPr>
          <w:ilvl w:val="0"/>
          <w:numId w:val="293"/>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any number of counterparts, all of which taken together shall constitute one and the same instrument. All signatures of the parties to this Agreement may be transmitted by facsimile or PDF file (portable document file format), and such facsimile or PDF file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 and will be binding upon such party.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[Signatures appear on following pages.]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320"/>
          </w:cols>
          <w:pgMar w:left="780" w:top="266" w:right="799" w:bottom="1440" w:gutter="0" w:footer="0" w:header="0"/>
        </w:sectPr>
      </w:pPr>
    </w:p>
    <w:bookmarkStart w:id="341" w:name="page342"/>
    <w:bookmarkEnd w:id="3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IN WITNESS WHEREOF, the parties hereto have executed this Agreement as of the date first written above.</w:t>
      </w:r>
    </w:p>
    <w:p>
      <w:pPr>
        <w:spacing w:after="0" w:line="231" w:lineRule="exact"/>
        <w:rPr>
          <w:sz w:val="20"/>
          <w:szCs w:val="20"/>
          <w:color w:val="auto"/>
        </w:rPr>
      </w:pPr>
    </w:p>
    <w:p>
      <w:pPr>
        <w:ind w:left="6200"/>
        <w:spacing w:after="0"/>
        <w:rPr>
          <w:sz w:val="20"/>
          <w:szCs w:val="20"/>
          <w:color w:val="auto"/>
        </w:rPr>
      </w:pPr>
      <w:r>
        <w:rPr>
          <w:rFonts w:ascii="Arial" w:cs="Arial" w:eastAsia="Arial" w:hAnsi="Arial"/>
          <w:sz w:val="17"/>
          <w:szCs w:val="17"/>
          <w:b w:val="1"/>
          <w:bCs w:val="1"/>
          <w:color w:val="auto"/>
        </w:rPr>
        <w:t>Company:</w:t>
      </w: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DEFINITIVE HEALTHCARE CORP.</w:t>
      </w:r>
    </w:p>
    <w:p>
      <w:pPr>
        <w:spacing w:after="0" w:line="210" w:lineRule="exact"/>
        <w:rPr>
          <w:sz w:val="20"/>
          <w:szCs w:val="20"/>
          <w:color w:val="auto"/>
        </w:rPr>
      </w:pPr>
    </w:p>
    <w:tbl>
      <w:tblPr>
        <w:tblLayout w:type="fixed"/>
        <w:tblInd w:w="6200" w:type="dxa"/>
        <w:tblCellMar>
          <w:top w:w="0" w:type="dxa"/>
          <w:left w:w="0" w:type="dxa"/>
          <w:bottom w:w="0" w:type="dxa"/>
          <w:right w:w="0" w:type="dxa"/>
        </w:tblCellMar>
      </w:tblPr>
      <w:tr>
        <w:trPr>
          <w:trHeight w:val="214"/>
        </w:trPr>
        <w:tc>
          <w:tcPr>
            <w:tcW w:w="540" w:type="dxa"/>
            <w:vAlign w:val="bottom"/>
            <w:gridSpan w:val="2"/>
          </w:tcPr>
          <w:p>
            <w:pPr>
              <w:spacing w:after="0"/>
              <w:rPr>
                <w:sz w:val="20"/>
                <w:szCs w:val="20"/>
                <w:color w:val="auto"/>
              </w:rPr>
            </w:pPr>
            <w:r>
              <w:rPr>
                <w:rFonts w:ascii="Arial" w:cs="Arial" w:eastAsia="Arial" w:hAnsi="Arial"/>
                <w:sz w:val="17"/>
                <w:szCs w:val="17"/>
                <w:color w:val="auto"/>
              </w:rPr>
              <w:t>By:</w:t>
            </w:r>
          </w:p>
        </w:tc>
        <w:tc>
          <w:tcPr>
            <w:tcW w:w="3600" w:type="dxa"/>
            <w:vAlign w:val="bottom"/>
          </w:tcPr>
          <w:p>
            <w:pPr>
              <w:spacing w:after="0"/>
              <w:rPr>
                <w:sz w:val="20"/>
                <w:szCs w:val="20"/>
                <w:color w:val="auto"/>
              </w:rPr>
            </w:pPr>
            <w:r>
              <w:rPr>
                <w:rFonts w:ascii="Arial" w:cs="Arial" w:eastAsia="Arial" w:hAnsi="Arial"/>
                <w:sz w:val="17"/>
                <w:szCs w:val="17"/>
                <w:color w:val="auto"/>
              </w:rPr>
              <w:t>/s/ Jason Krantz</w:t>
            </w:r>
          </w:p>
        </w:tc>
      </w:tr>
      <w:tr>
        <w:trPr>
          <w:trHeight w:val="183"/>
        </w:trPr>
        <w:tc>
          <w:tcPr>
            <w:tcW w:w="500" w:type="dxa"/>
            <w:vAlign w:val="bottom"/>
          </w:tcPr>
          <w:p>
            <w:pPr>
              <w:spacing w:after="0" w:line="184" w:lineRule="exact"/>
              <w:rPr>
                <w:sz w:val="20"/>
                <w:szCs w:val="20"/>
                <w:color w:val="auto"/>
              </w:rPr>
            </w:pPr>
            <w:r>
              <w:rPr>
                <w:rFonts w:ascii="Arial" w:cs="Arial" w:eastAsia="Arial" w:hAnsi="Arial"/>
                <w:sz w:val="17"/>
                <w:szCs w:val="17"/>
                <w:color w:val="auto"/>
                <w:w w:val="95"/>
              </w:rPr>
              <w:t>Name:</w:t>
            </w:r>
          </w:p>
        </w:tc>
        <w:tc>
          <w:tcPr>
            <w:tcW w:w="4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Jason Krantz</w:t>
            </w:r>
          </w:p>
        </w:tc>
      </w:tr>
      <w:tr>
        <w:trPr>
          <w:trHeight w:val="214"/>
        </w:trPr>
        <w:tc>
          <w:tcPr>
            <w:tcW w:w="540" w:type="dxa"/>
            <w:vAlign w:val="bottom"/>
            <w:gridSpan w:val="2"/>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405"/>
        </w:trPr>
        <w:tc>
          <w:tcPr>
            <w:tcW w:w="540" w:type="dxa"/>
            <w:vAlign w:val="bottom"/>
            <w:gridSpan w:val="2"/>
          </w:tcPr>
          <w:p>
            <w:pPr>
              <w:spacing w:after="0"/>
              <w:rPr>
                <w:sz w:val="20"/>
                <w:szCs w:val="20"/>
                <w:color w:val="auto"/>
              </w:rPr>
            </w:pPr>
            <w:r>
              <w:rPr>
                <w:rFonts w:ascii="Arial" w:cs="Arial" w:eastAsia="Arial" w:hAnsi="Arial"/>
                <w:sz w:val="17"/>
                <w:szCs w:val="17"/>
                <w:b w:val="1"/>
                <w:bCs w:val="1"/>
                <w:color w:val="auto"/>
                <w:w w:val="84"/>
              </w:rPr>
              <w:t>Sellers:</w:t>
            </w:r>
          </w:p>
        </w:tc>
        <w:tc>
          <w:tcPr>
            <w:tcW w:w="3600" w:type="dxa"/>
            <w:vAlign w:val="bottom"/>
          </w:tcPr>
          <w:p>
            <w:pPr>
              <w:spacing w:after="0"/>
              <w:rPr>
                <w:sz w:val="24"/>
                <w:szCs w:val="24"/>
                <w:color w:val="auto"/>
              </w:rPr>
            </w:pPr>
          </w:p>
        </w:tc>
      </w:tr>
      <w:tr>
        <w:trPr>
          <w:trHeight w:val="405"/>
        </w:trPr>
        <w:tc>
          <w:tcPr>
            <w:tcW w:w="540" w:type="dxa"/>
            <w:vAlign w:val="bottom"/>
            <w:gridSpan w:val="2"/>
          </w:tcPr>
          <w:p>
            <w:pPr>
              <w:spacing w:after="0"/>
              <w:rPr>
                <w:sz w:val="20"/>
                <w:szCs w:val="20"/>
                <w:color w:val="auto"/>
              </w:rPr>
            </w:pPr>
            <w:r>
              <w:rPr>
                <w:rFonts w:ascii="Arial" w:cs="Arial" w:eastAsia="Arial" w:hAnsi="Arial"/>
                <w:sz w:val="17"/>
                <w:szCs w:val="17"/>
                <w:color w:val="auto"/>
              </w:rPr>
              <w:t>By:</w:t>
            </w:r>
          </w:p>
        </w:tc>
        <w:tc>
          <w:tcPr>
            <w:tcW w:w="3600" w:type="dxa"/>
            <w:vAlign w:val="bottom"/>
          </w:tcPr>
          <w:p>
            <w:pPr>
              <w:spacing w:after="0"/>
              <w:rPr>
                <w:sz w:val="24"/>
                <w:szCs w:val="24"/>
                <w:color w:val="auto"/>
              </w:rPr>
            </w:pPr>
          </w:p>
        </w:tc>
      </w:tr>
      <w:tr>
        <w:trPr>
          <w:trHeight w:val="183"/>
        </w:trPr>
        <w:tc>
          <w:tcPr>
            <w:tcW w:w="500" w:type="dxa"/>
            <w:vAlign w:val="bottom"/>
          </w:tcPr>
          <w:p>
            <w:pPr>
              <w:spacing w:after="0" w:line="184" w:lineRule="exact"/>
              <w:rPr>
                <w:sz w:val="20"/>
                <w:szCs w:val="20"/>
                <w:color w:val="auto"/>
              </w:rPr>
            </w:pPr>
            <w:r>
              <w:rPr>
                <w:rFonts w:ascii="Arial" w:cs="Arial" w:eastAsia="Arial" w:hAnsi="Arial"/>
                <w:sz w:val="17"/>
                <w:szCs w:val="17"/>
                <w:color w:val="auto"/>
                <w:w w:val="95"/>
              </w:rPr>
              <w:t>Name:</w:t>
            </w:r>
          </w:p>
        </w:tc>
        <w:tc>
          <w:tcPr>
            <w:tcW w:w="4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tcPr>
          <w:p>
            <w:pPr>
              <w:spacing w:after="0"/>
              <w:rPr>
                <w:sz w:val="15"/>
                <w:szCs w:val="15"/>
                <w:color w:val="auto"/>
              </w:rPr>
            </w:pPr>
          </w:p>
        </w:tc>
      </w:tr>
      <w:tr>
        <w:trPr>
          <w:trHeight w:val="214"/>
        </w:trPr>
        <w:tc>
          <w:tcPr>
            <w:tcW w:w="540" w:type="dxa"/>
            <w:vAlign w:val="bottom"/>
            <w:gridSpan w:val="2"/>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spacing w:after="0"/>
              <w:rPr>
                <w:sz w:val="18"/>
                <w:szCs w:val="18"/>
                <w:color w:val="auto"/>
              </w:rPr>
            </w:pPr>
          </w:p>
        </w:tc>
      </w:tr>
      <w:tr>
        <w:trPr>
          <w:trHeight w:val="405"/>
        </w:trPr>
        <w:tc>
          <w:tcPr>
            <w:tcW w:w="540" w:type="dxa"/>
            <w:vAlign w:val="bottom"/>
            <w:gridSpan w:val="2"/>
          </w:tcPr>
          <w:p>
            <w:pPr>
              <w:spacing w:after="0"/>
              <w:rPr>
                <w:sz w:val="20"/>
                <w:szCs w:val="20"/>
                <w:color w:val="auto"/>
              </w:rPr>
            </w:pPr>
            <w:r>
              <w:rPr>
                <w:rFonts w:ascii="Arial" w:cs="Arial" w:eastAsia="Arial" w:hAnsi="Arial"/>
                <w:sz w:val="17"/>
                <w:szCs w:val="17"/>
                <w:color w:val="auto"/>
              </w:rPr>
              <w:t>By:</w:t>
            </w:r>
          </w:p>
        </w:tc>
        <w:tc>
          <w:tcPr>
            <w:tcW w:w="3600" w:type="dxa"/>
            <w:vAlign w:val="bottom"/>
          </w:tcPr>
          <w:p>
            <w:pPr>
              <w:spacing w:after="0"/>
              <w:rPr>
                <w:sz w:val="24"/>
                <w:szCs w:val="24"/>
                <w:color w:val="auto"/>
              </w:rPr>
            </w:pPr>
          </w:p>
        </w:tc>
      </w:tr>
      <w:tr>
        <w:trPr>
          <w:trHeight w:val="183"/>
        </w:trPr>
        <w:tc>
          <w:tcPr>
            <w:tcW w:w="500" w:type="dxa"/>
            <w:vAlign w:val="bottom"/>
          </w:tcPr>
          <w:p>
            <w:pPr>
              <w:spacing w:after="0" w:line="184" w:lineRule="exact"/>
              <w:rPr>
                <w:sz w:val="20"/>
                <w:szCs w:val="20"/>
                <w:color w:val="auto"/>
              </w:rPr>
            </w:pPr>
            <w:r>
              <w:rPr>
                <w:rFonts w:ascii="Arial" w:cs="Arial" w:eastAsia="Arial" w:hAnsi="Arial"/>
                <w:sz w:val="17"/>
                <w:szCs w:val="17"/>
                <w:color w:val="auto"/>
                <w:w w:val="95"/>
              </w:rPr>
              <w:t>Name:</w:t>
            </w:r>
          </w:p>
        </w:tc>
        <w:tc>
          <w:tcPr>
            <w:tcW w:w="4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tcPr>
          <w:p>
            <w:pPr>
              <w:spacing w:after="0"/>
              <w:rPr>
                <w:sz w:val="15"/>
                <w:szCs w:val="15"/>
                <w:color w:val="auto"/>
              </w:rPr>
            </w:pPr>
          </w:p>
        </w:tc>
      </w:tr>
      <w:tr>
        <w:trPr>
          <w:trHeight w:val="214"/>
        </w:trPr>
        <w:tc>
          <w:tcPr>
            <w:tcW w:w="540" w:type="dxa"/>
            <w:vAlign w:val="bottom"/>
            <w:gridSpan w:val="2"/>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spacing w:after="0"/>
              <w:rPr>
                <w:sz w:val="18"/>
                <w:szCs w:val="18"/>
                <w:color w:val="auto"/>
              </w:rPr>
            </w:pPr>
          </w:p>
        </w:tc>
      </w:tr>
      <w:tr>
        <w:trPr>
          <w:trHeight w:val="405"/>
        </w:trPr>
        <w:tc>
          <w:tcPr>
            <w:tcW w:w="540" w:type="dxa"/>
            <w:vAlign w:val="bottom"/>
            <w:gridSpan w:val="2"/>
          </w:tcPr>
          <w:p>
            <w:pPr>
              <w:spacing w:after="0"/>
              <w:rPr>
                <w:sz w:val="20"/>
                <w:szCs w:val="20"/>
                <w:color w:val="auto"/>
              </w:rPr>
            </w:pPr>
            <w:r>
              <w:rPr>
                <w:rFonts w:ascii="Arial" w:cs="Arial" w:eastAsia="Arial" w:hAnsi="Arial"/>
                <w:sz w:val="17"/>
                <w:szCs w:val="17"/>
                <w:color w:val="auto"/>
              </w:rPr>
              <w:t>By:</w:t>
            </w:r>
          </w:p>
        </w:tc>
        <w:tc>
          <w:tcPr>
            <w:tcW w:w="3600" w:type="dxa"/>
            <w:vAlign w:val="bottom"/>
          </w:tcPr>
          <w:p>
            <w:pPr>
              <w:spacing w:after="0"/>
              <w:rPr>
                <w:sz w:val="24"/>
                <w:szCs w:val="24"/>
                <w:color w:val="auto"/>
              </w:rPr>
            </w:pPr>
          </w:p>
        </w:tc>
      </w:tr>
      <w:tr>
        <w:trPr>
          <w:trHeight w:val="183"/>
        </w:trPr>
        <w:tc>
          <w:tcPr>
            <w:tcW w:w="500" w:type="dxa"/>
            <w:vAlign w:val="bottom"/>
          </w:tcPr>
          <w:p>
            <w:pPr>
              <w:spacing w:after="0" w:line="184" w:lineRule="exact"/>
              <w:rPr>
                <w:sz w:val="20"/>
                <w:szCs w:val="20"/>
                <w:color w:val="auto"/>
              </w:rPr>
            </w:pPr>
            <w:r>
              <w:rPr>
                <w:rFonts w:ascii="Arial" w:cs="Arial" w:eastAsia="Arial" w:hAnsi="Arial"/>
                <w:sz w:val="17"/>
                <w:szCs w:val="17"/>
                <w:color w:val="auto"/>
                <w:w w:val="95"/>
              </w:rPr>
              <w:t>Name:</w:t>
            </w:r>
          </w:p>
        </w:tc>
        <w:tc>
          <w:tcPr>
            <w:tcW w:w="4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tcPr>
          <w:p>
            <w:pPr>
              <w:spacing w:after="0"/>
              <w:rPr>
                <w:sz w:val="15"/>
                <w:szCs w:val="15"/>
                <w:color w:val="auto"/>
              </w:rPr>
            </w:pPr>
          </w:p>
        </w:tc>
      </w:tr>
      <w:tr>
        <w:trPr>
          <w:trHeight w:val="214"/>
        </w:trPr>
        <w:tc>
          <w:tcPr>
            <w:tcW w:w="540" w:type="dxa"/>
            <w:vAlign w:val="bottom"/>
            <w:gridSpan w:val="2"/>
          </w:tcPr>
          <w:p>
            <w:pPr>
              <w:spacing w:after="0"/>
              <w:rPr>
                <w:sz w:val="20"/>
                <w:szCs w:val="20"/>
                <w:color w:val="auto"/>
              </w:rPr>
            </w:pPr>
            <w:r>
              <w:rPr>
                <w:rFonts w:ascii="Arial" w:cs="Arial" w:eastAsia="Arial" w:hAnsi="Arial"/>
                <w:sz w:val="17"/>
                <w:szCs w:val="17"/>
                <w:color w:val="auto"/>
              </w:rPr>
              <w:t>Title:</w:t>
            </w:r>
          </w:p>
        </w:tc>
        <w:tc>
          <w:tcPr>
            <w:tcW w:w="3600" w:type="dxa"/>
            <w:vAlign w:val="bottom"/>
          </w:tcPr>
          <w:p>
            <w:pPr>
              <w:spacing w:after="0"/>
              <w:rPr>
                <w:sz w:val="18"/>
                <w:szCs w:val="18"/>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Stock and Unit Purchase Agreement</w:t>
      </w:r>
      <w:r>
        <w:rPr>
          <w:rFonts w:ascii="Arial" w:cs="Arial" w:eastAsia="Arial" w:hAnsi="Arial"/>
          <w:sz w:val="17"/>
          <w:szCs w:val="17"/>
          <w:color w:val="auto"/>
        </w:rPr>
        <w:t>]</w:t>
      </w:r>
    </w:p>
    <w:p>
      <w:pPr>
        <w:sectPr>
          <w:pgSz w:w="11900" w:h="16838" w:orient="portrait"/>
          <w:cols w:equalWidth="0" w:num="1">
            <w:col w:w="10340"/>
          </w:cols>
          <w:pgMar w:left="780" w:top="266" w:right="779" w:bottom="1440" w:gutter="0" w:footer="0" w:header="0"/>
        </w:sectPr>
      </w:pPr>
    </w:p>
    <w:bookmarkStart w:id="342" w:name="page343"/>
    <w:bookmarkEnd w:id="342"/>
    <w:p>
      <w:pPr>
        <w:jc w:val="right"/>
        <w:spacing w:after="0"/>
        <w:rPr>
          <w:sz w:val="20"/>
          <w:szCs w:val="20"/>
          <w:color w:val="auto"/>
        </w:rPr>
      </w:pPr>
      <w:r>
        <w:rPr>
          <w:rFonts w:ascii="Arial" w:cs="Arial" w:eastAsia="Arial" w:hAnsi="Arial"/>
          <w:sz w:val="17"/>
          <w:szCs w:val="17"/>
          <w:b w:val="1"/>
          <w:bCs w:val="1"/>
          <w:color w:val="auto"/>
        </w:rPr>
        <w:t>Exhibit 23.1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10" w:lineRule="exact"/>
        <w:rPr>
          <w:sz w:val="20"/>
          <w:szCs w:val="20"/>
          <w:color w:val="auto"/>
        </w:rPr>
      </w:pPr>
    </w:p>
    <w:p>
      <w:pPr>
        <w:ind w:right="440"/>
        <w:spacing w:after="0" w:line="303" w:lineRule="auto"/>
        <w:rPr>
          <w:sz w:val="20"/>
          <w:szCs w:val="20"/>
          <w:color w:val="auto"/>
        </w:rPr>
      </w:pPr>
      <w:r>
        <w:rPr>
          <w:rFonts w:ascii="Arial" w:cs="Arial" w:eastAsia="Arial" w:hAnsi="Arial"/>
          <w:sz w:val="16"/>
          <w:szCs w:val="16"/>
          <w:color w:val="auto"/>
        </w:rPr>
        <w:t>We consent to the use in the Registration Statement on Form S-1 of our report dated May 28, 2021, relating to the financial statement of Definitive Healthcare Corp. We also consent to the reference to us under the heading “Experts” in such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 </w:t>
      </w:r>
      <w:r>
        <w:rPr>
          <w:rFonts w:ascii="Arial" w:cs="Arial" w:eastAsia="Arial" w:hAnsi="Arial"/>
          <w:sz w:val="17"/>
          <w:szCs w:val="17"/>
          <w:color w:val="auto"/>
        </w:rPr>
        <w:t>Deloitte &amp; Touche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November 15, 2021</w:t>
      </w:r>
    </w:p>
    <w:p>
      <w:pPr>
        <w:sectPr>
          <w:pgSz w:w="11900" w:h="16838" w:orient="portrait"/>
          <w:cols w:equalWidth="0" w:num="1">
            <w:col w:w="10340"/>
          </w:cols>
          <w:pgMar w:left="780" w:top="123" w:right="779" w:bottom="1440" w:gutter="0" w:footer="0" w:header="0"/>
        </w:sectPr>
      </w:pPr>
    </w:p>
    <w:bookmarkStart w:id="343" w:name="page344"/>
    <w:bookmarkEnd w:id="343"/>
    <w:p>
      <w:pPr>
        <w:jc w:val="right"/>
        <w:spacing w:after="0"/>
        <w:rPr>
          <w:sz w:val="20"/>
          <w:szCs w:val="20"/>
          <w:color w:val="auto"/>
        </w:rPr>
      </w:pPr>
      <w:r>
        <w:rPr>
          <w:rFonts w:ascii="Arial" w:cs="Arial" w:eastAsia="Arial" w:hAnsi="Arial"/>
          <w:sz w:val="17"/>
          <w:szCs w:val="17"/>
          <w:b w:val="1"/>
          <w:bCs w:val="1"/>
          <w:color w:val="auto"/>
        </w:rPr>
        <w:t>Exhibit 23.2</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10"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We consent to the use in this Registration Statement on Form S-1 of our report dated May 28, 2021, relating to the consolidated financial statements of AIDH Topco, LLC. We also consent to the reference to us under the heading “Experts” in such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 </w:t>
      </w:r>
      <w:r>
        <w:rPr>
          <w:rFonts w:ascii="Arial" w:cs="Arial" w:eastAsia="Arial" w:hAnsi="Arial"/>
          <w:sz w:val="17"/>
          <w:szCs w:val="17"/>
          <w:color w:val="auto"/>
        </w:rPr>
        <w:t>Deloitte &amp; Touche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November 15, 2021</w:t>
      </w:r>
    </w:p>
    <w:sectPr>
      <w:pgSz w:w="11900" w:h="16838" w:orient="portrait"/>
      <w:cols w:equalWidth="0" w:num="1">
        <w:col w:w="10340"/>
      </w:cols>
      <w:pgMar w:left="780" w:top="123"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1B64D4"/>
    <w:multiLevelType w:val="hybridMultilevel"/>
    <w:lvl w:ilvl="0">
      <w:lvlJc w:val="left"/>
      <w:lvlText w:val="(%1)"/>
      <w:numFmt w:val="decimal"/>
      <w:start w:val="1"/>
    </w:lvl>
  </w:abstractNum>
  <w:abstractNum w:abstractNumId="1">
    <w:nsid w:val="78B5E776"/>
    <w:multiLevelType w:val="hybridMultilevel"/>
    <w:lvl w:ilvl="0">
      <w:lvlJc w:val="left"/>
      <w:lvlText w:val="(%1)"/>
      <w:numFmt w:val="decimal"/>
      <w:start w:val="1"/>
    </w:lvl>
  </w:abstractNum>
  <w:abstractNum w:abstractNumId="2">
    <w:nsid w:val="75486E47"/>
    <w:multiLevelType w:val="hybridMultilevel"/>
    <w:lvl w:ilvl="0">
      <w:lvlJc w:val="left"/>
      <w:lvlText w:val="•"/>
      <w:numFmt w:val="bullet"/>
      <w:start w:val="1"/>
    </w:lvl>
  </w:abstractNum>
  <w:abstractNum w:abstractNumId="3">
    <w:nsid w:val="6E534CDE"/>
    <w:multiLevelType w:val="hybridMultilevel"/>
    <w:lvl w:ilvl="0">
      <w:lvlJc w:val="left"/>
      <w:lvlText w:val="•"/>
      <w:numFmt w:val="bullet"/>
      <w:start w:val="1"/>
    </w:lvl>
  </w:abstractNum>
  <w:abstractNum w:abstractNumId="4">
    <w:nsid w:val="1A0DDE32"/>
    <w:multiLevelType w:val="hybridMultilevel"/>
    <w:lvl w:ilvl="0">
      <w:lvlJc w:val="left"/>
      <w:lvlText w:val="•"/>
      <w:numFmt w:val="bullet"/>
      <w:start w:val="1"/>
    </w:lvl>
  </w:abstractNum>
  <w:abstractNum w:abstractNumId="5">
    <w:nsid w:val="65968C1C"/>
    <w:multiLevelType w:val="hybridMultilevel"/>
    <w:lvl w:ilvl="0">
      <w:lvlJc w:val="left"/>
      <w:lvlText w:val="•"/>
      <w:numFmt w:val="bullet"/>
      <w:start w:val="1"/>
    </w:lvl>
  </w:abstractNum>
  <w:abstractNum w:abstractNumId="6">
    <w:nsid w:val="46263DEC"/>
    <w:multiLevelType w:val="hybridMultilevel"/>
    <w:lvl w:ilvl="0">
      <w:lvlJc w:val="left"/>
      <w:lvlText w:val="•"/>
      <w:numFmt w:val="bullet"/>
      <w:start w:val="1"/>
    </w:lvl>
  </w:abstractNum>
  <w:abstractNum w:abstractNumId="7">
    <w:nsid w:val="260D8C4A"/>
    <w:multiLevelType w:val="hybridMultilevel"/>
    <w:lvl w:ilvl="0">
      <w:lvlJc w:val="left"/>
      <w:lvlText w:val="•"/>
      <w:numFmt w:val="bullet"/>
      <w:start w:val="1"/>
    </w:lvl>
  </w:abstractNum>
  <w:abstractNum w:abstractNumId="8">
    <w:nsid w:val="73D4D3C4"/>
    <w:multiLevelType w:val="hybridMultilevel"/>
    <w:lvl w:ilvl="0">
      <w:lvlJc w:val="left"/>
      <w:lvlText w:val="•"/>
      <w:numFmt w:val="bullet"/>
      <w:start w:val="1"/>
    </w:lvl>
  </w:abstractNum>
  <w:abstractNum w:abstractNumId="9">
    <w:nsid w:val="746F2E30"/>
    <w:multiLevelType w:val="hybridMultilevel"/>
    <w:lvl w:ilvl="0">
      <w:lvlJc w:val="left"/>
      <w:lvlText w:val="•"/>
      <w:numFmt w:val="bullet"/>
      <w:start w:val="1"/>
    </w:lvl>
  </w:abstractNum>
  <w:abstractNum w:abstractNumId="10">
    <w:nsid w:val="6FDE8AF6"/>
    <w:multiLevelType w:val="hybridMultilevel"/>
    <w:lvl w:ilvl="0">
      <w:lvlJc w:val="left"/>
      <w:lvlText w:val="•"/>
      <w:numFmt w:val="bullet"/>
      <w:start w:val="1"/>
    </w:lvl>
  </w:abstractNum>
  <w:abstractNum w:abstractNumId="11">
    <w:nsid w:val="3FC32E20"/>
    <w:multiLevelType w:val="hybridMultilevel"/>
    <w:lvl w:ilvl="0">
      <w:lvlJc w:val="left"/>
      <w:lvlText w:val="•"/>
      <w:numFmt w:val="bullet"/>
      <w:start w:val="1"/>
    </w:lvl>
  </w:abstractNum>
  <w:abstractNum w:abstractNumId="12">
    <w:nsid w:val="49C0E823"/>
    <w:multiLevelType w:val="hybridMultilevel"/>
    <w:lvl w:ilvl="0">
      <w:lvlJc w:val="left"/>
      <w:lvlText w:val="•"/>
      <w:numFmt w:val="bullet"/>
      <w:start w:val="1"/>
    </w:lvl>
  </w:abstractNum>
  <w:abstractNum w:abstractNumId="13">
    <w:nsid w:val="14D53685"/>
    <w:multiLevelType w:val="hybridMultilevel"/>
    <w:lvl w:ilvl="0">
      <w:lvlJc w:val="left"/>
      <w:lvlText w:val="•"/>
      <w:numFmt w:val="bullet"/>
      <w:start w:val="1"/>
    </w:lvl>
  </w:abstractNum>
  <w:abstractNum w:abstractNumId="14">
    <w:nsid w:val="230F856C"/>
    <w:multiLevelType w:val="hybridMultilevel"/>
    <w:lvl w:ilvl="0">
      <w:lvlJc w:val="left"/>
      <w:lvlText w:val="•"/>
      <w:numFmt w:val="bullet"/>
      <w:start w:val="1"/>
    </w:lvl>
  </w:abstractNum>
  <w:abstractNum w:abstractNumId="15">
    <w:nsid w:val="6EAA85FB"/>
    <w:multiLevelType w:val="hybridMultilevel"/>
    <w:lvl w:ilvl="0">
      <w:lvlJc w:val="left"/>
      <w:lvlText w:val="•"/>
      <w:numFmt w:val="bullet"/>
      <w:start w:val="1"/>
    </w:lvl>
  </w:abstractNum>
  <w:abstractNum w:abstractNumId="16">
    <w:nsid w:val="3F06ECB2"/>
    <w:multiLevelType w:val="hybridMultilevel"/>
    <w:lvl w:ilvl="0">
      <w:lvlJc w:val="left"/>
      <w:lvlText w:val="•"/>
      <w:numFmt w:val="bullet"/>
      <w:start w:val="1"/>
    </w:lvl>
  </w:abstractNum>
  <w:abstractNum w:abstractNumId="17">
    <w:nsid w:val="3B594807"/>
    <w:multiLevelType w:val="hybridMultilevel"/>
    <w:lvl w:ilvl="0">
      <w:lvlJc w:val="left"/>
      <w:lvlText w:val="•"/>
      <w:numFmt w:val="bullet"/>
      <w:start w:val="1"/>
    </w:lvl>
  </w:abstractNum>
  <w:abstractNum w:abstractNumId="18">
    <w:nsid w:val="6CAA2304"/>
    <w:multiLevelType w:val="hybridMultilevel"/>
    <w:lvl w:ilvl="0">
      <w:lvlJc w:val="left"/>
      <w:lvlText w:val="•"/>
      <w:numFmt w:val="bullet"/>
      <w:start w:val="1"/>
    </w:lvl>
  </w:abstractNum>
  <w:abstractNum w:abstractNumId="19">
    <w:nsid w:val="3F7C2FF4"/>
    <w:multiLevelType w:val="hybridMultilevel"/>
    <w:lvl w:ilvl="0">
      <w:lvlJc w:val="left"/>
      <w:lvlText w:val="•"/>
      <w:numFmt w:val="bullet"/>
      <w:start w:val="1"/>
    </w:lvl>
  </w:abstractNum>
  <w:abstractNum w:abstractNumId="20">
    <w:nsid w:val="25413BEC"/>
    <w:multiLevelType w:val="hybridMultilevel"/>
    <w:lvl w:ilvl="0">
      <w:lvlJc w:val="left"/>
      <w:lvlText w:val="•"/>
      <w:numFmt w:val="bullet"/>
      <w:start w:val="1"/>
    </w:lvl>
  </w:abstractNum>
  <w:abstractNum w:abstractNumId="21">
    <w:nsid w:val="17180B0B"/>
    <w:multiLevelType w:val="hybridMultilevel"/>
    <w:lvl w:ilvl="0">
      <w:lvlJc w:val="left"/>
      <w:lvlText w:val="•"/>
      <w:numFmt w:val="bullet"/>
      <w:start w:val="1"/>
    </w:lvl>
  </w:abstractNum>
  <w:abstractNum w:abstractNumId="22">
    <w:nsid w:val="579328B9"/>
    <w:multiLevelType w:val="hybridMultilevel"/>
    <w:lvl w:ilvl="0">
      <w:lvlJc w:val="left"/>
      <w:lvlText w:val="•"/>
      <w:numFmt w:val="bullet"/>
      <w:start w:val="1"/>
    </w:lvl>
  </w:abstractNum>
  <w:abstractNum w:abstractNumId="23">
    <w:nsid w:val="5D205E20"/>
    <w:multiLevelType w:val="hybridMultilevel"/>
    <w:lvl w:ilvl="0">
      <w:lvlJc w:val="left"/>
      <w:lvlText w:val="•"/>
      <w:numFmt w:val="bullet"/>
      <w:start w:val="1"/>
    </w:lvl>
  </w:abstractNum>
  <w:abstractNum w:abstractNumId="24">
    <w:nsid w:val="11CCA8BA"/>
    <w:multiLevelType w:val="hybridMultilevel"/>
    <w:lvl w:ilvl="0">
      <w:lvlJc w:val="left"/>
      <w:lvlText w:val="(%1)"/>
      <w:numFmt w:val="decimal"/>
      <w:start w:val="1"/>
    </w:lvl>
  </w:abstractNum>
  <w:abstractNum w:abstractNumId="25">
    <w:nsid w:val="4D32AB86"/>
    <w:multiLevelType w:val="hybridMultilevel"/>
    <w:lvl w:ilvl="0">
      <w:lvlJc w:val="left"/>
      <w:lvlText w:val="•"/>
      <w:numFmt w:val="bullet"/>
      <w:start w:val="1"/>
    </w:lvl>
  </w:abstractNum>
  <w:abstractNum w:abstractNumId="26">
    <w:nsid w:val="3F07ACC3"/>
    <w:multiLevelType w:val="hybridMultilevel"/>
    <w:lvl w:ilvl="0">
      <w:lvlJc w:val="left"/>
      <w:lvlText w:val="(%1)"/>
      <w:numFmt w:val="decimal"/>
      <w:start w:val="1"/>
    </w:lvl>
  </w:abstractNum>
  <w:abstractNum w:abstractNumId="27">
    <w:nsid w:val="6B47F63E"/>
    <w:multiLevelType w:val="hybridMultilevel"/>
    <w:lvl w:ilvl="0">
      <w:lvlJc w:val="left"/>
      <w:lvlText w:val="(%1)"/>
      <w:numFmt w:val="decimal"/>
      <w:start w:val="1"/>
    </w:lvl>
  </w:abstractNum>
  <w:abstractNum w:abstractNumId="28">
    <w:nsid w:val="5CB44A05"/>
    <w:multiLevelType w:val="hybridMultilevel"/>
    <w:lvl w:ilvl="0">
      <w:lvlJc w:val="left"/>
      <w:lvlText w:val="•"/>
      <w:numFmt w:val="bullet"/>
      <w:start w:val="1"/>
    </w:lvl>
  </w:abstractNum>
  <w:abstractNum w:abstractNumId="29">
    <w:nsid w:val="16CF80F1"/>
    <w:multiLevelType w:val="hybridMultilevel"/>
    <w:lvl w:ilvl="0">
      <w:lvlJc w:val="left"/>
      <w:lvlText w:val="•"/>
      <w:numFmt w:val="bullet"/>
      <w:start w:val="1"/>
    </w:lvl>
  </w:abstractNum>
  <w:abstractNum w:abstractNumId="30">
    <w:nsid w:val="1C695DEC"/>
    <w:multiLevelType w:val="hybridMultilevel"/>
    <w:lvl w:ilvl="0">
      <w:lvlJc w:val="left"/>
      <w:lvlText w:val="•"/>
      <w:numFmt w:val="bullet"/>
      <w:start w:val="1"/>
    </w:lvl>
  </w:abstractNum>
  <w:abstractNum w:abstractNumId="31">
    <w:nsid w:val="3FCFAED9"/>
    <w:multiLevelType w:val="hybridMultilevel"/>
    <w:lvl w:ilvl="0">
      <w:lvlJc w:val="left"/>
      <w:lvlText w:val="(%1)"/>
      <w:numFmt w:val="decimal"/>
      <w:start w:val="1"/>
    </w:lvl>
  </w:abstractNum>
  <w:abstractNum w:abstractNumId="32">
    <w:nsid w:val="F856867"/>
    <w:multiLevelType w:val="hybridMultilevel"/>
    <w:lvl w:ilvl="0">
      <w:lvlJc w:val="left"/>
      <w:lvlText w:val="(%1)"/>
      <w:numFmt w:val="decimal"/>
      <w:start w:val="1"/>
    </w:lvl>
  </w:abstractNum>
  <w:abstractNum w:abstractNumId="33">
    <w:nsid w:val="11B1CC33"/>
    <w:multiLevelType w:val="hybridMultilevel"/>
    <w:lvl w:ilvl="0">
      <w:lvlJc w:val="left"/>
      <w:lvlText w:val="(%1)"/>
      <w:numFmt w:val="decimal"/>
      <w:start w:val="1"/>
    </w:lvl>
  </w:abstractNum>
  <w:abstractNum w:abstractNumId="34">
    <w:nsid w:val="2E22FBB7"/>
    <w:multiLevelType w:val="hybridMultilevel"/>
    <w:lvl w:ilvl="0">
      <w:lvlJc w:val="left"/>
      <w:lvlText w:val="(%1)"/>
      <w:numFmt w:val="decimal"/>
      <w:start w:val="1"/>
    </w:lvl>
  </w:abstractNum>
  <w:abstractNum w:abstractNumId="35">
    <w:nsid w:val="29934699"/>
    <w:multiLevelType w:val="hybridMultilevel"/>
    <w:lvl w:ilvl="0">
      <w:lvlJc w:val="left"/>
      <w:lvlText w:val="(%1)"/>
      <w:numFmt w:val="decimal"/>
      <w:start w:val="2"/>
    </w:lvl>
  </w:abstractNum>
  <w:abstractNum w:abstractNumId="36">
    <w:nsid w:val="77485850"/>
    <w:multiLevelType w:val="hybridMultilevel"/>
    <w:lvl w:ilvl="0">
      <w:lvlJc w:val="left"/>
      <w:lvlText w:val="(%1)"/>
      <w:numFmt w:val="lowerLetter"/>
      <w:start w:val="1"/>
    </w:lvl>
  </w:abstractNum>
  <w:abstractNum w:abstractNumId="37">
    <w:nsid w:val="744939A3"/>
    <w:multiLevelType w:val="hybridMultilevel"/>
    <w:lvl w:ilvl="0">
      <w:lvlJc w:val="left"/>
      <w:lvlText w:val="(%1)"/>
      <w:numFmt w:val="lowerLetter"/>
      <w:start w:val="1"/>
    </w:lvl>
  </w:abstractNum>
  <w:abstractNum w:abstractNumId="38">
    <w:nsid w:val="4FA0D2E3"/>
    <w:multiLevelType w:val="hybridMultilevel"/>
    <w:lvl w:ilvl="0">
      <w:lvlJc w:val="left"/>
      <w:lvlText w:val="(%1)"/>
      <w:numFmt w:val="lowerLetter"/>
      <w:start w:val="1"/>
    </w:lvl>
  </w:abstractNum>
  <w:abstractNum w:abstractNumId="39">
    <w:nsid w:val="6B1D2C14"/>
    <w:multiLevelType w:val="hybridMultilevel"/>
    <w:lvl w:ilvl="0">
      <w:lvlJc w:val="left"/>
      <w:lvlText w:val="(%1)"/>
      <w:numFmt w:val="lowerLetter"/>
      <w:start w:val="1"/>
    </w:lvl>
  </w:abstractNum>
  <w:abstractNum w:abstractNumId="40">
    <w:nsid w:val="68B867D3"/>
    <w:multiLevelType w:val="hybridMultilevel"/>
    <w:lvl w:ilvl="0">
      <w:lvlJc w:val="left"/>
      <w:lvlText w:val="•"/>
      <w:numFmt w:val="bullet"/>
      <w:start w:val="1"/>
    </w:lvl>
  </w:abstractNum>
  <w:abstractNum w:abstractNumId="41">
    <w:nsid w:val="3F7F5DD9"/>
    <w:multiLevelType w:val="hybridMultilevel"/>
    <w:lvl w:ilvl="0">
      <w:lvlJc w:val="left"/>
      <w:lvlText w:val="•"/>
      <w:numFmt w:val="bullet"/>
      <w:start w:val="1"/>
    </w:lvl>
  </w:abstractNum>
  <w:abstractNum w:abstractNumId="42">
    <w:nsid w:val="2AE05A34"/>
    <w:multiLevelType w:val="hybridMultilevel"/>
    <w:lvl w:ilvl="0">
      <w:lvlJc w:val="left"/>
      <w:lvlText w:val="•"/>
      <w:numFmt w:val="bullet"/>
      <w:start w:val="1"/>
    </w:lvl>
  </w:abstractNum>
  <w:abstractNum w:abstractNumId="43">
    <w:nsid w:val="32794FF7"/>
    <w:multiLevelType w:val="hybridMultilevel"/>
    <w:lvl w:ilvl="0">
      <w:lvlJc w:val="left"/>
      <w:lvlText w:val="•"/>
      <w:numFmt w:val="bullet"/>
      <w:start w:val="1"/>
    </w:lvl>
  </w:abstractNum>
  <w:abstractNum w:abstractNumId="44">
    <w:nsid w:val="5454945E"/>
    <w:multiLevelType w:val="hybridMultilevel"/>
    <w:lvl w:ilvl="0">
      <w:lvlJc w:val="left"/>
      <w:lvlText w:val="•"/>
      <w:numFmt w:val="bullet"/>
      <w:start w:val="1"/>
    </w:lvl>
  </w:abstractNum>
  <w:abstractNum w:abstractNumId="45">
    <w:nsid w:val="4DEFDFA0"/>
    <w:multiLevelType w:val="hybridMultilevel"/>
    <w:lvl w:ilvl="0">
      <w:lvlJc w:val="left"/>
      <w:lvlText w:val="•"/>
      <w:numFmt w:val="bullet"/>
      <w:start w:val="1"/>
    </w:lvl>
  </w:abstractNum>
  <w:abstractNum w:abstractNumId="46">
    <w:nsid w:val="2123D5F2"/>
    <w:multiLevelType w:val="hybridMultilevel"/>
    <w:lvl w:ilvl="0">
      <w:lvlJc w:val="left"/>
      <w:lvlText w:val="•"/>
      <w:numFmt w:val="bullet"/>
      <w:start w:val="1"/>
    </w:lvl>
  </w:abstractNum>
  <w:abstractNum w:abstractNumId="47">
    <w:nsid w:val="135B8110"/>
    <w:multiLevelType w:val="hybridMultilevel"/>
    <w:lvl w:ilvl="0">
      <w:lvlJc w:val="left"/>
      <w:lvlText w:val="•"/>
      <w:numFmt w:val="bullet"/>
      <w:start w:val="1"/>
    </w:lvl>
  </w:abstractNum>
  <w:abstractNum w:abstractNumId="48">
    <w:nsid w:val="94927A8"/>
    <w:multiLevelType w:val="hybridMultilevel"/>
    <w:lvl w:ilvl="0">
      <w:lvlJc w:val="left"/>
      <w:lvlText w:val="•"/>
      <w:numFmt w:val="bullet"/>
      <w:start w:val="1"/>
    </w:lvl>
  </w:abstractNum>
  <w:abstractNum w:abstractNumId="49">
    <w:nsid w:val="DCDF8F6"/>
    <w:multiLevelType w:val="hybridMultilevel"/>
    <w:lvl w:ilvl="0">
      <w:lvlJc w:val="left"/>
      <w:lvlText w:val="•"/>
      <w:numFmt w:val="bullet"/>
      <w:start w:val="1"/>
    </w:lvl>
  </w:abstractNum>
  <w:abstractNum w:abstractNumId="50">
    <w:nsid w:val="52D7B105"/>
    <w:multiLevelType w:val="hybridMultilevel"/>
    <w:lvl w:ilvl="0">
      <w:lvlJc w:val="left"/>
      <w:lvlText w:val="•"/>
      <w:numFmt w:val="bullet"/>
      <w:start w:val="1"/>
    </w:lvl>
  </w:abstractNum>
  <w:abstractNum w:abstractNumId="51">
    <w:nsid w:val="2E8A6394"/>
    <w:multiLevelType w:val="hybridMultilevel"/>
    <w:lvl w:ilvl="0">
      <w:lvlJc w:val="left"/>
      <w:lvlText w:val="•"/>
      <w:numFmt w:val="bullet"/>
      <w:start w:val="1"/>
    </w:lvl>
  </w:abstractNum>
  <w:abstractNum w:abstractNumId="52">
    <w:nsid w:val="24E60401"/>
    <w:multiLevelType w:val="hybridMultilevel"/>
    <w:lvl w:ilvl="0">
      <w:lvlJc w:val="left"/>
      <w:lvlText w:val="(%1)"/>
      <w:numFmt w:val="lowerRoman"/>
      <w:start w:val="4"/>
    </w:lvl>
  </w:abstractNum>
  <w:abstractNum w:abstractNumId="53">
    <w:nsid w:val="2A6AD9BE"/>
    <w:multiLevelType w:val="hybridMultilevel"/>
    <w:lvl w:ilvl="0">
      <w:lvlJc w:val="left"/>
      <w:lvlText w:val="•"/>
      <w:numFmt w:val="bullet"/>
      <w:start w:val="1"/>
    </w:lvl>
  </w:abstractNum>
  <w:abstractNum w:abstractNumId="54">
    <w:nsid w:val="BAAC1B4"/>
    <w:multiLevelType w:val="hybridMultilevel"/>
    <w:lvl w:ilvl="0">
      <w:lvlJc w:val="left"/>
      <w:lvlText w:val="•"/>
      <w:numFmt w:val="bullet"/>
      <w:start w:val="1"/>
    </w:lvl>
  </w:abstractNum>
  <w:abstractNum w:abstractNumId="55">
    <w:nsid w:val="36B2ACBC"/>
    <w:multiLevelType w:val="hybridMultilevel"/>
    <w:lvl w:ilvl="0">
      <w:lvlJc w:val="left"/>
      <w:lvlText w:val="(%1)"/>
      <w:numFmt w:val="decimal"/>
      <w:start w:val="1"/>
    </w:lvl>
  </w:abstractNum>
  <w:abstractNum w:abstractNumId="56">
    <w:nsid w:val="779D8544"/>
    <w:multiLevelType w:val="hybridMultilevel"/>
    <w:lvl w:ilvl="0">
      <w:lvlJc w:val="left"/>
      <w:lvlText w:val="•"/>
      <w:numFmt w:val="bullet"/>
      <w:start w:val="1"/>
    </w:lvl>
  </w:abstractNum>
  <w:abstractNum w:abstractNumId="57">
    <w:nsid w:val="4AB26E78"/>
    <w:multiLevelType w:val="hybridMultilevel"/>
    <w:lvl w:ilvl="0">
      <w:lvlJc w:val="left"/>
      <w:lvlText w:val="•"/>
      <w:numFmt w:val="bullet"/>
      <w:start w:val="1"/>
    </w:lvl>
  </w:abstractNum>
  <w:abstractNum w:abstractNumId="58">
    <w:nsid w:val="21FAA2FA"/>
    <w:multiLevelType w:val="hybridMultilevel"/>
    <w:lvl w:ilvl="0">
      <w:lvlJc w:val="left"/>
      <w:lvlText w:val="(%1)"/>
      <w:numFmt w:val="decimal"/>
      <w:start w:val="1"/>
    </w:lvl>
  </w:abstractNum>
  <w:abstractNum w:abstractNumId="59">
    <w:nsid w:val="5451CF49"/>
    <w:multiLevelType w:val="hybridMultilevel"/>
    <w:lvl w:ilvl="0">
      <w:lvlJc w:val="left"/>
      <w:lvlText w:val="(%1)"/>
      <w:numFmt w:val="decimal"/>
      <w:start w:val="2"/>
    </w:lvl>
  </w:abstractNum>
  <w:abstractNum w:abstractNumId="60">
    <w:nsid w:val="6181EF69"/>
    <w:multiLevelType w:val="hybridMultilevel"/>
    <w:lvl w:ilvl="0">
      <w:lvlJc w:val="left"/>
      <w:lvlText w:val="(%1)"/>
      <w:numFmt w:val="decimal"/>
      <w:start w:val="4"/>
    </w:lvl>
    <w:lvl w:ilvl="1">
      <w:lvlJc w:val="left"/>
      <w:lvlText w:val="•"/>
      <w:numFmt w:val="bullet"/>
      <w:start w:val="1"/>
    </w:lvl>
  </w:abstractNum>
  <w:abstractNum w:abstractNumId="61">
    <w:nsid w:val="3E6400E6"/>
    <w:multiLevelType w:val="hybridMultilevel"/>
    <w:lvl w:ilvl="0">
      <w:lvlJc w:val="left"/>
      <w:lvlText w:val="•"/>
      <w:numFmt w:val="bullet"/>
      <w:start w:val="1"/>
    </w:lvl>
  </w:abstractNum>
  <w:abstractNum w:abstractNumId="62">
    <w:nsid w:val="14217E23"/>
    <w:multiLevelType w:val="hybridMultilevel"/>
    <w:lvl w:ilvl="0">
      <w:lvlJc w:val="left"/>
      <w:lvlText w:val="•"/>
      <w:numFmt w:val="bullet"/>
      <w:start w:val="1"/>
    </w:lvl>
  </w:abstractNum>
  <w:abstractNum w:abstractNumId="63">
    <w:nsid w:val="710757D0"/>
    <w:multiLevelType w:val="hybridMultilevel"/>
    <w:lvl w:ilvl="0">
      <w:lvlJc w:val="left"/>
      <w:lvlText w:val="(%1)"/>
      <w:numFmt w:val="lowerLetter"/>
      <w:start w:val="1"/>
    </w:lvl>
  </w:abstractNum>
  <w:abstractNum w:abstractNumId="64">
    <w:nsid w:val="5015CD1A"/>
    <w:multiLevelType w:val="hybridMultilevel"/>
    <w:lvl w:ilvl="0">
      <w:lvlJc w:val="left"/>
      <w:lvlText w:val="(%1)"/>
      <w:numFmt w:val="lowerRoman"/>
      <w:start w:val="4"/>
    </w:lvl>
  </w:abstractNum>
  <w:abstractNum w:abstractNumId="65">
    <w:nsid w:val="424479DA"/>
    <w:multiLevelType w:val="hybridMultilevel"/>
    <w:lvl w:ilvl="0">
      <w:lvlJc w:val="left"/>
      <w:lvlText w:val="(%1)"/>
      <w:numFmt w:val="lowerLetter"/>
      <w:start w:val="1"/>
    </w:lvl>
  </w:abstractNum>
  <w:abstractNum w:abstractNumId="66">
    <w:nsid w:val="1A9A9E69"/>
    <w:multiLevelType w:val="hybridMultilevel"/>
    <w:lvl w:ilvl="0">
      <w:lvlJc w:val="left"/>
      <w:lvlText w:val="•"/>
      <w:numFmt w:val="bullet"/>
      <w:start w:val="1"/>
    </w:lvl>
  </w:abstractNum>
  <w:abstractNum w:abstractNumId="67">
    <w:nsid w:val="475E256A"/>
    <w:multiLevelType w:val="hybridMultilevel"/>
    <w:lvl w:ilvl="0">
      <w:lvlJc w:val="left"/>
      <w:lvlText w:val="•"/>
      <w:numFmt w:val="bullet"/>
      <w:start w:val="1"/>
    </w:lvl>
  </w:abstractNum>
  <w:abstractNum w:abstractNumId="68">
    <w:nsid w:val="368DB37E"/>
    <w:multiLevelType w:val="hybridMultilevel"/>
    <w:lvl w:ilvl="0">
      <w:lvlJc w:val="left"/>
      <w:lvlText w:val="•"/>
      <w:numFmt w:val="bullet"/>
      <w:start w:val="1"/>
    </w:lvl>
  </w:abstractNum>
  <w:abstractNum w:abstractNumId="69">
    <w:nsid w:val="6A3B714C"/>
    <w:multiLevelType w:val="hybridMultilevel"/>
    <w:lvl w:ilvl="0">
      <w:lvlJc w:val="left"/>
      <w:lvlText w:val="•"/>
      <w:numFmt w:val="bullet"/>
      <w:start w:val="1"/>
    </w:lvl>
  </w:abstractNum>
  <w:abstractNum w:abstractNumId="70">
    <w:nsid w:val="327B517E"/>
    <w:multiLevelType w:val="hybridMultilevel"/>
    <w:lvl w:ilvl="0">
      <w:lvlJc w:val="left"/>
      <w:lvlText w:val="•"/>
      <w:numFmt w:val="bullet"/>
      <w:start w:val="1"/>
    </w:lvl>
  </w:abstractNum>
  <w:abstractNum w:abstractNumId="71">
    <w:nsid w:val="1F461B51"/>
    <w:multiLevelType w:val="hybridMultilevel"/>
    <w:lvl w:ilvl="0">
      <w:lvlJc w:val="left"/>
      <w:lvlText w:val="•"/>
      <w:numFmt w:val="bullet"/>
      <w:start w:val="1"/>
    </w:lvl>
  </w:abstractNum>
  <w:abstractNum w:abstractNumId="72">
    <w:nsid w:val="29BACF25"/>
    <w:multiLevelType w:val="hybridMultilevel"/>
    <w:lvl w:ilvl="0">
      <w:lvlJc w:val="left"/>
      <w:lvlText w:val="•"/>
      <w:numFmt w:val="bullet"/>
      <w:start w:val="1"/>
    </w:lvl>
  </w:abstractNum>
  <w:abstractNum w:abstractNumId="73">
    <w:nsid w:val="5D5BABB3"/>
    <w:multiLevelType w:val="hybridMultilevel"/>
    <w:lvl w:ilvl="0">
      <w:lvlJc w:val="left"/>
      <w:lvlText w:val="•"/>
      <w:numFmt w:val="bullet"/>
      <w:start w:val="1"/>
    </w:lvl>
  </w:abstractNum>
  <w:abstractNum w:abstractNumId="74">
    <w:nsid w:val="51BF6B48"/>
    <w:multiLevelType w:val="hybridMultilevel"/>
    <w:lvl w:ilvl="0">
      <w:lvlJc w:val="left"/>
      <w:lvlText w:val="•"/>
      <w:numFmt w:val="bullet"/>
      <w:start w:val="1"/>
    </w:lvl>
  </w:abstractNum>
  <w:abstractNum w:abstractNumId="75">
    <w:nsid w:val="7E0F6384"/>
    <w:multiLevelType w:val="hybridMultilevel"/>
    <w:lvl w:ilvl="0">
      <w:lvlJc w:val="left"/>
      <w:lvlText w:val="(%1)"/>
      <w:numFmt w:val="decimal"/>
      <w:start w:val="1"/>
    </w:lvl>
  </w:abstractNum>
  <w:abstractNum w:abstractNumId="76">
    <w:nsid w:val="2B4B8B53"/>
    <w:multiLevelType w:val="hybridMultilevel"/>
    <w:lvl w:ilvl="0">
      <w:lvlJc w:val="left"/>
      <w:lvlText w:val="(%1)"/>
      <w:numFmt w:val="decimal"/>
      <w:start w:val="1"/>
    </w:lvl>
  </w:abstractNum>
  <w:abstractNum w:abstractNumId="77">
    <w:nsid w:val="72E3413A"/>
    <w:multiLevelType w:val="hybridMultilevel"/>
    <w:lvl w:ilvl="0">
      <w:lvlJc w:val="left"/>
      <w:lvlText w:val="(%1)"/>
      <w:numFmt w:val="decimal"/>
      <w:start w:val="1"/>
    </w:lvl>
  </w:abstractNum>
  <w:abstractNum w:abstractNumId="78">
    <w:nsid w:val="116AE494"/>
    <w:multiLevelType w:val="hybridMultilevel"/>
    <w:lvl w:ilvl="0">
      <w:lvlJc w:val="left"/>
      <w:lvlText w:val="(%1)"/>
      <w:numFmt w:val="decimal"/>
      <w:start w:val="1"/>
    </w:lvl>
  </w:abstractNum>
  <w:abstractNum w:abstractNumId="79">
    <w:nsid w:val="3494B2FB"/>
    <w:multiLevelType w:val="hybridMultilevel"/>
    <w:lvl w:ilvl="0">
      <w:lvlJc w:val="left"/>
      <w:lvlText w:val="(%1)"/>
      <w:numFmt w:val="decimal"/>
      <w:start w:val="2"/>
    </w:lvl>
  </w:abstractNum>
  <w:abstractNum w:abstractNumId="80">
    <w:nsid w:val="B13A31"/>
    <w:multiLevelType w:val="hybridMultilevel"/>
    <w:lvl w:ilvl="0">
      <w:lvlJc w:val="left"/>
      <w:lvlText w:val="(%1)"/>
      <w:numFmt w:val="decimal"/>
      <w:start w:val="1"/>
    </w:lvl>
  </w:abstractNum>
  <w:abstractNum w:abstractNumId="81">
    <w:nsid w:val="64429599"/>
    <w:multiLevelType w:val="hybridMultilevel"/>
    <w:lvl w:ilvl="0">
      <w:lvlJc w:val="left"/>
      <w:lvlText w:val="(%1)"/>
      <w:numFmt w:val="decimal"/>
      <w:start w:val="2"/>
    </w:lvl>
  </w:abstractNum>
  <w:abstractNum w:abstractNumId="82">
    <w:nsid w:val="631F1690"/>
    <w:multiLevelType w:val="hybridMultilevel"/>
    <w:lvl w:ilvl="0">
      <w:lvlJc w:val="left"/>
      <w:lvlText w:val="(%1)"/>
      <w:numFmt w:val="decimal"/>
      <w:start w:val="3"/>
    </w:lvl>
  </w:abstractNum>
  <w:abstractNum w:abstractNumId="83">
    <w:nsid w:val="25973E32"/>
    <w:multiLevelType w:val="hybridMultilevel"/>
    <w:lvl w:ilvl="0">
      <w:lvlJc w:val="left"/>
      <w:lvlText w:val="•"/>
      <w:numFmt w:val="bullet"/>
      <w:start w:val="1"/>
    </w:lvl>
  </w:abstractNum>
  <w:abstractNum w:abstractNumId="84">
    <w:nsid w:val="EAD6F57"/>
    <w:multiLevelType w:val="hybridMultilevel"/>
    <w:lvl w:ilvl="0">
      <w:lvlJc w:val="left"/>
      <w:lvlText w:val="•"/>
      <w:numFmt w:val="bullet"/>
      <w:start w:val="1"/>
    </w:lvl>
  </w:abstractNum>
  <w:abstractNum w:abstractNumId="85">
    <w:nsid w:val="6EC9D844"/>
    <w:multiLevelType w:val="hybridMultilevel"/>
    <w:lvl w:ilvl="0">
      <w:lvlJc w:val="left"/>
      <w:lvlText w:val="(%1)"/>
      <w:numFmt w:val="decimal"/>
      <w:start w:val="1"/>
    </w:lvl>
  </w:abstractNum>
  <w:abstractNum w:abstractNumId="86">
    <w:nsid w:val="5C49EAEE"/>
    <w:multiLevelType w:val="hybridMultilevel"/>
    <w:lvl w:ilvl="0">
      <w:lvlJc w:val="left"/>
      <w:lvlText w:val="•"/>
      <w:numFmt w:val="bullet"/>
      <w:start w:val="1"/>
    </w:lvl>
  </w:abstractNum>
  <w:abstractNum w:abstractNumId="87">
    <w:nsid w:val="64AF49B"/>
    <w:multiLevelType w:val="hybridMultilevel"/>
    <w:lvl w:ilvl="0">
      <w:lvlJc w:val="left"/>
      <w:lvlText w:val="•"/>
      <w:numFmt w:val="bullet"/>
      <w:start w:val="1"/>
    </w:lvl>
  </w:abstractNum>
  <w:abstractNum w:abstractNumId="88">
    <w:nsid w:val="397C46BC"/>
    <w:multiLevelType w:val="hybridMultilevel"/>
    <w:lvl w:ilvl="0">
      <w:lvlJc w:val="left"/>
      <w:lvlText w:val="•"/>
      <w:numFmt w:val="bullet"/>
      <w:start w:val="1"/>
    </w:lvl>
  </w:abstractNum>
  <w:abstractNum w:abstractNumId="89">
    <w:nsid w:val="7E448DE9"/>
    <w:multiLevelType w:val="hybridMultilevel"/>
    <w:lvl w:ilvl="0">
      <w:lvlJc w:val="left"/>
      <w:lvlText w:val="•"/>
      <w:numFmt w:val="bullet"/>
      <w:start w:val="1"/>
    </w:lvl>
  </w:abstractNum>
  <w:abstractNum w:abstractNumId="90">
    <w:nsid w:val="5A9CC3E5"/>
    <w:multiLevelType w:val="hybridMultilevel"/>
    <w:lvl w:ilvl="0">
      <w:lvlJc w:val="left"/>
      <w:lvlText w:val="•"/>
      <w:numFmt w:val="bullet"/>
      <w:start w:val="1"/>
    </w:lvl>
  </w:abstractNum>
  <w:abstractNum w:abstractNumId="91">
    <w:nsid w:val="1AFE3625"/>
    <w:multiLevelType w:val="hybridMultilevel"/>
    <w:lvl w:ilvl="0">
      <w:lvlJc w:val="left"/>
      <w:lvlText w:val="•"/>
      <w:numFmt w:val="bullet"/>
      <w:start w:val="1"/>
    </w:lvl>
  </w:abstractNum>
  <w:abstractNum w:abstractNumId="92">
    <w:nsid w:val="3CA88ECF"/>
    <w:multiLevelType w:val="hybridMultilevel"/>
    <w:lvl w:ilvl="0">
      <w:lvlJc w:val="left"/>
      <w:lvlText w:val="•"/>
      <w:numFmt w:val="bullet"/>
      <w:start w:val="1"/>
    </w:lvl>
  </w:abstractNum>
  <w:abstractNum w:abstractNumId="93">
    <w:nsid w:val="6EBE4208"/>
    <w:multiLevelType w:val="hybridMultilevel"/>
    <w:lvl w:ilvl="0">
      <w:lvlJc w:val="left"/>
      <w:lvlText w:val="•"/>
      <w:numFmt w:val="bullet"/>
      <w:start w:val="1"/>
    </w:lvl>
  </w:abstractNum>
  <w:abstractNum w:abstractNumId="94">
    <w:nsid w:val="C058DF5"/>
    <w:multiLevelType w:val="hybridMultilevel"/>
    <w:lvl w:ilvl="0">
      <w:lvlJc w:val="left"/>
      <w:lvlText w:val="•"/>
      <w:numFmt w:val="bullet"/>
      <w:start w:val="1"/>
    </w:lvl>
  </w:abstractNum>
  <w:abstractNum w:abstractNumId="95">
    <w:nsid w:val="CBE5BE9"/>
    <w:multiLevelType w:val="hybridMultilevel"/>
    <w:lvl w:ilvl="0">
      <w:lvlJc w:val="left"/>
      <w:lvlText w:val="•"/>
      <w:numFmt w:val="bullet"/>
      <w:start w:val="1"/>
    </w:lvl>
  </w:abstractNum>
  <w:abstractNum w:abstractNumId="96">
    <w:nsid w:val="3102BBE2"/>
    <w:multiLevelType w:val="hybridMultilevel"/>
    <w:lvl w:ilvl="0">
      <w:lvlJc w:val="left"/>
      <w:lvlText w:val="•"/>
      <w:numFmt w:val="bullet"/>
      <w:start w:val="1"/>
    </w:lvl>
  </w:abstractNum>
  <w:abstractNum w:abstractNumId="97">
    <w:nsid w:val="26A02C5E"/>
    <w:multiLevelType w:val="hybridMultilevel"/>
    <w:lvl w:ilvl="0">
      <w:lvlJc w:val="left"/>
      <w:lvlText w:val="•"/>
      <w:numFmt w:val="bullet"/>
      <w:start w:val="1"/>
    </w:lvl>
  </w:abstractNum>
  <w:abstractNum w:abstractNumId="98">
    <w:nsid w:val="541C8153"/>
    <w:multiLevelType w:val="hybridMultilevel"/>
    <w:lvl w:ilvl="0">
      <w:lvlJc w:val="left"/>
      <w:lvlText w:val="•"/>
      <w:numFmt w:val="bullet"/>
      <w:start w:val="1"/>
    </w:lvl>
  </w:abstractNum>
  <w:abstractNum w:abstractNumId="99">
    <w:nsid w:val="67906F60"/>
    <w:multiLevelType w:val="hybridMultilevel"/>
    <w:lvl w:ilvl="0">
      <w:lvlJc w:val="left"/>
      <w:lvlText w:val="•"/>
      <w:numFmt w:val="bullet"/>
      <w:start w:val="1"/>
    </w:lvl>
  </w:abstractNum>
  <w:abstractNum w:abstractNumId="100">
    <w:nsid w:val="10DB9DAA"/>
    <w:multiLevelType w:val="hybridMultilevel"/>
    <w:lvl w:ilvl="0">
      <w:lvlJc w:val="left"/>
      <w:lvlText w:val="•"/>
      <w:numFmt w:val="bullet"/>
      <w:start w:val="1"/>
    </w:lvl>
  </w:abstractNum>
  <w:abstractNum w:abstractNumId="101">
    <w:nsid w:val="697D2D2"/>
    <w:multiLevelType w:val="hybridMultilevel"/>
    <w:lvl w:ilvl="0">
      <w:lvlJc w:val="left"/>
      <w:lvlText w:val="•"/>
      <w:numFmt w:val="bullet"/>
      <w:start w:val="1"/>
    </w:lvl>
  </w:abstractNum>
  <w:abstractNum w:abstractNumId="102">
    <w:nsid w:val="6D68AB2"/>
    <w:multiLevelType w:val="hybridMultilevel"/>
    <w:lvl w:ilvl="0">
      <w:lvlJc w:val="left"/>
      <w:lvlText w:val="•"/>
      <w:numFmt w:val="bullet"/>
      <w:start w:val="1"/>
    </w:lvl>
    <w:lvl w:ilvl="1">
      <w:lvlJc w:val="left"/>
      <w:lvlText w:val="•"/>
      <w:numFmt w:val="bullet"/>
      <w:start w:val="1"/>
    </w:lvl>
  </w:abstractNum>
  <w:abstractNum w:abstractNumId="103">
    <w:nsid w:val="3A966CD0"/>
    <w:multiLevelType w:val="hybridMultilevel"/>
    <w:lvl w:ilvl="0">
      <w:lvlJc w:val="left"/>
      <w:lvlText w:val="•"/>
      <w:numFmt w:val="bullet"/>
      <w:start w:val="1"/>
    </w:lvl>
    <w:lvl w:ilvl="1">
      <w:lvlJc w:val="left"/>
      <w:lvlText w:val="•"/>
      <w:numFmt w:val="bullet"/>
      <w:start w:val="1"/>
    </w:lvl>
  </w:abstractNum>
  <w:abstractNum w:abstractNumId="104">
    <w:nsid w:val="63F37E85"/>
    <w:multiLevelType w:val="hybridMultilevel"/>
    <w:lvl w:ilvl="0">
      <w:lvlJc w:val="left"/>
      <w:lvlText w:val="•"/>
      <w:numFmt w:val="bullet"/>
      <w:start w:val="1"/>
    </w:lvl>
  </w:abstractNum>
  <w:abstractNum w:abstractNumId="105">
    <w:nsid w:val="5895F5FA"/>
    <w:multiLevelType w:val="hybridMultilevel"/>
    <w:lvl w:ilvl="0">
      <w:lvlJc w:val="left"/>
      <w:lvlText w:val="•"/>
      <w:numFmt w:val="bullet"/>
      <w:start w:val="1"/>
    </w:lvl>
  </w:abstractNum>
  <w:abstractNum w:abstractNumId="106">
    <w:nsid w:val="38A5D054"/>
    <w:multiLevelType w:val="hybridMultilevel"/>
    <w:lvl w:ilvl="0">
      <w:lvlJc w:val="left"/>
      <w:lvlText w:val="•"/>
      <w:numFmt w:val="bullet"/>
      <w:start w:val="1"/>
    </w:lvl>
    <w:lvl w:ilvl="1">
      <w:lvlJc w:val="left"/>
      <w:lvlText w:val="○"/>
      <w:numFmt w:val="bullet"/>
      <w:start w:val="1"/>
    </w:lvl>
  </w:abstractNum>
  <w:abstractNum w:abstractNumId="107">
    <w:nsid w:val="F3F09D8"/>
    <w:multiLevelType w:val="hybridMultilevel"/>
    <w:lvl w:ilvl="0">
      <w:lvlJc w:val="left"/>
      <w:lvlText w:val="•"/>
      <w:numFmt w:val="bullet"/>
      <w:start w:val="1"/>
    </w:lvl>
    <w:lvl w:ilvl="1">
      <w:lvlJc w:val="left"/>
      <w:lvlText w:val="○"/>
      <w:numFmt w:val="bullet"/>
      <w:start w:val="1"/>
    </w:lvl>
  </w:abstractNum>
  <w:abstractNum w:abstractNumId="108">
    <w:nsid w:val="4B793735"/>
    <w:multiLevelType w:val="hybridMultilevel"/>
    <w:lvl w:ilvl="0">
      <w:lvlJc w:val="left"/>
      <w:lvlText w:val="•"/>
      <w:numFmt w:val="bullet"/>
      <w:start w:val="1"/>
    </w:lvl>
    <w:lvl w:ilvl="1">
      <w:lvlJc w:val="left"/>
      <w:lvlText w:val="○"/>
      <w:numFmt w:val="bullet"/>
      <w:start w:val="1"/>
    </w:lvl>
  </w:abstractNum>
  <w:abstractNum w:abstractNumId="109">
    <w:nsid w:val="4A10B4E8"/>
    <w:multiLevelType w:val="hybridMultilevel"/>
    <w:lvl w:ilvl="0">
      <w:lvlJc w:val="left"/>
      <w:lvlText w:val="•"/>
      <w:numFmt w:val="bullet"/>
      <w:start w:val="1"/>
    </w:lvl>
    <w:lvl w:ilvl="1">
      <w:lvlJc w:val="left"/>
      <w:lvlText w:val="○"/>
      <w:numFmt w:val="bullet"/>
      <w:start w:val="1"/>
    </w:lvl>
  </w:abstractNum>
  <w:abstractNum w:abstractNumId="110">
    <w:nsid w:val="43D3BCD4"/>
    <w:multiLevelType w:val="hybridMultilevel"/>
    <w:lvl w:ilvl="0">
      <w:lvlJc w:val="left"/>
      <w:lvlText w:val="•"/>
      <w:numFmt w:val="bullet"/>
      <w:start w:val="1"/>
    </w:lvl>
    <w:lvl w:ilvl="1">
      <w:lvlJc w:val="left"/>
      <w:lvlText w:val="○"/>
      <w:numFmt w:val="bullet"/>
      <w:start w:val="1"/>
    </w:lvl>
  </w:abstractNum>
  <w:abstractNum w:abstractNumId="111">
    <w:nsid w:val="4C2A7166"/>
    <w:multiLevelType w:val="hybridMultilevel"/>
    <w:lvl w:ilvl="0">
      <w:lvlJc w:val="left"/>
      <w:lvlText w:val="•"/>
      <w:numFmt w:val="bullet"/>
      <w:start w:val="1"/>
    </w:lvl>
    <w:lvl w:ilvl="1">
      <w:lvlJc w:val="left"/>
      <w:lvlText w:val="○"/>
      <w:numFmt w:val="bullet"/>
      <w:start w:val="1"/>
    </w:lvl>
  </w:abstractNum>
  <w:abstractNum w:abstractNumId="112">
    <w:nsid w:val="2E534A82"/>
    <w:multiLevelType w:val="hybridMultilevel"/>
    <w:lvl w:ilvl="0">
      <w:lvlJc w:val="left"/>
      <w:lvlText w:val="•"/>
      <w:numFmt w:val="bullet"/>
      <w:start w:val="1"/>
    </w:lvl>
  </w:abstractNum>
  <w:abstractNum w:abstractNumId="113">
    <w:nsid w:val="26F2D364"/>
    <w:multiLevelType w:val="hybridMultilevel"/>
    <w:lvl w:ilvl="0">
      <w:lvlJc w:val="left"/>
      <w:lvlText w:val="•"/>
      <w:numFmt w:val="bullet"/>
      <w:start w:val="1"/>
    </w:lvl>
  </w:abstractNum>
  <w:abstractNum w:abstractNumId="114">
    <w:nsid w:val="71C1AF98"/>
    <w:multiLevelType w:val="hybridMultilevel"/>
    <w:lvl w:ilvl="0">
      <w:lvlJc w:val="left"/>
      <w:lvlText w:val="•"/>
      <w:numFmt w:val="bullet"/>
      <w:start w:val="1"/>
    </w:lvl>
  </w:abstractNum>
  <w:abstractNum w:abstractNumId="115">
    <w:nsid w:val="3D00B9D9"/>
    <w:multiLevelType w:val="hybridMultilevel"/>
    <w:lvl w:ilvl="0">
      <w:lvlJc w:val="left"/>
      <w:lvlText w:val="•"/>
      <w:numFmt w:val="bullet"/>
      <w:start w:val="1"/>
    </w:lvl>
  </w:abstractNum>
  <w:abstractNum w:abstractNumId="116">
    <w:nsid w:val="15BCABA8"/>
    <w:multiLevelType w:val="hybridMultilevel"/>
    <w:lvl w:ilvl="0">
      <w:lvlJc w:val="left"/>
      <w:lvlText w:val="•"/>
      <w:numFmt w:val="bullet"/>
      <w:start w:val="1"/>
    </w:lvl>
  </w:abstractNum>
  <w:abstractNum w:abstractNumId="117">
    <w:nsid w:val="4E0B9A87"/>
    <w:multiLevelType w:val="hybridMultilevel"/>
    <w:lvl w:ilvl="0">
      <w:lvlJc w:val="left"/>
      <w:lvlText w:val="•"/>
      <w:numFmt w:val="bullet"/>
      <w:start w:val="1"/>
    </w:lvl>
  </w:abstractNum>
  <w:abstractNum w:abstractNumId="118">
    <w:nsid w:val="434BAE75"/>
    <w:multiLevelType w:val="hybridMultilevel"/>
    <w:lvl w:ilvl="0">
      <w:lvlJc w:val="left"/>
      <w:lvlText w:val="•"/>
      <w:numFmt w:val="bullet"/>
      <w:start w:val="1"/>
    </w:lvl>
  </w:abstractNum>
  <w:abstractNum w:abstractNumId="119">
    <w:nsid w:val="4F38F265"/>
    <w:multiLevelType w:val="hybridMultilevel"/>
    <w:lvl w:ilvl="0">
      <w:lvlJc w:val="left"/>
      <w:lvlText w:val="•"/>
      <w:numFmt w:val="bullet"/>
      <w:start w:val="1"/>
    </w:lvl>
  </w:abstractNum>
  <w:abstractNum w:abstractNumId="120">
    <w:nsid w:val="4C502870"/>
    <w:multiLevelType w:val="hybridMultilevel"/>
    <w:lvl w:ilvl="0">
      <w:lvlJc w:val="left"/>
      <w:lvlText w:val="•"/>
      <w:numFmt w:val="bullet"/>
      <w:start w:val="1"/>
    </w:lvl>
  </w:abstractNum>
  <w:abstractNum w:abstractNumId="121">
    <w:nsid w:val="1DE8725A"/>
    <w:multiLevelType w:val="hybridMultilevel"/>
    <w:lvl w:ilvl="0">
      <w:lvlJc w:val="left"/>
      <w:lvlText w:val="•"/>
      <w:numFmt w:val="bullet"/>
      <w:start w:val="1"/>
    </w:lvl>
  </w:abstractNum>
  <w:abstractNum w:abstractNumId="122">
    <w:nsid w:val="6A37288A"/>
    <w:multiLevelType w:val="hybridMultilevel"/>
    <w:lvl w:ilvl="0">
      <w:lvlJc w:val="left"/>
      <w:lvlText w:val="•"/>
      <w:numFmt w:val="bullet"/>
      <w:start w:val="1"/>
    </w:lvl>
  </w:abstractNum>
  <w:abstractNum w:abstractNumId="123">
    <w:nsid w:val="8F8B73F"/>
    <w:multiLevelType w:val="hybridMultilevel"/>
    <w:lvl w:ilvl="0">
      <w:lvlJc w:val="left"/>
      <w:lvlText w:val="•"/>
      <w:numFmt w:val="bullet"/>
      <w:start w:val="1"/>
    </w:lvl>
  </w:abstractNum>
  <w:abstractNum w:abstractNumId="124">
    <w:nsid w:val="CA6B462"/>
    <w:multiLevelType w:val="hybridMultilevel"/>
    <w:lvl w:ilvl="0">
      <w:lvlJc w:val="left"/>
      <w:lvlText w:val="•"/>
      <w:numFmt w:val="bullet"/>
      <w:start w:val="1"/>
    </w:lvl>
  </w:abstractNum>
  <w:abstractNum w:abstractNumId="125">
    <w:nsid w:val="763CB680"/>
    <w:multiLevelType w:val="hybridMultilevel"/>
    <w:lvl w:ilvl="0">
      <w:lvlJc w:val="left"/>
      <w:lvlText w:val="•"/>
      <w:numFmt w:val="bullet"/>
      <w:start w:val="1"/>
    </w:lvl>
  </w:abstractNum>
  <w:abstractNum w:abstractNumId="126">
    <w:nsid w:val="15B71329"/>
    <w:multiLevelType w:val="hybridMultilevel"/>
    <w:lvl w:ilvl="0">
      <w:lvlJc w:val="left"/>
      <w:lvlText w:val="(%1)"/>
      <w:numFmt w:val="decimal"/>
      <w:start w:val="1"/>
    </w:lvl>
  </w:abstractNum>
  <w:abstractNum w:abstractNumId="127">
    <w:nsid w:val="3DA97044"/>
    <w:multiLevelType w:val="hybridMultilevel"/>
    <w:lvl w:ilvl="0">
      <w:lvlJc w:val="left"/>
      <w:lvlText w:val="(%1)"/>
      <w:numFmt w:val="lowerRoman"/>
      <w:start w:val="3"/>
    </w:lvl>
  </w:abstractNum>
  <w:abstractNum w:abstractNumId="128">
    <w:nsid w:val="1CDCE2DE"/>
    <w:multiLevelType w:val="hybridMultilevel"/>
    <w:lvl w:ilvl="0">
      <w:lvlJc w:val="left"/>
      <w:lvlText w:val="(%1)"/>
      <w:numFmt w:val="decimal"/>
      <w:start w:val="1"/>
    </w:lvl>
  </w:abstractNum>
  <w:abstractNum w:abstractNumId="129">
    <w:nsid w:val="69D3947C"/>
    <w:multiLevelType w:val="hybridMultilevel"/>
    <w:lvl w:ilvl="0">
      <w:lvlJc w:val="left"/>
      <w:lvlText w:val="(%1)"/>
      <w:numFmt w:val="decimal"/>
      <w:start w:val="3"/>
    </w:lvl>
  </w:abstractNum>
  <w:abstractNum w:abstractNumId="130">
    <w:nsid w:val="2539DFA5"/>
    <w:multiLevelType w:val="hybridMultilevel"/>
    <w:lvl w:ilvl="0">
      <w:lvlJc w:val="left"/>
      <w:lvlText w:val="(%1)"/>
      <w:numFmt w:val="lowerLetter"/>
      <w:start w:val="1"/>
    </w:lvl>
  </w:abstractNum>
  <w:abstractNum w:abstractNumId="131">
    <w:nsid w:val="2DB88089"/>
    <w:multiLevelType w:val="hybridMultilevel"/>
    <w:lvl w:ilvl="0">
      <w:lvlJc w:val="left"/>
      <w:lvlText w:val="(%1)"/>
      <w:numFmt w:val="lowerRoman"/>
      <w:start w:val="1"/>
    </w:lvl>
  </w:abstractNum>
  <w:abstractNum w:abstractNumId="132">
    <w:nsid w:val="706B674E"/>
    <w:multiLevelType w:val="hybridMultilevel"/>
    <w:lvl w:ilvl="0">
      <w:lvlJc w:val="left"/>
      <w:lvlText w:val="(%1)"/>
      <w:numFmt w:val="lowerRoman"/>
      <w:start w:val="3"/>
    </w:lvl>
  </w:abstractNum>
  <w:abstractNum w:abstractNumId="133">
    <w:nsid w:val="2C106A57"/>
    <w:multiLevelType w:val="hybridMultilevel"/>
    <w:lvl w:ilvl="0">
      <w:lvlJc w:val="left"/>
      <w:lvlText w:val="•"/>
      <w:numFmt w:val="bullet"/>
      <w:start w:val="1"/>
    </w:lvl>
  </w:abstractNum>
  <w:abstractNum w:abstractNumId="134">
    <w:nsid w:val="684EED59"/>
    <w:multiLevelType w:val="hybridMultilevel"/>
    <w:lvl w:ilvl="0">
      <w:lvlJc w:val="left"/>
      <w:lvlText w:val="(%1)"/>
      <w:numFmt w:val="lowerRoman"/>
      <w:start w:val="3"/>
    </w:lvl>
  </w:abstractNum>
  <w:abstractNum w:abstractNumId="135">
    <w:nsid w:val="545EE5D3"/>
    <w:multiLevelType w:val="hybridMultilevel"/>
    <w:lvl w:ilvl="0">
      <w:lvlJc w:val="left"/>
      <w:lvlText w:val="(%1)"/>
      <w:numFmt w:val="decimal"/>
      <w:start w:val="1"/>
    </w:lvl>
  </w:abstractNum>
  <w:abstractNum w:abstractNumId="136">
    <w:nsid w:val="4A66051"/>
    <w:multiLevelType w:val="hybridMultilevel"/>
    <w:lvl w:ilvl="0">
      <w:lvlJc w:val="left"/>
      <w:lvlText w:val="*"/>
      <w:numFmt w:val="bullet"/>
      <w:start w:val="1"/>
    </w:lvl>
  </w:abstractNum>
  <w:abstractNum w:abstractNumId="137">
    <w:nsid w:val="20F4BDAD"/>
    <w:multiLevelType w:val="hybridMultilevel"/>
    <w:lvl w:ilvl="0">
      <w:lvlJc w:val="left"/>
      <w:lvlText w:val="(%1)"/>
      <w:numFmt w:val="decimal"/>
      <w:start w:val="1"/>
    </w:lvl>
  </w:abstractNum>
  <w:abstractNum w:abstractNumId="138">
    <w:nsid w:val="639DEFAC"/>
    <w:multiLevelType w:val="hybridMultilevel"/>
    <w:lvl w:ilvl="0">
      <w:lvlJc w:val="left"/>
      <w:lvlText w:val="(%1)"/>
      <w:numFmt w:val="decimal"/>
      <w:start w:val="2"/>
    </w:lvl>
  </w:abstractNum>
  <w:abstractNum w:abstractNumId="139">
    <w:nsid w:val="501F9786"/>
    <w:multiLevelType w:val="hybridMultilevel"/>
    <w:lvl w:ilvl="0">
      <w:lvlJc w:val="left"/>
      <w:lvlText w:val="(%1)"/>
      <w:numFmt w:val="decimal"/>
      <w:start w:val="3"/>
    </w:lvl>
  </w:abstractNum>
  <w:abstractNum w:abstractNumId="140">
    <w:nsid w:val="6B057295"/>
    <w:multiLevelType w:val="hybridMultilevel"/>
    <w:lvl w:ilvl="0">
      <w:lvlJc w:val="left"/>
      <w:lvlText w:val="•"/>
      <w:numFmt w:val="bullet"/>
      <w:start w:val="1"/>
    </w:lvl>
  </w:abstractNum>
  <w:abstractNum w:abstractNumId="141">
    <w:nsid w:val="2771AC80"/>
    <w:multiLevelType w:val="hybridMultilevel"/>
    <w:lvl w:ilvl="0">
      <w:lvlJc w:val="left"/>
      <w:lvlText w:val="•"/>
      <w:numFmt w:val="bullet"/>
      <w:start w:val="1"/>
    </w:lvl>
  </w:abstractNum>
  <w:abstractNum w:abstractNumId="142">
    <w:nsid w:val="1C4A08EC"/>
    <w:multiLevelType w:val="hybridMultilevel"/>
    <w:lvl w:ilvl="0">
      <w:lvlJc w:val="left"/>
      <w:lvlText w:val="•"/>
      <w:numFmt w:val="bullet"/>
      <w:start w:val="1"/>
    </w:lvl>
  </w:abstractNum>
  <w:abstractNum w:abstractNumId="143">
    <w:nsid w:val="1958BD17"/>
    <w:multiLevelType w:val="hybridMultilevel"/>
    <w:lvl w:ilvl="0">
      <w:lvlJc w:val="left"/>
      <w:lvlText w:val="•"/>
      <w:numFmt w:val="bullet"/>
      <w:start w:val="1"/>
    </w:lvl>
  </w:abstractNum>
  <w:abstractNum w:abstractNumId="144">
    <w:nsid w:val="4E647FE4"/>
    <w:multiLevelType w:val="hybridMultilevel"/>
    <w:lvl w:ilvl="0">
      <w:lvlJc w:val="left"/>
      <w:lvlText w:val="•"/>
      <w:numFmt w:val="bullet"/>
      <w:start w:val="1"/>
    </w:lvl>
  </w:abstractNum>
  <w:abstractNum w:abstractNumId="145">
    <w:nsid w:val="E0BB885"/>
    <w:multiLevelType w:val="hybridMultilevel"/>
    <w:lvl w:ilvl="0">
      <w:lvlJc w:val="left"/>
      <w:lvlText w:val="•"/>
      <w:numFmt w:val="bullet"/>
      <w:start w:val="1"/>
    </w:lvl>
  </w:abstractNum>
  <w:abstractNum w:abstractNumId="146">
    <w:nsid w:val="565976F1"/>
    <w:multiLevelType w:val="hybridMultilevel"/>
    <w:lvl w:ilvl="0">
      <w:lvlJc w:val="left"/>
      <w:lvlText w:val="•"/>
      <w:numFmt w:val="bullet"/>
      <w:start w:val="1"/>
    </w:lvl>
  </w:abstractNum>
  <w:abstractNum w:abstractNumId="147">
    <w:nsid w:val="64212B8C"/>
    <w:multiLevelType w:val="hybridMultilevel"/>
    <w:lvl w:ilvl="0">
      <w:lvlJc w:val="left"/>
      <w:lvlText w:val="•"/>
      <w:numFmt w:val="bullet"/>
      <w:start w:val="1"/>
    </w:lvl>
  </w:abstractNum>
  <w:abstractNum w:abstractNumId="148">
    <w:nsid w:val="5C17530C"/>
    <w:multiLevelType w:val="hybridMultilevel"/>
    <w:lvl w:ilvl="0">
      <w:lvlJc w:val="left"/>
      <w:lvlText w:val="(%1)"/>
      <w:numFmt w:val="lowerRoman"/>
      <w:start w:val="1"/>
    </w:lvl>
  </w:abstractNum>
  <w:abstractNum w:abstractNumId="149">
    <w:nsid w:val="19A52566"/>
    <w:multiLevelType w:val="hybridMultilevel"/>
    <w:lvl w:ilvl="0">
      <w:lvlJc w:val="left"/>
      <w:lvlText w:val="•"/>
      <w:numFmt w:val="bullet"/>
      <w:start w:val="1"/>
    </w:lvl>
  </w:abstractNum>
  <w:abstractNum w:abstractNumId="150">
    <w:nsid w:val="335A1DF1"/>
    <w:multiLevelType w:val="hybridMultilevel"/>
    <w:lvl w:ilvl="0">
      <w:lvlJc w:val="left"/>
      <w:lvlText w:val="•"/>
      <w:numFmt w:val="bullet"/>
      <w:start w:val="1"/>
    </w:lvl>
  </w:abstractNum>
  <w:abstractNum w:abstractNumId="151">
    <w:nsid w:val="28677B7C"/>
    <w:multiLevelType w:val="hybridMultilevel"/>
    <w:lvl w:ilvl="0">
      <w:lvlJc w:val="left"/>
      <w:lvlText w:val="•"/>
      <w:numFmt w:val="bullet"/>
      <w:start w:val="1"/>
    </w:lvl>
  </w:abstractNum>
  <w:abstractNum w:abstractNumId="152">
    <w:nsid w:val="378D97C0"/>
    <w:multiLevelType w:val="hybridMultilevel"/>
    <w:lvl w:ilvl="0">
      <w:lvlJc w:val="left"/>
      <w:lvlText w:val="•"/>
      <w:numFmt w:val="bullet"/>
      <w:start w:val="1"/>
    </w:lvl>
  </w:abstractNum>
  <w:abstractNum w:abstractNumId="153">
    <w:nsid w:val="1D91467C"/>
    <w:multiLevelType w:val="hybridMultilevel"/>
    <w:lvl w:ilvl="0">
      <w:lvlJc w:val="left"/>
      <w:lvlText w:val="$"/>
      <w:numFmt w:val="bullet"/>
      <w:start w:val="1"/>
    </w:lvl>
  </w:abstractNum>
  <w:abstractNum w:abstractNumId="154">
    <w:nsid w:val="316032BB"/>
    <w:multiLevelType w:val="hybridMultilevel"/>
    <w:lvl w:ilvl="0">
      <w:lvlJc w:val="left"/>
      <w:lvlText w:val="(%1)"/>
      <w:numFmt w:val="lowerRoman"/>
      <w:start w:val="1"/>
    </w:lvl>
  </w:abstractNum>
  <w:abstractNum w:abstractNumId="155">
    <w:nsid w:val="44344C22"/>
    <w:multiLevelType w:val="hybridMultilevel"/>
    <w:lvl w:ilvl="0">
      <w:lvlJc w:val="left"/>
      <w:lvlText w:val="(%1)"/>
      <w:numFmt w:val="lowerRoman"/>
      <w:start w:val="4"/>
    </w:lvl>
  </w:abstractNum>
  <w:abstractNum w:abstractNumId="156">
    <w:nsid w:val="13CDFCFC"/>
    <w:multiLevelType w:val="hybridMultilevel"/>
    <w:lvl w:ilvl="0">
      <w:lvlJc w:val="left"/>
      <w:lvlText w:val="%1)"/>
      <w:numFmt w:val="lowerLetter"/>
      <w:start w:val="1"/>
    </w:lvl>
  </w:abstractNum>
  <w:abstractNum w:abstractNumId="157">
    <w:nsid w:val="471745E4"/>
    <w:multiLevelType w:val="hybridMultilevel"/>
    <w:lvl w:ilvl="0">
      <w:lvlJc w:val="left"/>
      <w:lvlText w:val="%1)"/>
      <w:numFmt w:val="lowerLetter"/>
      <w:start w:val="1"/>
    </w:lvl>
  </w:abstractNum>
  <w:abstractNum w:abstractNumId="158">
    <w:nsid w:val="1DDBC66"/>
    <w:multiLevelType w:val="hybridMultilevel"/>
    <w:lvl w:ilvl="0">
      <w:lvlJc w:val="left"/>
      <w:lvlText w:val="%1)"/>
      <w:numFmt w:val="lowerLetter"/>
      <w:start w:val="1"/>
    </w:lvl>
  </w:abstractNum>
  <w:abstractNum w:abstractNumId="159">
    <w:nsid w:val="30AADFDA"/>
    <w:multiLevelType w:val="hybridMultilevel"/>
    <w:lvl w:ilvl="0">
      <w:lvlJc w:val="left"/>
      <w:lvlText w:val="(%1)"/>
      <w:numFmt w:val="lowerRoman"/>
      <w:start w:val="3"/>
    </w:lvl>
  </w:abstractNum>
  <w:abstractNum w:abstractNumId="160">
    <w:nsid w:val="30EADA61"/>
    <w:multiLevelType w:val="hybridMultilevel"/>
    <w:lvl w:ilvl="0">
      <w:lvlJc w:val="left"/>
      <w:lvlText w:val="(%1)"/>
      <w:numFmt w:val="lowerRoman"/>
      <w:start w:val="2"/>
    </w:lvl>
  </w:abstractNum>
  <w:abstractNum w:abstractNumId="161">
    <w:nsid w:val="27179C0B"/>
    <w:multiLevelType w:val="hybridMultilevel"/>
    <w:lvl w:ilvl="0">
      <w:lvlJc w:val="left"/>
      <w:lvlText w:val="%1)"/>
      <w:numFmt w:val="lowerLetter"/>
      <w:start w:val="1"/>
    </w:lvl>
  </w:abstractNum>
  <w:abstractNum w:abstractNumId="162">
    <w:nsid w:val="5E636063"/>
    <w:multiLevelType w:val="hybridMultilevel"/>
    <w:lvl w:ilvl="0">
      <w:lvlJc w:val="left"/>
      <w:lvlText w:val="%1)"/>
      <w:numFmt w:val="lowerLetter"/>
      <w:start w:val="1"/>
    </w:lvl>
  </w:abstractNum>
  <w:abstractNum w:abstractNumId="163">
    <w:nsid w:val="215641AF"/>
    <w:multiLevelType w:val="hybridMultilevel"/>
    <w:lvl w:ilvl="0">
      <w:lvlJc w:val="left"/>
      <w:lvlText w:val="(%1)"/>
      <w:numFmt w:val="lowerRoman"/>
      <w:start w:val="1"/>
    </w:lvl>
  </w:abstractNum>
  <w:abstractNum w:abstractNumId="164">
    <w:nsid w:val="53280662"/>
    <w:multiLevelType w:val="hybridMultilevel"/>
    <w:lvl w:ilvl="0">
      <w:lvlJc w:val="left"/>
      <w:lvlText w:val="%1)"/>
      <w:numFmt w:val="lowerLetter"/>
      <w:start w:val="1"/>
    </w:lvl>
    <w:lvl w:ilvl="1">
      <w:lvlJc w:val="left"/>
      <w:lvlText w:val="%2)"/>
      <w:numFmt w:val="lowerLetter"/>
      <w:start w:val="9"/>
    </w:lvl>
  </w:abstractNum>
  <w:abstractNum w:abstractNumId="165">
    <w:nsid w:val="46B24DBC"/>
    <w:multiLevelType w:val="hybridMultilevel"/>
    <w:lvl w:ilvl="0">
      <w:lvlJc w:val="left"/>
      <w:lvlText w:val="%1"/>
      <w:numFmt w:val="lowerLetter"/>
      <w:start w:val="1"/>
    </w:lvl>
    <w:lvl w:ilvl="1">
      <w:lvlJc w:val="left"/>
      <w:lvlText w:val="%2)"/>
      <w:numFmt w:val="lowerLetter"/>
      <w:start w:val="35"/>
    </w:lvl>
  </w:abstractNum>
  <w:abstractNum w:abstractNumId="166">
    <w:nsid w:val="75B52783"/>
    <w:multiLevelType w:val="hybridMultilevel"/>
    <w:lvl w:ilvl="0">
      <w:lvlJc w:val="left"/>
      <w:lvlText w:val="%1)"/>
      <w:numFmt w:val="lowerLetter"/>
      <w:start w:val="4"/>
    </w:lvl>
    <w:lvl w:ilvl="1">
      <w:lvlJc w:val="left"/>
      <w:lvlText w:val="%2"/>
      <w:numFmt w:val="lowerLetter"/>
      <w:start w:val="1"/>
    </w:lvl>
  </w:abstractNum>
  <w:abstractNum w:abstractNumId="167">
    <w:nsid w:val="57CE66B4"/>
    <w:multiLevelType w:val="hybridMultilevel"/>
    <w:lvl w:ilvl="0">
      <w:lvlJc w:val="left"/>
      <w:lvlText w:val="%1."/>
      <w:numFmt w:val="decimal"/>
      <w:start w:val="2"/>
    </w:lvl>
    <w:lvl w:ilvl="1">
      <w:lvlJc w:val="left"/>
      <w:lvlText w:val="%2)"/>
      <w:numFmt w:val="lowerLetter"/>
      <w:start w:val="1"/>
    </w:lvl>
  </w:abstractNum>
  <w:abstractNum w:abstractNumId="168">
    <w:nsid w:val="67A70B69"/>
    <w:multiLevelType w:val="hybridMultilevel"/>
    <w:lvl w:ilvl="0">
      <w:lvlJc w:val="left"/>
      <w:lvlText w:val="%1."/>
      <w:numFmt w:val="decimal"/>
      <w:start w:val="1"/>
    </w:lvl>
  </w:abstractNum>
  <w:abstractNum w:abstractNumId="169">
    <w:nsid w:val="5953172F"/>
    <w:multiLevelType w:val="hybridMultilevel"/>
    <w:lvl w:ilvl="0">
      <w:lvlJc w:val="left"/>
      <w:lvlText w:val="%1."/>
      <w:numFmt w:val="decimal"/>
      <w:start w:val="2"/>
    </w:lvl>
  </w:abstractNum>
  <w:abstractNum w:abstractNumId="170">
    <w:nsid w:val="27EDFE3A"/>
    <w:multiLevelType w:val="hybridMultilevel"/>
    <w:lvl w:ilvl="0">
      <w:lvlJc w:val="left"/>
      <w:lvlText w:val="%1."/>
      <w:numFmt w:val="decimal"/>
      <w:start w:val="3"/>
    </w:lvl>
  </w:abstractNum>
  <w:abstractNum w:abstractNumId="171">
    <w:nsid w:val="52AC7DFF"/>
    <w:multiLevelType w:val="hybridMultilevel"/>
    <w:lvl w:ilvl="0">
      <w:lvlJc w:val="left"/>
      <w:lvlText w:val="%1."/>
      <w:numFmt w:val="decimal"/>
      <w:start w:val="4"/>
    </w:lvl>
  </w:abstractNum>
  <w:abstractNum w:abstractNumId="172">
    <w:nsid w:val="C4C3AF"/>
    <w:multiLevelType w:val="hybridMultilevel"/>
    <w:lvl w:ilvl="0">
      <w:lvlJc w:val="left"/>
      <w:lvlText w:val="%1."/>
      <w:numFmt w:val="decimal"/>
      <w:start w:val="1"/>
    </w:lvl>
  </w:abstractNum>
  <w:abstractNum w:abstractNumId="173">
    <w:nsid w:val="44380727"/>
    <w:multiLevelType w:val="hybridMultilevel"/>
    <w:lvl w:ilvl="0">
      <w:lvlJc w:val="left"/>
      <w:lvlText w:val="%1."/>
      <w:numFmt w:val="decimal"/>
      <w:start w:val="2"/>
    </w:lvl>
  </w:abstractNum>
  <w:abstractNum w:abstractNumId="174">
    <w:nsid w:val="6C053B16"/>
    <w:multiLevelType w:val="hybridMultilevel"/>
    <w:lvl w:ilvl="0">
      <w:lvlJc w:val="left"/>
      <w:lvlText w:val="%1."/>
      <w:numFmt w:val="decimal"/>
      <w:start w:val="3"/>
    </w:lvl>
  </w:abstractNum>
  <w:abstractNum w:abstractNumId="175">
    <w:nsid w:val="4F294393"/>
    <w:multiLevelType w:val="hybridMultilevel"/>
    <w:lvl w:ilvl="0">
      <w:lvlJc w:val="left"/>
      <w:lvlText w:val="%1."/>
      <w:numFmt w:val="decimal"/>
      <w:start w:val="1"/>
    </w:lvl>
  </w:abstractNum>
  <w:abstractNum w:abstractNumId="176">
    <w:nsid w:val="5243BFAC"/>
    <w:multiLevelType w:val="hybridMultilevel"/>
    <w:lvl w:ilvl="0">
      <w:lvlJc w:val="left"/>
      <w:lvlText w:val="%1."/>
      <w:numFmt w:val="decimal"/>
      <w:start w:val="2"/>
    </w:lvl>
  </w:abstractNum>
  <w:abstractNum w:abstractNumId="177">
    <w:nsid w:val="425EB207"/>
    <w:multiLevelType w:val="hybridMultilevel"/>
    <w:lvl w:ilvl="0">
      <w:lvlJc w:val="left"/>
      <w:lvlText w:val="%1."/>
      <w:numFmt w:val="decimal"/>
      <w:start w:val="4"/>
    </w:lvl>
  </w:abstractNum>
  <w:abstractNum w:abstractNumId="178">
    <w:nsid w:val="334A6F1F"/>
    <w:multiLevelType w:val="hybridMultilevel"/>
    <w:lvl w:ilvl="0">
      <w:lvlJc w:val="left"/>
      <w:lvlText w:val="1"/>
      <w:numFmt w:val="bullet"/>
      <w:start w:val="1"/>
    </w:lvl>
  </w:abstractNum>
  <w:abstractNum w:abstractNumId="179">
    <w:nsid w:val="2E5B12B8"/>
    <w:multiLevelType w:val="hybridMultilevel"/>
    <w:lvl w:ilvl="0">
      <w:lvlJc w:val="left"/>
      <w:lvlText w:val="(%1)"/>
      <w:numFmt w:val="decimal"/>
      <w:start w:val="1"/>
    </w:lvl>
  </w:abstractNum>
  <w:abstractNum w:abstractNumId="180">
    <w:nsid w:val="5C03D76D"/>
    <w:multiLevelType w:val="hybridMultilevel"/>
    <w:lvl w:ilvl="0">
      <w:lvlJc w:val="left"/>
      <w:lvlText w:val="%1."/>
      <w:numFmt w:val="decimal"/>
      <w:start w:val="5"/>
    </w:lvl>
  </w:abstractNum>
  <w:abstractNum w:abstractNumId="181">
    <w:nsid w:val="66A48D11"/>
    <w:multiLevelType w:val="hybridMultilevel"/>
    <w:lvl w:ilvl="0">
      <w:lvlJc w:val="left"/>
      <w:lvlText w:val="%1."/>
      <w:numFmt w:val="decimal"/>
      <w:start w:val="6"/>
    </w:lvl>
  </w:abstractNum>
  <w:abstractNum w:abstractNumId="182">
    <w:nsid w:val="56C28E34"/>
    <w:multiLevelType w:val="hybridMultilevel"/>
    <w:lvl w:ilvl="0">
      <w:lvlJc w:val="left"/>
      <w:lvlText w:val="%1."/>
      <w:numFmt w:val="decimal"/>
      <w:start w:val="7"/>
    </w:lvl>
  </w:abstractNum>
  <w:abstractNum w:abstractNumId="183">
    <w:nsid w:val="13916F2D"/>
    <w:multiLevelType w:val="hybridMultilevel"/>
    <w:lvl w:ilvl="0">
      <w:lvlJc w:val="left"/>
      <w:lvlText w:val="%1."/>
      <w:numFmt w:val="decimal"/>
      <w:start w:val="8"/>
    </w:lvl>
  </w:abstractNum>
  <w:abstractNum w:abstractNumId="184">
    <w:nsid w:val="435D38D"/>
    <w:multiLevelType w:val="hybridMultilevel"/>
    <w:lvl w:ilvl="0">
      <w:lvlJc w:val="left"/>
      <w:lvlText w:val="%1."/>
      <w:numFmt w:val="decimal"/>
      <w:start w:val="9"/>
    </w:lvl>
  </w:abstractNum>
  <w:abstractNum w:abstractNumId="185">
    <w:nsid w:val="822C0EF"/>
    <w:multiLevelType w:val="hybridMultilevel"/>
    <w:lvl w:ilvl="0">
      <w:lvlJc w:val="left"/>
      <w:lvlText w:val="%1."/>
      <w:numFmt w:val="decimal"/>
      <w:start w:val="10"/>
    </w:lvl>
  </w:abstractNum>
  <w:abstractNum w:abstractNumId="186">
    <w:nsid w:val="57C5BB4F"/>
    <w:multiLevelType w:val="hybridMultilevel"/>
    <w:lvl w:ilvl="0">
      <w:lvlJc w:val="left"/>
      <w:lvlText w:val="%1."/>
      <w:numFmt w:val="decimal"/>
      <w:start w:val="11"/>
    </w:lvl>
  </w:abstractNum>
  <w:abstractNum w:abstractNumId="187">
    <w:nsid w:val="1803D089"/>
    <w:multiLevelType w:val="hybridMultilevel"/>
    <w:lvl w:ilvl="0">
      <w:lvlJc w:val="left"/>
      <w:lvlText w:val="%1."/>
      <w:numFmt w:val="decimal"/>
      <w:start w:val="12"/>
    </w:lvl>
  </w:abstractNum>
  <w:abstractNum w:abstractNumId="188">
    <w:nsid w:val="4F3A06D4"/>
    <w:multiLevelType w:val="hybridMultilevel"/>
    <w:lvl w:ilvl="0">
      <w:lvlJc w:val="left"/>
      <w:lvlText w:val="%1."/>
      <w:numFmt w:val="decimal"/>
      <w:start w:val="13"/>
    </w:lvl>
  </w:abstractNum>
  <w:abstractNum w:abstractNumId="189">
    <w:nsid w:val="59A377B6"/>
    <w:multiLevelType w:val="hybridMultilevel"/>
    <w:lvl w:ilvl="0">
      <w:lvlJc w:val="left"/>
      <w:lvlText w:val="%1."/>
      <w:numFmt w:val="decimal"/>
      <w:start w:val="14"/>
    </w:lvl>
  </w:abstractNum>
  <w:abstractNum w:abstractNumId="190">
    <w:nsid w:val="48AEB063"/>
    <w:multiLevelType w:val="hybridMultilevel"/>
    <w:lvl w:ilvl="0">
      <w:lvlJc w:val="left"/>
      <w:lvlText w:val="%1."/>
      <w:numFmt w:val="decimal"/>
      <w:start w:val="15"/>
    </w:lvl>
  </w:abstractNum>
  <w:abstractNum w:abstractNumId="191">
    <w:nsid w:val="24E135"/>
    <w:multiLevelType w:val="hybridMultilevel"/>
    <w:lvl w:ilvl="0">
      <w:lvlJc w:val="left"/>
      <w:lvlText w:val="%1."/>
      <w:numFmt w:val="decimal"/>
      <w:start w:val="16"/>
    </w:lvl>
  </w:abstractNum>
  <w:abstractNum w:abstractNumId="192">
    <w:nsid w:val="BB13C1"/>
    <w:multiLevelType w:val="hybridMultilevel"/>
    <w:lvl w:ilvl="0">
      <w:lvlJc w:val="left"/>
      <w:lvlText w:val="%1."/>
      <w:numFmt w:val="decimal"/>
      <w:start w:val="17"/>
    </w:lvl>
  </w:abstractNum>
  <w:abstractNum w:abstractNumId="193">
    <w:nsid w:val="271210C7"/>
    <w:multiLevelType w:val="hybridMultilevel"/>
    <w:lvl w:ilvl="0">
      <w:lvlJc w:val="left"/>
      <w:lvlText w:val="%1."/>
      <w:numFmt w:val="decimal"/>
      <w:start w:val="18"/>
    </w:lvl>
  </w:abstractNum>
  <w:abstractNum w:abstractNumId="194">
    <w:nsid w:val="217B22E4"/>
    <w:multiLevelType w:val="hybridMultilevel"/>
    <w:lvl w:ilvl="0">
      <w:lvlJc w:val="left"/>
      <w:lvlText w:val="%1."/>
      <w:numFmt w:val="decimal"/>
      <w:start w:val="19"/>
    </w:lvl>
  </w:abstractNum>
  <w:abstractNum w:abstractNumId="195">
    <w:nsid w:val="53E31A24"/>
    <w:multiLevelType w:val="hybridMultilevel"/>
    <w:lvl w:ilvl="0">
      <w:lvlJc w:val="left"/>
      <w:lvlText w:val="(%1)"/>
      <w:numFmt w:val="decimal"/>
      <w:start w:val="1"/>
    </w:lvl>
  </w:abstractNum>
  <w:abstractNum w:abstractNumId="196">
    <w:nsid w:val="6DC45E83"/>
    <w:multiLevelType w:val="hybridMultilevel"/>
    <w:lvl w:ilvl="0">
      <w:lvlJc w:val="left"/>
      <w:lvlText w:val="%1."/>
      <w:numFmt w:val="decimal"/>
      <w:start w:val="1"/>
    </w:lvl>
  </w:abstractNum>
  <w:abstractNum w:abstractNumId="197">
    <w:nsid w:val="17304A67"/>
    <w:multiLevelType w:val="hybridMultilevel"/>
    <w:lvl w:ilvl="0">
      <w:lvlJc w:val="left"/>
      <w:lvlText w:val="%1."/>
      <w:numFmt w:val="decimal"/>
      <w:start w:val="15"/>
    </w:lvl>
  </w:abstractNum>
  <w:abstractNum w:abstractNumId="198">
    <w:nsid w:val="2BB180D8"/>
    <w:multiLevelType w:val="hybridMultilevel"/>
    <w:lvl w:ilvl="0">
      <w:lvlJc w:val="left"/>
      <w:lvlText w:val="%1."/>
      <w:numFmt w:val="decimal"/>
      <w:start w:val="2"/>
    </w:lvl>
  </w:abstractNum>
  <w:abstractNum w:abstractNumId="199">
    <w:nsid w:val="556B69ED"/>
    <w:multiLevelType w:val="hybridMultilevel"/>
    <w:lvl w:ilvl="0">
      <w:lvlJc w:val="left"/>
      <w:lvlText w:val="%1."/>
      <w:numFmt w:val="decimal"/>
      <w:start w:val="3"/>
    </w:lvl>
  </w:abstractNum>
  <w:abstractNum w:abstractNumId="200">
    <w:nsid w:val="70836196"/>
    <w:multiLevelType w:val="hybridMultilevel"/>
    <w:lvl w:ilvl="0">
      <w:lvlJc w:val="left"/>
      <w:lvlText w:val="%1."/>
      <w:numFmt w:val="decimal"/>
      <w:start w:val="4"/>
    </w:lvl>
  </w:abstractNum>
  <w:abstractNum w:abstractNumId="201">
    <w:nsid w:val="539F7F12"/>
    <w:multiLevelType w:val="hybridMultilevel"/>
    <w:lvl w:ilvl="0">
      <w:lvlJc w:val="left"/>
      <w:lvlText w:val="%1."/>
      <w:numFmt w:val="decimal"/>
      <w:start w:val="5"/>
    </w:lvl>
  </w:abstractNum>
  <w:abstractNum w:abstractNumId="202">
    <w:nsid w:val="2817E7EC"/>
    <w:multiLevelType w:val="hybridMultilevel"/>
    <w:lvl w:ilvl="0">
      <w:lvlJc w:val="left"/>
      <w:lvlText w:val="%1."/>
      <w:numFmt w:val="decimal"/>
      <w:start w:val="7"/>
    </w:lvl>
  </w:abstractNum>
  <w:abstractNum w:abstractNumId="203">
    <w:nsid w:val="71482545"/>
    <w:multiLevelType w:val="hybridMultilevel"/>
    <w:lvl w:ilvl="0">
      <w:lvlJc w:val="left"/>
      <w:lvlText w:val="%1."/>
      <w:numFmt w:val="decimal"/>
      <w:start w:val="8"/>
    </w:lvl>
  </w:abstractNum>
  <w:abstractNum w:abstractNumId="204">
    <w:nsid w:val="17D78639"/>
    <w:multiLevelType w:val="hybridMultilevel"/>
    <w:lvl w:ilvl="0">
      <w:lvlJc w:val="left"/>
      <w:lvlText w:val="%1."/>
      <w:numFmt w:val="decimal"/>
      <w:start w:val="9"/>
    </w:lvl>
  </w:abstractNum>
  <w:abstractNum w:abstractNumId="205">
    <w:nsid w:val="141D2302"/>
    <w:multiLevelType w:val="hybridMultilevel"/>
    <w:lvl w:ilvl="0">
      <w:lvlJc w:val="left"/>
      <w:lvlText w:val="%1."/>
      <w:numFmt w:val="decimal"/>
      <w:start w:val="10"/>
    </w:lvl>
  </w:abstractNum>
  <w:abstractNum w:abstractNumId="206">
    <w:nsid w:val="407168D8"/>
    <w:multiLevelType w:val="hybridMultilevel"/>
    <w:lvl w:ilvl="0">
      <w:lvlJc w:val="left"/>
      <w:lvlText w:val="%1."/>
      <w:numFmt w:val="decimal"/>
      <w:start w:val="11"/>
    </w:lvl>
  </w:abstractNum>
  <w:abstractNum w:abstractNumId="207">
    <w:nsid w:val="6A1B45E5"/>
    <w:multiLevelType w:val="hybridMultilevel"/>
    <w:lvl w:ilvl="0">
      <w:lvlJc w:val="left"/>
      <w:lvlText w:val="%1."/>
      <w:numFmt w:val="decimal"/>
      <w:start w:val="12"/>
    </w:lvl>
  </w:abstractNum>
  <w:abstractNum w:abstractNumId="208">
    <w:nsid w:val="567BD50A"/>
    <w:multiLevelType w:val="hybridMultilevel"/>
    <w:lvl w:ilvl="0">
      <w:lvlJc w:val="left"/>
      <w:lvlText w:val="%1."/>
      <w:numFmt w:val="decimal"/>
      <w:start w:val="13"/>
    </w:lvl>
  </w:abstractNum>
  <w:abstractNum w:abstractNumId="209">
    <w:nsid w:val="73BBD7F8"/>
    <w:multiLevelType w:val="hybridMultilevel"/>
    <w:lvl w:ilvl="0">
      <w:lvlJc w:val="left"/>
      <w:lvlText w:val="%1."/>
      <w:numFmt w:val="decimal"/>
      <w:start w:val="14"/>
    </w:lvl>
  </w:abstractNum>
  <w:abstractNum w:abstractNumId="210">
    <w:nsid w:val="1876589D"/>
    <w:multiLevelType w:val="hybridMultilevel"/>
    <w:lvl w:ilvl="0">
      <w:lvlJc w:val="left"/>
      <w:lvlText w:val="%1."/>
      <w:numFmt w:val="decimal"/>
      <w:start w:val="15"/>
    </w:lvl>
  </w:abstractNum>
  <w:abstractNum w:abstractNumId="211">
    <w:nsid w:val="327FAC77"/>
    <w:multiLevelType w:val="hybridMultilevel"/>
    <w:lvl w:ilvl="0">
      <w:lvlJc w:val="left"/>
      <w:lvlText w:val="%1."/>
      <w:numFmt w:val="decimal"/>
      <w:start w:val="16"/>
    </w:lvl>
  </w:abstractNum>
  <w:abstractNum w:abstractNumId="212">
    <w:nsid w:val="5A606509"/>
    <w:multiLevelType w:val="hybridMultilevel"/>
    <w:lvl w:ilvl="0">
      <w:lvlJc w:val="left"/>
      <w:lvlText w:val="$"/>
      <w:numFmt w:val="bullet"/>
      <w:start w:val="1"/>
    </w:lvl>
  </w:abstractNum>
  <w:abstractNum w:abstractNumId="213">
    <w:nsid w:val="6F38E6D1"/>
    <w:multiLevelType w:val="hybridMultilevel"/>
    <w:lvl w:ilvl="0">
      <w:lvlJc w:val="left"/>
      <w:lvlText w:val="$"/>
      <w:numFmt w:val="bullet"/>
      <w:start w:val="1"/>
    </w:lvl>
  </w:abstractNum>
  <w:abstractNum w:abstractNumId="214">
    <w:nsid w:val="46111BA5"/>
    <w:multiLevelType w:val="hybridMultilevel"/>
    <w:lvl w:ilvl="0">
      <w:lvlJc w:val="left"/>
      <w:lvlText w:val="%1."/>
      <w:numFmt w:val="decimal"/>
      <w:start w:val="17"/>
    </w:lvl>
  </w:abstractNum>
  <w:abstractNum w:abstractNumId="215">
    <w:nsid w:val="5E963896"/>
    <w:multiLevelType w:val="hybridMultilevel"/>
    <w:lvl w:ilvl="0">
      <w:lvlJc w:val="left"/>
      <w:lvlText w:val="%1."/>
      <w:numFmt w:val="decimal"/>
      <w:start w:val="18"/>
    </w:lvl>
  </w:abstractNum>
  <w:abstractNum w:abstractNumId="216">
    <w:nsid w:val="775BA7C1"/>
    <w:multiLevelType w:val="hybridMultilevel"/>
    <w:lvl w:ilvl="0">
      <w:lvlJc w:val="left"/>
      <w:lvlText w:val="%1."/>
      <w:numFmt w:val="decimal"/>
      <w:start w:val="19"/>
    </w:lvl>
  </w:abstractNum>
  <w:abstractNum w:abstractNumId="217">
    <w:nsid w:val="1DD6D6F4"/>
    <w:multiLevelType w:val="hybridMultilevel"/>
    <w:lvl w:ilvl="0">
      <w:lvlJc w:val="left"/>
      <w:lvlText w:val="%1."/>
      <w:numFmt w:val="decimal"/>
      <w:start w:val="20"/>
    </w:lvl>
  </w:abstractNum>
  <w:abstractNum w:abstractNumId="218">
    <w:nsid w:val="769A091F"/>
    <w:multiLevelType w:val="hybridMultilevel"/>
    <w:lvl w:ilvl="0">
      <w:lvlJc w:val="left"/>
      <w:lvlText w:val="•"/>
      <w:numFmt w:val="bullet"/>
      <w:start w:val="1"/>
    </w:lvl>
  </w:abstractNum>
  <w:abstractNum w:abstractNumId="219">
    <w:nsid w:val="4695AE95"/>
    <w:multiLevelType w:val="hybridMultilevel"/>
    <w:lvl w:ilvl="0">
      <w:lvlJc w:val="left"/>
      <w:lvlText w:val="•"/>
      <w:numFmt w:val="bullet"/>
      <w:start w:val="1"/>
    </w:lvl>
  </w:abstractNum>
  <w:abstractNum w:abstractNumId="220">
    <w:nsid w:val="777A4EAA"/>
    <w:multiLevelType w:val="hybridMultilevel"/>
    <w:lvl w:ilvl="0">
      <w:lvlJc w:val="left"/>
      <w:lvlText w:val="(%1)"/>
      <w:numFmt w:val="lowerLetter"/>
      <w:start w:val="2"/>
    </w:lvl>
  </w:abstractNum>
  <w:abstractNum w:abstractNumId="221">
    <w:nsid w:val="3F48B982"/>
    <w:multiLevelType w:val="hybridMultilevel"/>
    <w:lvl w:ilvl="0">
      <w:lvlJc w:val="left"/>
      <w:lvlText w:val="(%1)"/>
      <w:numFmt w:val="decimal"/>
      <w:start w:val="1"/>
    </w:lvl>
  </w:abstractNum>
  <w:abstractNum w:abstractNumId="222">
    <w:nsid w:val="46BA8FCA"/>
    <w:multiLevelType w:val="hybridMultilevel"/>
    <w:lvl w:ilvl="0">
      <w:lvlJc w:val="left"/>
      <w:lvlText w:val="%1."/>
      <w:numFmt w:val="decimal"/>
      <w:start w:val="1"/>
    </w:lvl>
  </w:abstractNum>
  <w:abstractNum w:abstractNumId="223">
    <w:nsid w:val="7835626C"/>
    <w:multiLevelType w:val="hybridMultilevel"/>
    <w:lvl w:ilvl="0">
      <w:lvlJc w:val="left"/>
      <w:lvlText w:val="%1."/>
      <w:numFmt w:val="decimal"/>
      <w:start w:val="2"/>
    </w:lvl>
  </w:abstractNum>
  <w:abstractNum w:abstractNumId="224">
    <w:nsid w:val="665ACA49"/>
    <w:multiLevelType w:val="hybridMultilevel"/>
    <w:lvl w:ilvl="0">
      <w:lvlJc w:val="left"/>
      <w:lvlText w:val="(%1)"/>
      <w:numFmt w:val="lowerLetter"/>
      <w:start w:val="2"/>
    </w:lvl>
  </w:abstractNum>
  <w:abstractNum w:abstractNumId="225">
    <w:nsid w:val="6835B2AE"/>
    <w:multiLevelType w:val="hybridMultilevel"/>
    <w:lvl w:ilvl="0">
      <w:lvlJc w:val="left"/>
      <w:lvlText w:val="(%1)"/>
      <w:numFmt w:val="lowerLetter"/>
      <w:start w:val="4"/>
    </w:lvl>
  </w:abstractNum>
  <w:abstractNum w:abstractNumId="226">
    <w:nsid w:val="4C187C90"/>
    <w:multiLevelType w:val="hybridMultilevel"/>
    <w:lvl w:ilvl="0">
      <w:lvlJc w:val="left"/>
      <w:lvlText w:val="%1."/>
      <w:numFmt w:val="decimal"/>
      <w:start w:val="3"/>
    </w:lvl>
  </w:abstractNum>
  <w:abstractNum w:abstractNumId="227">
    <w:nsid w:val="541F28CD"/>
    <w:multiLevelType w:val="hybridMultilevel"/>
    <w:lvl w:ilvl="0">
      <w:lvlJc w:val="left"/>
      <w:lvlText w:val="(%1)"/>
      <w:numFmt w:val="lowerLetter"/>
      <w:start w:val="1"/>
    </w:lvl>
  </w:abstractNum>
  <w:abstractNum w:abstractNumId="228">
    <w:nsid w:val="7F65FD16"/>
    <w:multiLevelType w:val="hybridMultilevel"/>
    <w:lvl w:ilvl="0">
      <w:lvlJc w:val="left"/>
      <w:lvlText w:val="%1"/>
      <w:numFmt w:val="lowerLetter"/>
      <w:start w:val="1"/>
    </w:lvl>
    <w:lvl w:ilvl="1">
      <w:lvlJc w:val="left"/>
      <w:lvlText w:val="(%2)"/>
      <w:numFmt w:val="lowerLetter"/>
      <w:start w:val="3"/>
    </w:lvl>
  </w:abstractNum>
  <w:abstractNum w:abstractNumId="229">
    <w:nsid w:val="77C9FD68"/>
    <w:multiLevelType w:val="hybridMultilevel"/>
    <w:lvl w:ilvl="0">
      <w:lvlJc w:val="left"/>
      <w:lvlText w:val="(%1)"/>
      <w:numFmt w:val="lowerLetter"/>
      <w:start w:val="9"/>
    </w:lvl>
    <w:lvl w:ilvl="1">
      <w:lvlJc w:val="left"/>
      <w:lvlText w:val="(%2)"/>
      <w:numFmt w:val="lowerLetter"/>
      <w:start w:val="4"/>
    </w:lvl>
  </w:abstractNum>
  <w:abstractNum w:abstractNumId="230">
    <w:nsid w:val="298A92BA"/>
    <w:multiLevelType w:val="hybridMultilevel"/>
    <w:lvl w:ilvl="0">
      <w:lvlJc w:val="left"/>
      <w:lvlText w:val="(%1)"/>
      <w:numFmt w:val="lowerLetter"/>
      <w:start w:val="6"/>
    </w:lvl>
  </w:abstractNum>
  <w:abstractNum w:abstractNumId="231">
    <w:nsid w:val="6FE95EAC"/>
    <w:multiLevelType w:val="hybridMultilevel"/>
    <w:lvl w:ilvl="0">
      <w:lvlJc w:val="left"/>
      <w:lvlText w:val="(%1)"/>
      <w:numFmt w:val="lowerLetter"/>
      <w:start w:val="8"/>
    </w:lvl>
  </w:abstractNum>
  <w:abstractNum w:abstractNumId="232">
    <w:nsid w:val="4B697C7A"/>
    <w:multiLevelType w:val="hybridMultilevel"/>
    <w:lvl w:ilvl="0">
      <w:lvlJc w:val="left"/>
      <w:lvlText w:val="(%1)"/>
      <w:numFmt w:val="lowerLetter"/>
      <w:start w:val="11"/>
    </w:lvl>
  </w:abstractNum>
  <w:abstractNum w:abstractNumId="233">
    <w:nsid w:val="51A27AA6"/>
    <w:multiLevelType w:val="hybridMultilevel"/>
    <w:lvl w:ilvl="0">
      <w:lvlJc w:val="left"/>
      <w:lvlText w:val="(%1)"/>
      <w:numFmt w:val="lowerLetter"/>
      <w:start w:val="13"/>
    </w:lvl>
  </w:abstractNum>
  <w:abstractNum w:abstractNumId="234">
    <w:nsid w:val="613183F2"/>
    <w:multiLevelType w:val="hybridMultilevel"/>
    <w:lvl w:ilvl="0">
      <w:lvlJc w:val="left"/>
      <w:lvlText w:val="(%1)"/>
      <w:numFmt w:val="lowerLetter"/>
      <w:start w:val="18"/>
    </w:lvl>
  </w:abstractNum>
  <w:abstractNum w:abstractNumId="235">
    <w:nsid w:val="634102B4"/>
    <w:multiLevelType w:val="hybridMultilevel"/>
    <w:lvl w:ilvl="0">
      <w:lvlJc w:val="left"/>
      <w:lvlText w:val="(%1)"/>
      <w:numFmt w:val="lowerLetter"/>
      <w:start w:val="22"/>
    </w:lvl>
  </w:abstractNum>
  <w:abstractNum w:abstractNumId="236">
    <w:nsid w:val="65BF9DA8"/>
    <w:multiLevelType w:val="hybridMultilevel"/>
    <w:lvl w:ilvl="0">
      <w:lvlJc w:val="left"/>
      <w:lvlText w:val="(%1)"/>
      <w:numFmt w:val="lowerLetter"/>
      <w:start w:val="26"/>
    </w:lvl>
  </w:abstractNum>
  <w:abstractNum w:abstractNumId="237">
    <w:nsid w:val="21A2ECCA"/>
    <w:multiLevelType w:val="hybridMultilevel"/>
    <w:lvl w:ilvl="0">
      <w:lvlJc w:val="left"/>
      <w:lvlText w:val="(%1)"/>
      <w:numFmt w:val="lowerLetter"/>
      <w:start w:val="27"/>
    </w:lvl>
  </w:abstractNum>
  <w:abstractNum w:abstractNumId="238">
    <w:nsid w:val="4D5C4899"/>
    <w:multiLevelType w:val="hybridMultilevel"/>
    <w:lvl w:ilvl="0">
      <w:lvlJc w:val="left"/>
      <w:lvlText w:val="(%1)"/>
      <w:numFmt w:val="lowerLetter"/>
      <w:start w:val="29"/>
    </w:lvl>
  </w:abstractNum>
  <w:abstractNum w:abstractNumId="239">
    <w:nsid w:val="3C3B72B2"/>
    <w:multiLevelType w:val="hybridMultilevel"/>
    <w:lvl w:ilvl="0">
      <w:lvlJc w:val="left"/>
      <w:lvlText w:val="%1"/>
      <w:numFmt w:val="lowerRoman"/>
      <w:start w:val="1"/>
    </w:lvl>
    <w:lvl w:ilvl="1">
      <w:lvlJc w:val="left"/>
      <w:lvlText w:val="(%2)"/>
      <w:numFmt w:val="lowerLetter"/>
      <w:start w:val="31"/>
    </w:lvl>
  </w:abstractNum>
  <w:abstractNum w:abstractNumId="240">
    <w:nsid w:val="155EC4C2"/>
    <w:multiLevelType w:val="hybridMultilevel"/>
    <w:lvl w:ilvl="0">
      <w:lvlJc w:val="left"/>
      <w:lvlText w:val="(%1)"/>
      <w:numFmt w:val="lowerRoman"/>
      <w:start w:val="1"/>
    </w:lvl>
    <w:lvl w:ilvl="1">
      <w:lvlJc w:val="left"/>
      <w:lvlText w:val="(%2)"/>
      <w:numFmt w:val="lowerLetter"/>
      <w:start w:val="32"/>
    </w:lvl>
  </w:abstractNum>
  <w:abstractNum w:abstractNumId="241">
    <w:nsid w:val="65D2A137"/>
    <w:multiLevelType w:val="hybridMultilevel"/>
    <w:lvl w:ilvl="0">
      <w:lvlJc w:val="left"/>
      <w:lvlText w:val="%1"/>
      <w:numFmt w:val="lowerRoman"/>
      <w:start w:val="1"/>
    </w:lvl>
    <w:lvl w:ilvl="1">
      <w:lvlJc w:val="left"/>
      <w:lvlText w:val="(%2)"/>
      <w:numFmt w:val="lowerLetter"/>
      <w:start w:val="34"/>
    </w:lvl>
  </w:abstractNum>
  <w:abstractNum w:abstractNumId="242">
    <w:nsid w:val="6EBB1F2A"/>
    <w:multiLevelType w:val="hybridMultilevel"/>
    <w:lvl w:ilvl="0">
      <w:lvlJc w:val="left"/>
      <w:lvlText w:val="(%1)"/>
      <w:numFmt w:val="lowerRoman"/>
      <w:start w:val="4"/>
    </w:lvl>
    <w:lvl w:ilvl="1">
      <w:lvlJc w:val="left"/>
      <w:lvlText w:val="%2"/>
      <w:numFmt w:val="lowerLetter"/>
      <w:start w:val="1"/>
    </w:lvl>
  </w:abstractNum>
  <w:abstractNum w:abstractNumId="243">
    <w:nsid w:val="6FBF29CB"/>
    <w:multiLevelType w:val="hybridMultilevel"/>
    <w:lvl w:ilvl="0">
      <w:lvlJc w:val="left"/>
      <w:lvlText w:val="%1"/>
      <w:numFmt w:val="upperLetter"/>
      <w:start w:val="1"/>
    </w:lvl>
    <w:lvl w:ilvl="1">
      <w:lvlJc w:val="left"/>
      <w:lvlText w:val="(%2)"/>
      <w:numFmt w:val="lowerLetter"/>
      <w:start w:val="36"/>
    </w:lvl>
  </w:abstractNum>
  <w:abstractNum w:abstractNumId="244">
    <w:nsid w:val="550B8808"/>
    <w:multiLevelType w:val="hybridMultilevel"/>
    <w:lvl w:ilvl="0">
      <w:lvlJc w:val="left"/>
      <w:lvlText w:val="(%1)"/>
      <w:numFmt w:val="upperLetter"/>
      <w:start w:val="2"/>
    </w:lvl>
    <w:lvl w:ilvl="1">
      <w:lvlJc w:val="left"/>
      <w:lvlText w:val="(%2)"/>
      <w:numFmt w:val="lowerLetter"/>
      <w:start w:val="38"/>
    </w:lvl>
  </w:abstractNum>
  <w:abstractNum w:abstractNumId="245">
    <w:nsid w:val="34CC3ACF"/>
    <w:multiLevelType w:val="hybridMultilevel"/>
    <w:lvl w:ilvl="0">
      <w:lvlJc w:val="left"/>
      <w:lvlText w:val="(%1)"/>
      <w:numFmt w:val="lowerLetter"/>
      <w:start w:val="39"/>
    </w:lvl>
  </w:abstractNum>
  <w:abstractNum w:abstractNumId="246">
    <w:nsid w:val="4E556261"/>
    <w:multiLevelType w:val="hybridMultilevel"/>
    <w:lvl w:ilvl="0">
      <w:lvlJc w:val="left"/>
      <w:lvlText w:val="%1."/>
      <w:numFmt w:val="decimal"/>
      <w:start w:val="4"/>
    </w:lvl>
  </w:abstractNum>
  <w:abstractNum w:abstractNumId="247">
    <w:nsid w:val="4C672FC9"/>
    <w:multiLevelType w:val="hybridMultilevel"/>
    <w:lvl w:ilvl="0">
      <w:lvlJc w:val="left"/>
      <w:lvlText w:val="(%1)"/>
      <w:numFmt w:val="lowerLetter"/>
      <w:start w:val="1"/>
    </w:lvl>
  </w:abstractNum>
  <w:abstractNum w:abstractNumId="248">
    <w:nsid w:val="52A311C3"/>
    <w:multiLevelType w:val="hybridMultilevel"/>
    <w:lvl w:ilvl="0">
      <w:lvlJc w:val="left"/>
      <w:lvlText w:val="(%1)"/>
      <w:numFmt w:val="lowerLetter"/>
      <w:start w:val="5"/>
    </w:lvl>
  </w:abstractNum>
  <w:abstractNum w:abstractNumId="249">
    <w:nsid w:val="44EF6B80"/>
    <w:multiLevelType w:val="hybridMultilevel"/>
    <w:lvl w:ilvl="0">
      <w:lvlJc w:val="left"/>
      <w:lvlText w:val="%1"/>
      <w:numFmt w:val="lowerLetter"/>
      <w:start w:val="1"/>
    </w:lvl>
    <w:lvl w:ilvl="1">
      <w:lvlJc w:val="left"/>
      <w:lvlText w:val="(%2)"/>
      <w:numFmt w:val="lowerLetter"/>
      <w:start w:val="6"/>
    </w:lvl>
  </w:abstractNum>
  <w:abstractNum w:abstractNumId="250">
    <w:nsid w:val="12FCDE5E"/>
    <w:multiLevelType w:val="hybridMultilevel"/>
    <w:lvl w:ilvl="0">
      <w:lvlJc w:val="left"/>
      <w:lvlText w:val="(%1)"/>
      <w:numFmt w:val="lowerLetter"/>
      <w:start w:val="25"/>
    </w:lvl>
    <w:lvl w:ilvl="1">
      <w:lvlJc w:val="left"/>
      <w:lvlText w:val="%2"/>
      <w:numFmt w:val="lowerLetter"/>
      <w:start w:val="1"/>
    </w:lvl>
  </w:abstractNum>
  <w:abstractNum w:abstractNumId="251">
    <w:nsid w:val="4A1D606E"/>
    <w:multiLevelType w:val="hybridMultilevel"/>
    <w:lvl w:ilvl="0">
      <w:lvlJc w:val="left"/>
      <w:lvlText w:val="(%1)"/>
      <w:numFmt w:val="lowerLetter"/>
      <w:start w:val="9"/>
    </w:lvl>
  </w:abstractNum>
  <w:abstractNum w:abstractNumId="252">
    <w:nsid w:val="4382503"/>
    <w:multiLevelType w:val="hybridMultilevel"/>
    <w:lvl w:ilvl="0">
      <w:lvlJc w:val="left"/>
      <w:lvlText w:val="(%1)"/>
      <w:numFmt w:val="lowerLetter"/>
      <w:start w:val="15"/>
    </w:lvl>
  </w:abstractNum>
  <w:abstractNum w:abstractNumId="253">
    <w:nsid w:val="59B76E28"/>
    <w:multiLevelType w:val="hybridMultilevel"/>
    <w:lvl w:ilvl="0">
      <w:lvlJc w:val="left"/>
      <w:lvlText w:val="(%1)"/>
      <w:numFmt w:val="lowerLetter"/>
      <w:start w:val="17"/>
    </w:lvl>
  </w:abstractNum>
  <w:abstractNum w:abstractNumId="254">
    <w:nsid w:val="4252C2DA"/>
    <w:multiLevelType w:val="hybridMultilevel"/>
    <w:lvl w:ilvl="0">
      <w:lvlJc w:val="left"/>
      <w:lvlText w:val="%1."/>
      <w:numFmt w:val="decimal"/>
      <w:start w:val="6"/>
    </w:lvl>
  </w:abstractNum>
  <w:abstractNum w:abstractNumId="255">
    <w:nsid w:val="6A92EF4C"/>
    <w:multiLevelType w:val="hybridMultilevel"/>
    <w:lvl w:ilvl="0">
      <w:lvlJc w:val="left"/>
      <w:lvlText w:val="(%1)"/>
      <w:numFmt w:val="lowerLetter"/>
      <w:start w:val="1"/>
    </w:lvl>
  </w:abstractNum>
  <w:abstractNum w:abstractNumId="256">
    <w:nsid w:val="41ED20D7"/>
    <w:multiLevelType w:val="hybridMultilevel"/>
    <w:lvl w:ilvl="0">
      <w:lvlJc w:val="left"/>
      <w:lvlText w:val="%1."/>
      <w:numFmt w:val="decimal"/>
      <w:start w:val="8"/>
    </w:lvl>
  </w:abstractNum>
  <w:abstractNum w:abstractNumId="257">
    <w:nsid w:val="E6B3F6A"/>
    <w:multiLevelType w:val="hybridMultilevel"/>
    <w:lvl w:ilvl="0">
      <w:lvlJc w:val="left"/>
      <w:lvlText w:val="(%1)"/>
      <w:numFmt w:val="lowerLetter"/>
      <w:start w:val="1"/>
    </w:lvl>
  </w:abstractNum>
  <w:abstractNum w:abstractNumId="258">
    <w:nsid w:val="3EB21819"/>
    <w:multiLevelType w:val="hybridMultilevel"/>
    <w:lvl w:ilvl="0">
      <w:lvlJc w:val="left"/>
      <w:lvlText w:val="(%1)"/>
      <w:numFmt w:val="lowerLetter"/>
      <w:start w:val="2"/>
    </w:lvl>
  </w:abstractNum>
  <w:abstractNum w:abstractNumId="259">
    <w:nsid w:val="41531DED"/>
    <w:multiLevelType w:val="hybridMultilevel"/>
    <w:lvl w:ilvl="0">
      <w:lvlJc w:val="left"/>
      <w:lvlText w:val="(%1)"/>
      <w:numFmt w:val="lowerRoman"/>
      <w:start w:val="2"/>
    </w:lvl>
  </w:abstractNum>
  <w:abstractNum w:abstractNumId="260">
    <w:nsid w:val="6353CD2"/>
    <w:multiLevelType w:val="hybridMultilevel"/>
    <w:lvl w:ilvl="0">
      <w:lvlJc w:val="left"/>
      <w:lvlText w:val="(%1)"/>
      <w:numFmt w:val="lowerLetter"/>
      <w:start w:val="6"/>
    </w:lvl>
  </w:abstractNum>
  <w:abstractNum w:abstractNumId="261">
    <w:nsid w:val="683CAAD3"/>
    <w:multiLevelType w:val="hybridMultilevel"/>
    <w:lvl w:ilvl="0">
      <w:lvlJc w:val="left"/>
      <w:lvlText w:val="%1."/>
      <w:numFmt w:val="decimal"/>
      <w:start w:val="9"/>
    </w:lvl>
  </w:abstractNum>
  <w:abstractNum w:abstractNumId="262">
    <w:nsid w:val="313C7C99"/>
    <w:multiLevelType w:val="hybridMultilevel"/>
    <w:lvl w:ilvl="0">
      <w:lvlJc w:val="left"/>
      <w:lvlText w:val="(%1)"/>
      <w:numFmt w:val="lowerLetter"/>
      <w:start w:val="1"/>
    </w:lvl>
  </w:abstractNum>
  <w:abstractNum w:abstractNumId="263">
    <w:nsid w:val="519EB94C"/>
    <w:multiLevelType w:val="hybridMultilevel"/>
    <w:lvl w:ilvl="0">
      <w:lvlJc w:val="left"/>
      <w:lvlText w:val="(%1)"/>
      <w:numFmt w:val="lowerLetter"/>
      <w:start w:val="3"/>
    </w:lvl>
  </w:abstractNum>
  <w:abstractNum w:abstractNumId="264">
    <w:nsid w:val="39DF2579"/>
    <w:multiLevelType w:val="hybridMultilevel"/>
    <w:lvl w:ilvl="0">
      <w:lvlJc w:val="left"/>
      <w:lvlText w:val="(%1)"/>
      <w:numFmt w:val="lowerLetter"/>
      <w:start w:val="25"/>
    </w:lvl>
    <w:lvl w:ilvl="1">
      <w:lvlJc w:val="left"/>
      <w:lvlText w:val="(%2)"/>
      <w:numFmt w:val="lowerLetter"/>
      <w:start w:val="4"/>
    </w:lvl>
  </w:abstractNum>
  <w:abstractNum w:abstractNumId="265">
    <w:nsid w:val="126E008B"/>
    <w:multiLevelType w:val="hybridMultilevel"/>
    <w:lvl w:ilvl="0">
      <w:lvlJc w:val="left"/>
      <w:lvlText w:val="(%1)"/>
      <w:numFmt w:val="lowerLetter"/>
      <w:start w:val="6"/>
    </w:lvl>
  </w:abstractNum>
  <w:abstractNum w:abstractNumId="266">
    <w:nsid w:val="34DFBC00"/>
    <w:multiLevelType w:val="hybridMultilevel"/>
    <w:lvl w:ilvl="0">
      <w:lvlJc w:val="left"/>
      <w:lvlText w:val="%1"/>
      <w:numFmt w:val="lowerRoman"/>
      <w:start w:val="1"/>
    </w:lvl>
    <w:lvl w:ilvl="1">
      <w:lvlJc w:val="left"/>
      <w:lvlText w:val="%2."/>
      <w:numFmt w:val="decimal"/>
      <w:start w:val="10"/>
    </w:lvl>
  </w:abstractNum>
  <w:abstractNum w:abstractNumId="267">
    <w:nsid w:val="1F9EC322"/>
    <w:multiLevelType w:val="hybridMultilevel"/>
    <w:lvl w:ilvl="0">
      <w:lvlJc w:val="left"/>
      <w:lvlText w:val="(%1)"/>
      <w:numFmt w:val="lowerRoman"/>
      <w:start w:val="1"/>
    </w:lvl>
    <w:lvl w:ilvl="1">
      <w:lvlJc w:val="left"/>
      <w:lvlText w:val="%2."/>
      <w:numFmt w:val="decimal"/>
      <w:start w:val="12"/>
    </w:lvl>
  </w:abstractNum>
  <w:abstractNum w:abstractNumId="268">
    <w:nsid w:val="3410ED56"/>
    <w:multiLevelType w:val="hybridMultilevel"/>
    <w:lvl w:ilvl="0">
      <w:lvlJc w:val="left"/>
      <w:lvlText w:val="(%1)"/>
      <w:numFmt w:val="lowerLetter"/>
      <w:start w:val="1"/>
    </w:lvl>
  </w:abstractNum>
  <w:abstractNum w:abstractNumId="269">
    <w:nsid w:val="23C049A"/>
    <w:multiLevelType w:val="hybridMultilevel"/>
    <w:lvl w:ilvl="0">
      <w:lvlJc w:val="left"/>
      <w:lvlText w:val="(%1)"/>
      <w:numFmt w:val="lowerLetter"/>
      <w:start w:val="2"/>
    </w:lvl>
  </w:abstractNum>
  <w:abstractNum w:abstractNumId="270">
    <w:nsid w:val="5BDA35D4"/>
    <w:multiLevelType w:val="hybridMultilevel"/>
    <w:lvl w:ilvl="0">
      <w:lvlJc w:val="left"/>
      <w:lvlText w:val="%1."/>
      <w:numFmt w:val="decimal"/>
      <w:start w:val="13"/>
    </w:lvl>
  </w:abstractNum>
  <w:abstractNum w:abstractNumId="271">
    <w:nsid w:val="496FB218"/>
    <w:multiLevelType w:val="hybridMultilevel"/>
    <w:lvl w:ilvl="0">
      <w:lvlJc w:val="left"/>
      <w:lvlText w:val="(%1)"/>
      <w:numFmt w:val="lowerLetter"/>
      <w:start w:val="1"/>
    </w:lvl>
  </w:abstractNum>
  <w:abstractNum w:abstractNumId="272">
    <w:nsid w:val="680EA5D1"/>
    <w:multiLevelType w:val="hybridMultilevel"/>
    <w:lvl w:ilvl="0">
      <w:lvlJc w:val="left"/>
      <w:lvlText w:val="(%1)"/>
      <w:numFmt w:val="lowerLetter"/>
      <w:start w:val="2"/>
    </w:lvl>
  </w:abstractNum>
  <w:abstractNum w:abstractNumId="273">
    <w:nsid w:val="4A9554FE"/>
    <w:multiLevelType w:val="hybridMultilevel"/>
    <w:lvl w:ilvl="0">
      <w:lvlJc w:val="left"/>
      <w:lvlText w:val="%1."/>
      <w:numFmt w:val="decimal"/>
      <w:start w:val="14"/>
    </w:lvl>
  </w:abstractNum>
  <w:abstractNum w:abstractNumId="274">
    <w:nsid w:val="392EDBE4"/>
    <w:multiLevelType w:val="hybridMultilevel"/>
    <w:lvl w:ilvl="0">
      <w:lvlJc w:val="left"/>
      <w:lvlText w:val="%1."/>
      <w:numFmt w:val="decimal"/>
      <w:start w:val="18"/>
    </w:lvl>
  </w:abstractNum>
  <w:abstractNum w:abstractNumId="275">
    <w:nsid w:val="3D1A2DD9"/>
    <w:multiLevelType w:val="hybridMultilevel"/>
    <w:lvl w:ilvl="0">
      <w:lvlJc w:val="left"/>
      <w:lvlText w:val="(%1)"/>
      <w:numFmt w:val="lowerLetter"/>
      <w:start w:val="1"/>
    </w:lvl>
  </w:abstractNum>
  <w:abstractNum w:abstractNumId="276">
    <w:nsid w:val="7F618FCD"/>
    <w:multiLevelType w:val="hybridMultilevel"/>
    <w:lvl w:ilvl="0">
      <w:lvlJc w:val="left"/>
      <w:lvlText w:val="(%1)"/>
      <w:numFmt w:val="lowerLetter"/>
      <w:start w:val="6"/>
    </w:lvl>
    <w:lvl w:ilvl="1">
      <w:lvlJc w:val="left"/>
      <w:lvlText w:val="(%2)"/>
      <w:numFmt w:val="lowerRoman"/>
      <w:start w:val="1"/>
    </w:lvl>
  </w:abstractNum>
  <w:abstractNum w:abstractNumId="277">
    <w:nsid w:val="7843E45"/>
    <w:multiLevelType w:val="hybridMultilevel"/>
    <w:lvl w:ilvl="0">
      <w:lvlJc w:val="left"/>
      <w:lvlText w:val="(%1)"/>
      <w:numFmt w:val="lowerRoman"/>
      <w:start w:val="1"/>
    </w:lvl>
  </w:abstractNum>
  <w:abstractNum w:abstractNumId="278">
    <w:nsid w:val="9815DA3"/>
    <w:multiLevelType w:val="hybridMultilevel"/>
    <w:lvl w:ilvl="0">
      <w:lvlJc w:val="left"/>
      <w:lvlText w:val="(%1)"/>
      <w:numFmt w:val="lowerLetter"/>
      <w:start w:val="8"/>
    </w:lvl>
  </w:abstractNum>
  <w:abstractNum w:abstractNumId="279">
    <w:nsid w:val="5204A191"/>
    <w:multiLevelType w:val="hybridMultilevel"/>
    <w:lvl w:ilvl="0">
      <w:lvlJc w:val="left"/>
      <w:lvlText w:val="%1."/>
      <w:numFmt w:val="lowerLetter"/>
      <w:start w:val="1"/>
    </w:lvl>
  </w:abstractNum>
  <w:abstractNum w:abstractNumId="280">
    <w:nsid w:val="4C73A9C6"/>
    <w:multiLevelType w:val="hybridMultilevel"/>
    <w:lvl w:ilvl="0">
      <w:lvlJc w:val="left"/>
      <w:lvlText w:val="(%1)"/>
      <w:numFmt w:val="lowerRoman"/>
      <w:start w:val="3"/>
    </w:lvl>
  </w:abstractNum>
  <w:abstractNum w:abstractNumId="281">
    <w:nsid w:val="1C7E3C01"/>
    <w:multiLevelType w:val="hybridMultilevel"/>
    <w:lvl w:ilvl="0">
      <w:lvlJc w:val="left"/>
      <w:lvlText w:val="%1."/>
      <w:numFmt w:val="decimal"/>
      <w:start w:val="1"/>
    </w:lvl>
    <w:lvl w:ilvl="1">
      <w:lvlJc w:val="left"/>
      <w:lvlText w:val="(%2)"/>
      <w:numFmt w:val="lowerLetter"/>
      <w:start w:val="1"/>
    </w:lvl>
  </w:abstractNum>
  <w:abstractNum w:abstractNumId="282">
    <w:nsid w:val="1C2201FF"/>
    <w:multiLevelType w:val="hybridMultilevel"/>
    <w:lvl w:ilvl="0">
      <w:lvlJc w:val="left"/>
      <w:lvlText w:val="%1"/>
      <w:numFmt w:val="decimal"/>
      <w:start w:val="1"/>
    </w:lvl>
    <w:lvl w:ilvl="1">
      <w:lvlJc w:val="left"/>
      <w:lvlText w:val="(%2)"/>
      <w:numFmt w:val="lowerLetter"/>
      <w:start w:val="2"/>
    </w:lvl>
  </w:abstractNum>
  <w:abstractNum w:abstractNumId="283">
    <w:nsid w:val="50ABCEC9"/>
    <w:multiLevelType w:val="hybridMultilevel"/>
    <w:lvl w:ilvl="0">
      <w:lvlJc w:val="left"/>
      <w:lvlText w:val="(%1)"/>
      <w:numFmt w:val="decimal"/>
      <w:start w:val="4"/>
    </w:lvl>
    <w:lvl w:ilvl="1">
      <w:lvlJc w:val="left"/>
      <w:lvlText w:val="%2"/>
      <w:numFmt w:val="lowerLetter"/>
      <w:start w:val="1"/>
    </w:lvl>
  </w:abstractNum>
  <w:abstractNum w:abstractNumId="284">
    <w:nsid w:val="7635AA2A"/>
    <w:multiLevelType w:val="hybridMultilevel"/>
    <w:lvl w:ilvl="0">
      <w:lvlJc w:val="left"/>
      <w:lvlText w:val="%1"/>
      <w:numFmt w:val="lowerRoman"/>
      <w:start w:val="1"/>
    </w:lvl>
    <w:lvl w:ilvl="1">
      <w:lvlJc w:val="left"/>
      <w:lvlText w:val="(%2)"/>
      <w:numFmt w:val="lowerLetter"/>
      <w:start w:val="6"/>
    </w:lvl>
  </w:abstractNum>
  <w:abstractNum w:abstractNumId="285">
    <w:nsid w:val="5E74C4D9"/>
    <w:multiLevelType w:val="hybridMultilevel"/>
    <w:lvl w:ilvl="0">
      <w:lvlJc w:val="left"/>
      <w:lvlText w:val="(%1)"/>
      <w:numFmt w:val="lowerRoman"/>
      <w:start w:val="1"/>
    </w:lvl>
    <w:lvl w:ilvl="1">
      <w:lvlJc w:val="left"/>
      <w:lvlText w:val="(%2)"/>
      <w:numFmt w:val="lowerLetter"/>
      <w:start w:val="7"/>
    </w:lvl>
  </w:abstractNum>
  <w:abstractNum w:abstractNumId="286">
    <w:nsid w:val="3B3EBE15"/>
    <w:multiLevelType w:val="hybridMultilevel"/>
    <w:lvl w:ilvl="0">
      <w:lvlJc w:val="left"/>
      <w:lvlText w:val="%1"/>
      <w:numFmt w:val="decimal"/>
      <w:start w:val="1"/>
    </w:lvl>
    <w:lvl w:ilvl="1">
      <w:lvlJc w:val="left"/>
      <w:lvlText w:val="(%2)"/>
      <w:numFmt w:val="lowerLetter"/>
      <w:start w:val="10"/>
    </w:lvl>
  </w:abstractNum>
  <w:abstractNum w:abstractNumId="287">
    <w:nsid w:val="3822CB01"/>
    <w:multiLevelType w:val="hybridMultilevel"/>
    <w:lvl w:ilvl="0">
      <w:lvlJc w:val="left"/>
      <w:lvlText w:val="%1."/>
      <w:numFmt w:val="decimal"/>
      <w:start w:val="2"/>
    </w:lvl>
    <w:lvl w:ilvl="1">
      <w:lvlJc w:val="left"/>
      <w:lvlText w:val="(%2)"/>
      <w:numFmt w:val="lowerLetter"/>
      <w:start w:val="1"/>
    </w:lvl>
  </w:abstractNum>
  <w:abstractNum w:abstractNumId="288">
    <w:nsid w:val="6CE00443"/>
    <w:multiLevelType w:val="hybridMultilevel"/>
    <w:lvl w:ilvl="0">
      <w:lvlJc w:val="left"/>
      <w:lvlText w:val="%1."/>
      <w:numFmt w:val="decimal"/>
      <w:start w:val="3"/>
    </w:lvl>
    <w:lvl w:ilvl="1">
      <w:lvlJc w:val="left"/>
      <w:lvlText w:val="(%2)"/>
      <w:numFmt w:val="lowerLetter"/>
      <w:start w:val="1"/>
    </w:lvl>
  </w:abstractNum>
  <w:abstractNum w:abstractNumId="289">
    <w:nsid w:val="79F0D62F"/>
    <w:multiLevelType w:val="hybridMultilevel"/>
    <w:lvl w:ilvl="0">
      <w:lvlJc w:val="left"/>
      <w:lvlText w:val="%1."/>
      <w:numFmt w:val="decimal"/>
      <w:start w:val="4"/>
    </w:lvl>
  </w:abstractNum>
  <w:abstractNum w:abstractNumId="290">
    <w:nsid w:val="7975E8EE"/>
    <w:multiLevelType w:val="hybridMultilevel"/>
    <w:lvl w:ilvl="0">
      <w:lvlJc w:val="left"/>
      <w:lvlText w:val="%1."/>
      <w:numFmt w:val="decimal"/>
      <w:start w:val="6"/>
    </w:lvl>
    <w:lvl w:ilvl="1">
      <w:lvlJc w:val="left"/>
      <w:lvlText w:val="(%2)"/>
      <w:numFmt w:val="lowerLetter"/>
      <w:start w:val="1"/>
    </w:lvl>
  </w:abstractNum>
  <w:abstractNum w:abstractNumId="291">
    <w:nsid w:val="73154115"/>
    <w:multiLevelType w:val="hybridMultilevel"/>
    <w:lvl w:ilvl="0">
      <w:lvlJc w:val="left"/>
      <w:lvlText w:val="(%1)"/>
      <w:numFmt w:val="lowerLetter"/>
      <w:start w:val="3"/>
    </w:lvl>
  </w:abstractNum>
  <w:abstractNum w:abstractNumId="292">
    <w:nsid w:val="622D810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408" Type="http://schemas.openxmlformats.org/officeDocument/2006/relationships/image" Target="media/image391.png"/><Relationship Id="rId423" Type="http://schemas.openxmlformats.org/officeDocument/2006/relationships/image" Target="media/image392.png"/><Relationship Id="rId424" Type="http://schemas.openxmlformats.org/officeDocument/2006/relationships/image" Target="media/image393.png"/><Relationship Id="rId425" Type="http://schemas.openxmlformats.org/officeDocument/2006/relationships/image" Target="media/image394.png"/><Relationship Id="rId426" Type="http://schemas.openxmlformats.org/officeDocument/2006/relationships/image" Target="media/image395.png"/><Relationship Id="rId427" Type="http://schemas.openxmlformats.org/officeDocument/2006/relationships/image" Target="media/image396.png"/><Relationship Id="rId428" Type="http://schemas.openxmlformats.org/officeDocument/2006/relationships/image" Target="media/image397.png"/><Relationship Id="rId429" Type="http://schemas.openxmlformats.org/officeDocument/2006/relationships/image" Target="media/image398.png"/><Relationship Id="rId430" Type="http://schemas.openxmlformats.org/officeDocument/2006/relationships/image" Target="media/image399.png"/><Relationship Id="rId431" Type="http://schemas.openxmlformats.org/officeDocument/2006/relationships/image" Target="media/image400.png"/><Relationship Id="rId432" Type="http://schemas.openxmlformats.org/officeDocument/2006/relationships/image" Target="media/image401.png"/><Relationship Id="rId433" Type="http://schemas.openxmlformats.org/officeDocument/2006/relationships/image" Target="media/image402.png"/><Relationship Id="rId434" Type="http://schemas.openxmlformats.org/officeDocument/2006/relationships/image" Target="media/image403.png"/><Relationship Id="rId435" Type="http://schemas.openxmlformats.org/officeDocument/2006/relationships/image" Target="media/image404.png"/><Relationship Id="rId436" Type="http://schemas.openxmlformats.org/officeDocument/2006/relationships/image" Target="media/image405.png"/><Relationship Id="rId437" Type="http://schemas.openxmlformats.org/officeDocument/2006/relationships/image" Target="media/image406.png"/><Relationship Id="rId438" Type="http://schemas.openxmlformats.org/officeDocument/2006/relationships/image" Target="media/image407.png"/><Relationship Id="rId439" Type="http://schemas.openxmlformats.org/officeDocument/2006/relationships/image" Target="media/image408.png"/><Relationship Id="rId440" Type="http://schemas.openxmlformats.org/officeDocument/2006/relationships/image" Target="media/image409.png"/><Relationship Id="rId441" Type="http://schemas.openxmlformats.org/officeDocument/2006/relationships/image" Target="media/image410.png"/><Relationship Id="rId442" Type="http://schemas.openxmlformats.org/officeDocument/2006/relationships/image" Target="media/image411.png"/><Relationship Id="rId443" Type="http://schemas.openxmlformats.org/officeDocument/2006/relationships/image" Target="media/image412.png"/><Relationship Id="rId444" Type="http://schemas.openxmlformats.org/officeDocument/2006/relationships/image" Target="media/image413.png"/><Relationship Id="rId445" Type="http://schemas.openxmlformats.org/officeDocument/2006/relationships/image" Target="media/image414.png"/><Relationship Id="rId446" Type="http://schemas.openxmlformats.org/officeDocument/2006/relationships/image" Target="media/image415.png"/><Relationship Id="rId447" Type="http://schemas.openxmlformats.org/officeDocument/2006/relationships/image" Target="media/image416.png"/><Relationship Id="rId448" Type="http://schemas.openxmlformats.org/officeDocument/2006/relationships/image" Target="media/image417.png"/><Relationship Id="rId449" Type="http://schemas.openxmlformats.org/officeDocument/2006/relationships/image" Target="media/image418.png"/><Relationship Id="rId450" Type="http://schemas.openxmlformats.org/officeDocument/2006/relationships/image" Target="media/image419.png"/><Relationship Id="rId451" Type="http://schemas.openxmlformats.org/officeDocument/2006/relationships/image" Target="media/image420.png"/><Relationship Id="rId452" Type="http://schemas.openxmlformats.org/officeDocument/2006/relationships/image" Target="media/image421.png"/><Relationship Id="rId453" Type="http://schemas.openxmlformats.org/officeDocument/2006/relationships/image" Target="media/image422.png"/><Relationship Id="rId454" Type="http://schemas.openxmlformats.org/officeDocument/2006/relationships/image" Target="media/image423.png"/><Relationship Id="rId455" Type="http://schemas.openxmlformats.org/officeDocument/2006/relationships/image" Target="media/image424.png"/><Relationship Id="rId456" Type="http://schemas.openxmlformats.org/officeDocument/2006/relationships/image" Target="media/image425.png"/><Relationship Id="rId457" Type="http://schemas.openxmlformats.org/officeDocument/2006/relationships/image" Target="media/image426.png"/><Relationship Id="rId458" Type="http://schemas.openxmlformats.org/officeDocument/2006/relationships/image" Target="media/image427.png"/><Relationship Id="rId459" Type="http://schemas.openxmlformats.org/officeDocument/2006/relationships/image" Target="media/image428.png"/><Relationship Id="rId460" Type="http://schemas.openxmlformats.org/officeDocument/2006/relationships/image" Target="media/image429.png"/><Relationship Id="rId461" Type="http://schemas.openxmlformats.org/officeDocument/2006/relationships/image" Target="media/image430.png"/><Relationship Id="rId462" Type="http://schemas.openxmlformats.org/officeDocument/2006/relationships/image" Target="media/image431.png"/><Relationship Id="rId463" Type="http://schemas.openxmlformats.org/officeDocument/2006/relationships/image" Target="media/image432.png"/><Relationship Id="rId464" Type="http://schemas.openxmlformats.org/officeDocument/2006/relationships/image" Target="media/image433.png"/><Relationship Id="rId465" Type="http://schemas.openxmlformats.org/officeDocument/2006/relationships/image" Target="media/image434.png"/><Relationship Id="rId466" Type="http://schemas.openxmlformats.org/officeDocument/2006/relationships/image" Target="media/image435.png"/><Relationship Id="rId467" Type="http://schemas.openxmlformats.org/officeDocument/2006/relationships/image" Target="media/image436.png"/><Relationship Id="rId468" Type="http://schemas.openxmlformats.org/officeDocument/2006/relationships/image" Target="media/image437.png"/><Relationship Id="rId469" Type="http://schemas.openxmlformats.org/officeDocument/2006/relationships/image" Target="media/image438.png"/><Relationship Id="rId470" Type="http://schemas.openxmlformats.org/officeDocument/2006/relationships/image" Target="media/image439.png"/><Relationship Id="rId471" Type="http://schemas.openxmlformats.org/officeDocument/2006/relationships/image" Target="media/image440.png"/><Relationship Id="rId472" Type="http://schemas.openxmlformats.org/officeDocument/2006/relationships/image" Target="media/image441.png"/><Relationship Id="rId473" Type="http://schemas.openxmlformats.org/officeDocument/2006/relationships/image" Target="media/image442.png"/><Relationship Id="rId474" Type="http://schemas.openxmlformats.org/officeDocument/2006/relationships/image" Target="media/image443.png"/><Relationship Id="rId475" Type="http://schemas.openxmlformats.org/officeDocument/2006/relationships/image" Target="media/image444.png"/><Relationship Id="rId476" Type="http://schemas.openxmlformats.org/officeDocument/2006/relationships/image" Target="media/image445.png"/><Relationship Id="rId477" Type="http://schemas.openxmlformats.org/officeDocument/2006/relationships/image" Target="media/image446.png"/><Relationship Id="rId478" Type="http://schemas.openxmlformats.org/officeDocument/2006/relationships/image" Target="media/image447.png"/><Relationship Id="rId479" Type="http://schemas.openxmlformats.org/officeDocument/2006/relationships/image" Target="media/image448.png"/><Relationship Id="rId480" Type="http://schemas.openxmlformats.org/officeDocument/2006/relationships/image" Target="media/image449.jpeg"/><Relationship Id="rId481" Type="http://schemas.openxmlformats.org/officeDocument/2006/relationships/image" Target="media/image450.png"/><Relationship Id="rId482" Type="http://schemas.openxmlformats.org/officeDocument/2006/relationships/image" Target="media/image451.jpeg"/><Relationship Id="rId483" Type="http://schemas.openxmlformats.org/officeDocument/2006/relationships/image" Target="media/image452.png"/><Relationship Id="rId484" Type="http://schemas.openxmlformats.org/officeDocument/2006/relationships/image" Target="media/image453.png"/><Relationship Id="rId485" Type="http://schemas.openxmlformats.org/officeDocument/2006/relationships/image" Target="media/image454.png"/><Relationship Id="rId486" Type="http://schemas.openxmlformats.org/officeDocument/2006/relationships/image" Target="media/image455.png"/><Relationship Id="rId487" Type="http://schemas.openxmlformats.org/officeDocument/2006/relationships/image" Target="media/image456.png"/><Relationship Id="rId488" Type="http://schemas.openxmlformats.org/officeDocument/2006/relationships/image" Target="media/image457.png"/><Relationship Id="rId489" Type="http://schemas.openxmlformats.org/officeDocument/2006/relationships/image" Target="media/image458.png"/><Relationship Id="rId490" Type="http://schemas.openxmlformats.org/officeDocument/2006/relationships/image" Target="media/image459.png"/><Relationship Id="rId398" Type="http://schemas.openxmlformats.org/officeDocument/2006/relationships/hyperlink" Target="http://www.sec.gov/Archives/edgar/data/1861795/000095017021003484/dh-ex3_1.htm" TargetMode="External"/><Relationship Id="rId399" Type="http://schemas.openxmlformats.org/officeDocument/2006/relationships/hyperlink" Target="http://www.sec.gov/Archives/edgar/data/1861795/000095017021003484/dh-ex3_2.htm" TargetMode="External"/><Relationship Id="rId400" Type="http://schemas.openxmlformats.org/officeDocument/2006/relationships/hyperlink" Target="http://www.sec.gov/Archives/edgar/data/1861795/000095017021003484/dh-ex3_3.htm" TargetMode="External"/><Relationship Id="rId401" Type="http://schemas.openxmlformats.org/officeDocument/2006/relationships/hyperlink" Target="http://www.sec.gov/Archives/edgar/data/0001861795/000119312521259499/d127783dex41.htm" TargetMode="External"/><Relationship Id="rId402" Type="http://schemas.openxmlformats.org/officeDocument/2006/relationships/hyperlink" Target="http://www.sec.gov/Archives/edgar/data/1861795/000119312521252899/d127783dex101.htm" TargetMode="External"/><Relationship Id="rId403" Type="http://schemas.openxmlformats.org/officeDocument/2006/relationships/hyperlink" Target="http://www.sec.gov/Archives/edgar/data/1861795/000119312521252899/d127783dex102.htm" TargetMode="External"/><Relationship Id="rId404" Type="http://schemas.openxmlformats.org/officeDocument/2006/relationships/hyperlink" Target="http://www.sec.gov/Archives/edgar/data/1861795/000119312521252899/d127783dex103.htm" TargetMode="External"/><Relationship Id="rId405" Type="http://schemas.openxmlformats.org/officeDocument/2006/relationships/hyperlink" Target="http://www.sec.gov/Archives/edgar/data/1861795/000119312521252899/d127783dex104.htm" TargetMode="External"/><Relationship Id="rId406" Type="http://schemas.openxmlformats.org/officeDocument/2006/relationships/hyperlink" Target="http://www.sec.gov/Archives/edgar/data/1861795/000119312521252899/d127783dex105.htm" TargetMode="External"/><Relationship Id="rId407" Type="http://schemas.openxmlformats.org/officeDocument/2006/relationships/hyperlink" Target="http://www.sec.gov/Archives/edgar/data/1861795/000119312521252899/d127783dex107.htm" TargetMode="External"/><Relationship Id="rId409" Type="http://schemas.openxmlformats.org/officeDocument/2006/relationships/hyperlink" Target="http://www.sec.gov/Archives/edgar/data/1861795/000119312521252899/d127783dex108.htm" TargetMode="External"/><Relationship Id="rId410" Type="http://schemas.openxmlformats.org/officeDocument/2006/relationships/hyperlink" Target="http://www.sec.gov/Archives/edgar/data/1861795/000119312521252899/d127783dex109.htm" TargetMode="External"/><Relationship Id="rId411" Type="http://schemas.openxmlformats.org/officeDocument/2006/relationships/hyperlink" Target="http://www.sec.gov/Archives/edgar/data/1861795/000119312521252899/d127783dex1010.htm" TargetMode="External"/><Relationship Id="rId412" Type="http://schemas.openxmlformats.org/officeDocument/2006/relationships/hyperlink" Target="http://www.sec.gov/Archives/edgar/data/1861795/000119312521252899/d127783dex1011.htm" TargetMode="External"/><Relationship Id="rId413" Type="http://schemas.openxmlformats.org/officeDocument/2006/relationships/hyperlink" Target="http://www.sec.gov/Archives/edgar/data/1861795/000119312521277423/d402153dex101.htm" TargetMode="External"/><Relationship Id="rId414" Type="http://schemas.openxmlformats.org/officeDocument/2006/relationships/hyperlink" Target="http://www.sec.gov/Archives/edgar/data/1861795/000119312521252899/d127783dex1012.htm" TargetMode="External"/><Relationship Id="rId415" Type="http://schemas.openxmlformats.org/officeDocument/2006/relationships/hyperlink" Target="http://www.sec.gov/Archives/edgar/data/1861795/000119312521252899/d127783dex1013.htm" TargetMode="External"/><Relationship Id="rId416" Type="http://schemas.openxmlformats.org/officeDocument/2006/relationships/hyperlink" Target="http://www.sec.gov/Archives/edgar/data/1861795/000119312521252899/d127783dex1014.htm" TargetMode="External"/><Relationship Id="rId417" Type="http://schemas.openxmlformats.org/officeDocument/2006/relationships/hyperlink" Target="http://www.sec.gov/Archives/edgar/data/1861795/000119312521252899/d127783dex1015.htm" TargetMode="External"/><Relationship Id="rId418" Type="http://schemas.openxmlformats.org/officeDocument/2006/relationships/hyperlink" Target="http://www.sec.gov/Archives/edgar/data/1861795/000119312521252899/d127783dex1016.htm" TargetMode="External"/><Relationship Id="rId419" Type="http://schemas.openxmlformats.org/officeDocument/2006/relationships/hyperlink" Target="http://www.sec.gov/Archives/edgar/data/1861795/000119312521252899/d127783dex1017.htm" TargetMode="External"/><Relationship Id="rId420" Type="http://schemas.openxmlformats.org/officeDocument/2006/relationships/hyperlink" Target="http://www.sec.gov/Archives/edgar/data/1861795/000119312521266049/d127783dex1018.htm" TargetMode="External"/><Relationship Id="rId421" Type="http://schemas.openxmlformats.org/officeDocument/2006/relationships/hyperlink" Target="http://www.sec.gov/Archives/edgar/data/1861795/000119312521266049/d127783dex1019.htm" TargetMode="External"/><Relationship Id="rId422" Type="http://schemas.openxmlformats.org/officeDocument/2006/relationships/hyperlink" Target="http://www.sec.gov/Archives/edgar/data/1861795/000119312521252899/d12778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2021-11-15T17:06:12Z</dcterms:created>
  <dcterms:modified xsi:type="dcterms:W3CDTF">2021-11-15T17:06:12Z</dcterms:modified>
</cp:coreProperties>
</file>