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984"/>
        <w:spacing w:after="0"/>
        <w:tabs>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Definitive Healthcare Corp.</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2864"/>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0"/>
          <w:szCs w:val="10"/>
          <w:color w:val="auto"/>
        </w:rPr>
        <w:t>P.O. BOX 8016, CARY, NC 27512-9903</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Arial" w:cs="Arial" w:eastAsia="Arial" w:hAnsi="Arial"/>
          <w:sz w:val="22"/>
          <w:szCs w:val="22"/>
          <w:b w:val="1"/>
          <w:bCs w:val="1"/>
          <w:color w:val="auto"/>
        </w:rPr>
        <w:t>Definitive Healthcare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-236220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80"/>
        <w:spacing w:after="0"/>
        <w:rPr>
          <w:sz w:val="20"/>
          <w:szCs w:val="20"/>
          <w:color w:val="auto"/>
        </w:rPr>
      </w:pPr>
      <w:r>
        <w:rPr>
          <w:rFonts w:ascii="Arial" w:cs="Arial" w:eastAsia="Arial" w:hAnsi="Arial"/>
          <w:sz w:val="21"/>
          <w:szCs w:val="21"/>
          <w:b w:val="1"/>
          <w:bCs w:val="1"/>
          <w:color w:val="auto"/>
        </w:rPr>
        <w:t>Important Notice Regarding the Availability</w:t>
      </w:r>
    </w:p>
    <w:p>
      <w:pPr>
        <w:spacing w:after="0" w:line="2"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of Proxy Materials</w:t>
      </w:r>
    </w:p>
    <w:p>
      <w:pPr>
        <w:spacing w:after="0" w:line="234"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Stockholders Meeting to be held on</w:t>
      </w:r>
    </w:p>
    <w:p>
      <w:pPr>
        <w:spacing w:after="0" w:line="4"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June 1, 2023</w:t>
      </w:r>
    </w:p>
    <w:p>
      <w:pPr>
        <w:ind w:left="360"/>
        <w:spacing w:after="0"/>
        <w:rPr>
          <w:sz w:val="20"/>
          <w:szCs w:val="20"/>
          <w:color w:val="auto"/>
        </w:rPr>
      </w:pPr>
      <w:r>
        <w:rPr>
          <w:rFonts w:ascii="Arial" w:cs="Arial" w:eastAsia="Arial" w:hAnsi="Arial"/>
          <w:sz w:val="17"/>
          <w:szCs w:val="17"/>
          <w:b w:val="1"/>
          <w:bCs w:val="1"/>
          <w:color w:val="auto"/>
        </w:rPr>
        <w:t>For Stockholders of record as of April 3, 2023</w:t>
      </w:r>
    </w:p>
    <w:p>
      <w:pPr>
        <w:spacing w:after="0" w:line="98" w:lineRule="exact"/>
        <w:rPr>
          <w:sz w:val="20"/>
          <w:szCs w:val="20"/>
          <w:color w:val="auto"/>
        </w:rPr>
      </w:pPr>
    </w:p>
    <w:p>
      <w:pPr>
        <w:sectPr>
          <w:pgSz w:w="11900" w:h="16838" w:orient="portrait"/>
          <w:cols w:equalWidth="0" w:num="2">
            <w:col w:w="5440" w:space="720"/>
            <w:col w:w="4800"/>
          </w:cols>
          <w:pgMar w:left="440" w:top="260" w:right="499" w:bottom="1440" w:gutter="0" w:footer="0" w:header="0"/>
        </w:sectPr>
      </w:pPr>
    </w:p>
    <w:p>
      <w:pPr>
        <w:ind w:left="5740"/>
        <w:spacing w:after="0"/>
        <w:rPr>
          <w:sz w:val="20"/>
          <w:szCs w:val="20"/>
          <w:color w:val="auto"/>
        </w:rPr>
      </w:pPr>
      <w:r>
        <w:rPr>
          <w:rFonts w:ascii="Arial" w:cs="Arial" w:eastAsia="Arial" w:hAnsi="Arial"/>
          <w:sz w:val="14"/>
          <w:szCs w:val="14"/>
          <w:b w:val="1"/>
          <w:bCs w:val="1"/>
          <w:color w:val="auto"/>
        </w:rPr>
        <w:t>This communication presents only an overview of the more complete proxy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materials that are available to you on the Internet. This is not a ballot. You</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cannot use this notice to vote your shares. We encourage you to access and</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review all of the important information contained in the proxy materials</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before voting.</w:t>
      </w:r>
    </w:p>
    <w:p>
      <w:pPr>
        <w:spacing w:after="0" w:line="163"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To view the proxy materials, and to obtain directions to attend the meeting,</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go to: www.proxydocs.com/DH</w:t>
      </w:r>
    </w:p>
    <w:p>
      <w:pPr>
        <w:spacing w:after="0" w:line="163"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To vote your proxy while visiting this site, you will need the 12 digit control</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number in the box below.</w:t>
      </w:r>
    </w:p>
    <w:p>
      <w:pPr>
        <w:spacing w:after="0" w:line="163"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Under United States Securities and Exchange Commission rules, proxy materials</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do not have to be delivered in paper. Proxy materials can be distributed by making</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them available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177800</wp:posOffset>
            </wp:positionV>
            <wp:extent cx="1697355"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For a convenient way to view proxy materials and VOTE go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-174625</wp:posOffset>
            </wp:positionV>
            <wp:extent cx="5666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-88900</wp:posOffset>
            </wp:positionV>
            <wp:extent cx="334010" cy="754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010" cy="754380"/>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-88900</wp:posOffset>
            </wp:positionV>
            <wp:extent cx="342900" cy="754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0" cy="754380"/>
                    </a:xfrm>
                    <a:prstGeom prst="rect">
                      <a:avLst/>
                    </a:prstGeom>
                    <a:noFill/>
                  </pic:spPr>
                </pic:pic>
              </a:graphicData>
            </a:graphic>
          </wp:anchor>
        </w:drawing>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www.proxydocs.com/DH</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Have the 12 digit control number located in the shaded box above available</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when you access the website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160655</wp:posOffset>
            </wp:positionV>
            <wp:extent cx="5666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24" w:lineRule="exact"/>
        <w:rPr>
          <w:sz w:val="20"/>
          <w:szCs w:val="20"/>
          <w:color w:val="auto"/>
        </w:rPr>
      </w:pPr>
    </w:p>
    <w:p>
      <w:pPr>
        <w:ind w:left="1120" w:right="1100"/>
        <w:spacing w:after="0" w:line="252" w:lineRule="auto"/>
        <w:rPr>
          <w:sz w:val="20"/>
          <w:szCs w:val="20"/>
          <w:color w:val="auto"/>
        </w:rPr>
      </w:pPr>
      <w:r>
        <w:rPr>
          <w:rFonts w:ascii="Arial" w:cs="Arial" w:eastAsia="Arial" w:hAnsi="Arial"/>
          <w:sz w:val="18"/>
          <w:szCs w:val="18"/>
          <w:i w:val="1"/>
          <w:iCs w:val="1"/>
          <w:color w:val="auto"/>
        </w:rPr>
        <w:t>If you want to receive a paper or e-mail copy of the proxy materials, you must request one. There is no charge to you for requesting a copy. In order to receive a paper package in time for this year’s meeting, you must make this request on or before May 22, 2023.</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To order paper materials, use one of the following methods.</w:t>
      </w:r>
    </w:p>
    <w:p>
      <w:pPr>
        <w:spacing w:after="0" w:line="60" w:lineRule="exact"/>
        <w:rPr>
          <w:sz w:val="20"/>
          <w:szCs w:val="20"/>
          <w:color w:val="auto"/>
        </w:rPr>
      </w:pPr>
    </w:p>
    <w:tbl>
      <w:tblPr>
        <w:tblLayout w:type="fixed"/>
        <w:tblInd w:w="350" w:type="dxa"/>
        <w:tblCellMar>
          <w:top w:w="0" w:type="dxa"/>
          <w:left w:w="0" w:type="dxa"/>
          <w:bottom w:w="0" w:type="dxa"/>
          <w:right w:w="0" w:type="dxa"/>
        </w:tblCellMar>
      </w:tblPr>
      <w:tr>
        <w:trPr>
          <w:trHeight w:val="886"/>
        </w:trPr>
        <w:tc>
          <w:tcPr>
            <w:tcW w:w="5000" w:type="dxa"/>
            <w:vAlign w:val="bottom"/>
            <w:tcBorders>
              <w:top w:val="single" w:sz="8" w:color="auto"/>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INTERNET</w:t>
            </w:r>
          </w:p>
        </w:tc>
        <w:tc>
          <w:tcPr>
            <w:tcW w:w="320" w:type="dxa"/>
            <w:vAlign w:val="bottom"/>
            <w:tcBorders>
              <w:right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TELEPHONE</w:t>
            </w:r>
          </w:p>
        </w:tc>
        <w:tc>
          <w:tcPr>
            <w:tcW w:w="300" w:type="dxa"/>
            <w:vAlign w:val="bottom"/>
            <w:tcBorders>
              <w:right w:val="single" w:sz="8" w:color="auto"/>
            </w:tcBorders>
          </w:tcPr>
          <w:p>
            <w:pPr>
              <w:spacing w:after="0"/>
              <w:rPr>
                <w:sz w:val="24"/>
                <w:szCs w:val="24"/>
                <w:color w:val="auto"/>
              </w:rPr>
            </w:pPr>
          </w:p>
        </w:tc>
        <w:tc>
          <w:tcPr>
            <w:tcW w:w="2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E-MAIL</w:t>
            </w:r>
          </w:p>
        </w:tc>
      </w:tr>
      <w:tr>
        <w:trPr>
          <w:trHeight w:val="221"/>
        </w:trPr>
        <w:tc>
          <w:tcPr>
            <w:tcW w:w="50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www.investorelections.com/DH</w:t>
            </w:r>
          </w:p>
        </w:tc>
        <w:tc>
          <w:tcPr>
            <w:tcW w:w="320" w:type="dxa"/>
            <w:vAlign w:val="bottom"/>
            <w:tcBorders>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(866) 648-8133</w:t>
            </w:r>
          </w:p>
        </w:tc>
        <w:tc>
          <w:tcPr>
            <w:tcW w:w="300" w:type="dxa"/>
            <w:vAlign w:val="bottom"/>
            <w:tcBorders>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paper@investorelections.com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-599440</wp:posOffset>
            </wp:positionV>
            <wp:extent cx="316865"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6865" cy="214630"/>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-650875</wp:posOffset>
            </wp:positionV>
            <wp:extent cx="188595"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 cy="317500"/>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-650875</wp:posOffset>
            </wp:positionV>
            <wp:extent cx="29146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325755"/>
                    </a:xfrm>
                    <a:prstGeom prst="rect">
                      <a:avLst/>
                    </a:prstGeom>
                    <a:noFill/>
                  </pic:spPr>
                </pic:pic>
              </a:graphicData>
            </a:graphic>
          </wp:anchor>
        </w:drawing>
      </w:r>
    </w:p>
    <w:p>
      <w:pPr>
        <w:sectPr>
          <w:pgSz w:w="11900" w:h="16838" w:orient="portrait"/>
          <w:cols w:equalWidth="0" w:num="1">
            <w:col w:w="10960"/>
          </w:cols>
          <w:pgMar w:left="440" w:top="260" w:right="499" w:bottom="1440" w:gutter="0" w:footer="0" w:header="0"/>
          <w:type w:val="continuous"/>
        </w:sectPr>
      </w:pPr>
    </w:p>
    <w:p>
      <w:pPr>
        <w:spacing w:after="0" w:line="35" w:lineRule="exact"/>
        <w:rPr>
          <w:sz w:val="20"/>
          <w:szCs w:val="20"/>
          <w:color w:val="auto"/>
        </w:rPr>
      </w:pPr>
    </w:p>
    <w:p>
      <w:pPr>
        <w:ind w:left="680" w:right="240"/>
        <w:spacing w:after="0" w:line="271" w:lineRule="auto"/>
        <w:rPr>
          <w:sz w:val="20"/>
          <w:szCs w:val="20"/>
          <w:color w:val="auto"/>
        </w:rPr>
      </w:pPr>
      <w:r>
        <w:rPr>
          <w:rFonts w:ascii="Arial" w:cs="Arial" w:eastAsia="Arial" w:hAnsi="Arial"/>
          <w:sz w:val="18"/>
          <w:szCs w:val="18"/>
          <w:color w:val="auto"/>
        </w:rPr>
        <w:t>When requesting via the Internet or telephone you will need the 12 digit control number located in the shaded box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152400</wp:posOffset>
            </wp:positionV>
            <wp:extent cx="6720840" cy="1508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20840" cy="1508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340"/>
        <w:spacing w:after="0" w:line="238" w:lineRule="auto"/>
        <w:rPr>
          <w:sz w:val="20"/>
          <w:szCs w:val="20"/>
          <w:color w:val="auto"/>
        </w:rPr>
      </w:pPr>
      <w:r>
        <w:rPr>
          <w:rFonts w:ascii="Arial" w:cs="Arial" w:eastAsia="Arial" w:hAnsi="Arial"/>
          <w:sz w:val="11"/>
          <w:szCs w:val="11"/>
          <w:color w:val="auto"/>
        </w:rPr>
        <w:t>* If requesting material by e-mail, please send a blank e-mail with the 12 digit control number (located above) in the subject line. No other requests, instructions OR other inquiries should be included with your e-mail requesting material.</w:t>
      </w:r>
    </w:p>
    <w:p>
      <w:pPr>
        <w:spacing w:after="0" w:line="200" w:lineRule="exact"/>
        <w:rPr>
          <w:sz w:val="20"/>
          <w:szCs w:val="20"/>
          <w:color w:val="auto"/>
        </w:rPr>
      </w:pPr>
    </w:p>
    <w:p>
      <w:pPr>
        <w:sectPr>
          <w:pgSz w:w="11900" w:h="16838" w:orient="portrait"/>
          <w:cols w:equalWidth="0" w:num="2">
            <w:col w:w="7180" w:space="720"/>
            <w:col w:w="3060"/>
          </w:cols>
          <w:pgMar w:left="440" w:top="260" w:right="499" w:bottom="1440" w:gutter="0" w:footer="0" w:header="0"/>
          <w:type w:val="continuous"/>
        </w:sectPr>
      </w:pP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Definitive Healthcare Corp.</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 xml:space="preserve">Meeting Type:  </w:t>
      </w:r>
      <w:r>
        <w:rPr>
          <w:rFonts w:ascii="Arial" w:cs="Arial" w:eastAsia="Arial" w:hAnsi="Arial"/>
          <w:sz w:val="14"/>
          <w:szCs w:val="14"/>
          <w:color w:val="auto"/>
        </w:rPr>
        <w:t>Annual Meeting of Stockholders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Date:    </w:t>
      </w:r>
      <w:r>
        <w:rPr>
          <w:rFonts w:ascii="Arial" w:cs="Arial" w:eastAsia="Arial" w:hAnsi="Arial"/>
          <w:sz w:val="14"/>
          <w:szCs w:val="14"/>
          <w:color w:val="auto"/>
        </w:rPr>
        <w:t>Thursday, June 1, 2023</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Time:    </w:t>
      </w:r>
      <w:r>
        <w:rPr>
          <w:rFonts w:ascii="Arial" w:cs="Arial" w:eastAsia="Arial" w:hAnsi="Arial"/>
          <w:sz w:val="14"/>
          <w:szCs w:val="14"/>
          <w:color w:val="auto"/>
        </w:rPr>
        <w:t>3:00 PM, Eastern Time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 xml:space="preserve">Place:  </w:t>
      </w:r>
      <w:r>
        <w:rPr>
          <w:rFonts w:ascii="Arial" w:cs="Arial" w:eastAsia="Arial" w:hAnsi="Arial"/>
          <w:sz w:val="14"/>
          <w:szCs w:val="14"/>
          <w:color w:val="auto"/>
        </w:rPr>
        <w:t>492 Old Connecticut Path</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Framingham, MA 01701</w:t>
      </w: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SEE REVERSE FOR FULL AGENDA</w:t>
      </w:r>
    </w:p>
    <w:p>
      <w:pPr>
        <w:sectPr>
          <w:pgSz w:w="11900" w:h="16838" w:orient="portrait"/>
          <w:cols w:equalWidth="0" w:num="1">
            <w:col w:w="10960"/>
          </w:cols>
          <w:pgMar w:left="440" w:top="260" w:right="499" w:bottom="1440" w:gutter="0" w:footer="0" w:header="0"/>
          <w:type w:val="continuous"/>
        </w:sectPr>
      </w:pPr>
    </w:p>
    <w:bookmarkStart w:id="2" w:name="page3"/>
    <w:bookmarkEnd w:id="2"/>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Definitive Healthcare Corp.</w:t>
      </w:r>
    </w:p>
    <w:p>
      <w:pPr>
        <w:spacing w:after="0" w:line="74" w:lineRule="exact"/>
        <w:rPr>
          <w:sz w:val="20"/>
          <w:szCs w:val="20"/>
          <w:color w:val="auto"/>
        </w:rPr>
      </w:pPr>
    </w:p>
    <w:p>
      <w:pPr>
        <w:jc w:val="center"/>
        <w:ind w:right="-103"/>
        <w:spacing w:after="0"/>
        <w:rPr>
          <w:sz w:val="20"/>
          <w:szCs w:val="20"/>
          <w:color w:val="auto"/>
        </w:rPr>
      </w:pPr>
      <w:r>
        <w:rPr>
          <w:rFonts w:ascii="Arial" w:cs="Arial" w:eastAsia="Arial" w:hAnsi="Arial"/>
          <w:sz w:val="22"/>
          <w:szCs w:val="22"/>
          <w:b w:val="1"/>
          <w:bCs w:val="1"/>
          <w:color w:val="auto"/>
        </w:rPr>
        <w:t>Annual Meeting of Stockholders</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15" w:lineRule="exact"/>
        <w:rPr>
          <w:sz w:val="20"/>
          <w:szCs w:val="20"/>
          <w:color w:val="auto"/>
        </w:rPr>
      </w:pPr>
    </w:p>
    <w:p>
      <w:pPr>
        <w:ind w:left="444"/>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ON PROPOSALS 1 AND 3</w:t>
      </w:r>
    </w:p>
    <w:p>
      <w:pPr>
        <w:spacing w:after="0" w:line="1" w:lineRule="exact"/>
        <w:rPr>
          <w:sz w:val="20"/>
          <w:szCs w:val="20"/>
          <w:color w:val="auto"/>
        </w:rPr>
      </w:pPr>
    </w:p>
    <w:p>
      <w:pPr>
        <w:ind w:left="444" w:right="2360"/>
        <w:spacing w:after="0" w:line="264" w:lineRule="auto"/>
        <w:rPr>
          <w:sz w:val="20"/>
          <w:szCs w:val="20"/>
          <w:color w:val="auto"/>
        </w:rPr>
      </w:pPr>
      <w:r>
        <w:rPr>
          <w:rFonts w:ascii="Arial" w:cs="Arial" w:eastAsia="Arial" w:hAnsi="Arial"/>
          <w:sz w:val="14"/>
          <w:szCs w:val="14"/>
          <w:color w:val="auto"/>
        </w:rPr>
        <w:t>THE BOARD RECOMMENDS THAT AN ADVISORY VOTE ON THE COMPENSATION FOR NAMED EXECUTIVE OFFICERS BE HELD EVERY 1 YEAR.</w:t>
      </w:r>
    </w:p>
    <w:p>
      <w:pPr>
        <w:spacing w:after="0" w:line="316" w:lineRule="exact"/>
        <w:rPr>
          <w:sz w:val="20"/>
          <w:szCs w:val="20"/>
          <w:color w:val="auto"/>
        </w:rPr>
      </w:pPr>
    </w:p>
    <w:p>
      <w:pPr>
        <w:ind w:left="444"/>
        <w:spacing w:after="0"/>
        <w:rPr>
          <w:sz w:val="20"/>
          <w:szCs w:val="20"/>
          <w:color w:val="auto"/>
        </w:rPr>
      </w:pPr>
      <w:r>
        <w:rPr>
          <w:rFonts w:ascii="Arial" w:cs="Arial" w:eastAsia="Arial" w:hAnsi="Arial"/>
          <w:sz w:val="11"/>
          <w:szCs w:val="11"/>
          <w:b w:val="1"/>
          <w:bCs w:val="1"/>
          <w:color w:val="auto"/>
        </w:rPr>
        <w:t>PROPOSAL</w:t>
      </w:r>
    </w:p>
    <w:p>
      <w:pPr>
        <w:spacing w:after="0" w:line="121" w:lineRule="exact"/>
        <w:rPr>
          <w:sz w:val="20"/>
          <w:szCs w:val="20"/>
          <w:color w:val="auto"/>
        </w:rPr>
      </w:pPr>
    </w:p>
    <w:p>
      <w:pPr>
        <w:ind w:left="424" w:right="300" w:hanging="424"/>
        <w:spacing w:after="0" w:line="285" w:lineRule="auto"/>
        <w:tabs>
          <w:tab w:leader="none" w:pos="424"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elect four Class II directors of Definitive Healthcare Corp., each to serve a three-year term expiring at the 2026 annual meeting of stockholders and until such director’s successor is duly elected and qualified, or until such director’s earlier death, resignation or removal.</w:t>
      </w:r>
    </w:p>
    <w:p>
      <w:pPr>
        <w:spacing w:after="0" w:line="63" w:lineRule="exact"/>
        <w:rPr>
          <w:rFonts w:ascii="Arial" w:cs="Arial" w:eastAsia="Arial" w:hAnsi="Arial"/>
          <w:sz w:val="14"/>
          <w:szCs w:val="14"/>
          <w:color w:val="auto"/>
        </w:rPr>
      </w:pPr>
    </w:p>
    <w:p>
      <w:pPr>
        <w:ind w:left="424"/>
        <w:spacing w:after="0"/>
        <w:rPr>
          <w:rFonts w:ascii="Arial" w:cs="Arial" w:eastAsia="Arial" w:hAnsi="Arial"/>
          <w:sz w:val="14"/>
          <w:szCs w:val="14"/>
          <w:color w:val="auto"/>
        </w:rPr>
      </w:pPr>
      <w:r>
        <w:rPr>
          <w:rFonts w:ascii="Arial" w:cs="Arial" w:eastAsia="Arial" w:hAnsi="Arial"/>
          <w:sz w:val="14"/>
          <w:szCs w:val="14"/>
          <w:color w:val="auto"/>
        </w:rPr>
        <w:t>1.01 Chris Egan</w:t>
      </w:r>
    </w:p>
    <w:p>
      <w:pPr>
        <w:spacing w:after="0" w:line="122" w:lineRule="exact"/>
        <w:rPr>
          <w:rFonts w:ascii="Arial" w:cs="Arial" w:eastAsia="Arial" w:hAnsi="Arial"/>
          <w:sz w:val="14"/>
          <w:szCs w:val="14"/>
          <w:color w:val="auto"/>
        </w:rPr>
      </w:pPr>
    </w:p>
    <w:p>
      <w:pPr>
        <w:ind w:left="424"/>
        <w:spacing w:after="0"/>
        <w:rPr>
          <w:rFonts w:ascii="Arial" w:cs="Arial" w:eastAsia="Arial" w:hAnsi="Arial"/>
          <w:sz w:val="14"/>
          <w:szCs w:val="14"/>
          <w:color w:val="auto"/>
        </w:rPr>
      </w:pPr>
      <w:r>
        <w:rPr>
          <w:rFonts w:ascii="Arial" w:cs="Arial" w:eastAsia="Arial" w:hAnsi="Arial"/>
          <w:sz w:val="14"/>
          <w:szCs w:val="14"/>
          <w:color w:val="auto"/>
        </w:rPr>
        <w:t>1.02 Samuel A. Hamood</w:t>
      </w:r>
    </w:p>
    <w:p>
      <w:pPr>
        <w:spacing w:after="0" w:line="122" w:lineRule="exact"/>
        <w:rPr>
          <w:rFonts w:ascii="Arial" w:cs="Arial" w:eastAsia="Arial" w:hAnsi="Arial"/>
          <w:sz w:val="14"/>
          <w:szCs w:val="14"/>
          <w:color w:val="auto"/>
        </w:rPr>
      </w:pPr>
    </w:p>
    <w:p>
      <w:pPr>
        <w:ind w:left="424"/>
        <w:spacing w:after="0"/>
        <w:rPr>
          <w:rFonts w:ascii="Arial" w:cs="Arial" w:eastAsia="Arial" w:hAnsi="Arial"/>
          <w:sz w:val="14"/>
          <w:szCs w:val="14"/>
          <w:color w:val="auto"/>
        </w:rPr>
      </w:pPr>
      <w:r>
        <w:rPr>
          <w:rFonts w:ascii="Arial" w:cs="Arial" w:eastAsia="Arial" w:hAnsi="Arial"/>
          <w:sz w:val="14"/>
          <w:szCs w:val="14"/>
          <w:color w:val="auto"/>
        </w:rPr>
        <w:t>1.03 Jill Larsen</w:t>
      </w:r>
    </w:p>
    <w:p>
      <w:pPr>
        <w:spacing w:after="0" w:line="122" w:lineRule="exact"/>
        <w:rPr>
          <w:rFonts w:ascii="Arial" w:cs="Arial" w:eastAsia="Arial" w:hAnsi="Arial"/>
          <w:sz w:val="14"/>
          <w:szCs w:val="14"/>
          <w:color w:val="auto"/>
        </w:rPr>
      </w:pPr>
    </w:p>
    <w:p>
      <w:pPr>
        <w:ind w:left="424"/>
        <w:spacing w:after="0"/>
        <w:rPr>
          <w:rFonts w:ascii="Arial" w:cs="Arial" w:eastAsia="Arial" w:hAnsi="Arial"/>
          <w:sz w:val="14"/>
          <w:szCs w:val="14"/>
          <w:color w:val="auto"/>
        </w:rPr>
      </w:pPr>
      <w:r>
        <w:rPr>
          <w:rFonts w:ascii="Arial" w:cs="Arial" w:eastAsia="Arial" w:hAnsi="Arial"/>
          <w:sz w:val="14"/>
          <w:szCs w:val="14"/>
          <w:color w:val="auto"/>
        </w:rPr>
        <w:t>1.04 Sastry Chilukuri</w:t>
      </w:r>
    </w:p>
    <w:p>
      <w:pPr>
        <w:spacing w:after="0" w:line="244" w:lineRule="exact"/>
        <w:rPr>
          <w:rFonts w:ascii="Arial" w:cs="Arial" w:eastAsia="Arial" w:hAnsi="Arial"/>
          <w:sz w:val="14"/>
          <w:szCs w:val="14"/>
          <w:color w:val="auto"/>
        </w:rPr>
      </w:pPr>
    </w:p>
    <w:p>
      <w:pPr>
        <w:ind w:left="424" w:hanging="424"/>
        <w:spacing w:after="0"/>
        <w:tabs>
          <w:tab w:leader="none" w:pos="424"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indicate, on an advisory basis, the preferred frequency of shareholder advisory votes on the compensation of the Company’s named executive officers.</w:t>
      </w:r>
    </w:p>
    <w:p>
      <w:pPr>
        <w:spacing w:after="0" w:line="122" w:lineRule="exact"/>
        <w:rPr>
          <w:rFonts w:ascii="Arial" w:cs="Arial" w:eastAsia="Arial" w:hAnsi="Arial"/>
          <w:sz w:val="14"/>
          <w:szCs w:val="14"/>
          <w:color w:val="auto"/>
        </w:rPr>
      </w:pPr>
    </w:p>
    <w:p>
      <w:pPr>
        <w:ind w:left="424" w:hanging="424"/>
        <w:spacing w:after="0"/>
        <w:tabs>
          <w:tab w:leader="none" w:pos="424"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ratify the appointment of Deloitte &amp; Touche LLP as our independent registered public accounting firm for the fiscal year ending December 31, 2023.</w:t>
      </w:r>
    </w:p>
    <w:p>
      <w:pPr>
        <w:spacing w:after="0" w:line="122" w:lineRule="exact"/>
        <w:rPr>
          <w:rFonts w:ascii="Arial" w:cs="Arial" w:eastAsia="Arial" w:hAnsi="Arial"/>
          <w:sz w:val="14"/>
          <w:szCs w:val="14"/>
          <w:color w:val="auto"/>
        </w:rPr>
      </w:pPr>
    </w:p>
    <w:p>
      <w:pPr>
        <w:ind w:left="424"/>
        <w:spacing w:after="0" w:line="263" w:lineRule="auto"/>
        <w:rPr>
          <w:rFonts w:ascii="Arial" w:cs="Arial" w:eastAsia="Arial" w:hAnsi="Arial"/>
          <w:sz w:val="14"/>
          <w:szCs w:val="14"/>
          <w:color w:val="auto"/>
        </w:rPr>
      </w:pPr>
      <w:r>
        <w:rPr>
          <w:rFonts w:ascii="Arial" w:cs="Arial" w:eastAsia="Arial" w:hAnsi="Arial"/>
          <w:sz w:val="14"/>
          <w:szCs w:val="14"/>
          <w:color w:val="auto"/>
        </w:rPr>
        <w:t>NOTE: Your proxy holder will also vote in their discretion upon such other matters as may be properly brought before the meeting or any adjournment or postponement thereof (including, without limitation, with discretionary authority with respect to Proposal 1 to vote for a substitute nominee if any nominee is unable to serve or for good cause will not serve).</w:t>
      </w:r>
    </w:p>
    <w:sectPr>
      <w:pgSz w:w="11900" w:h="16838" w:orient="portrait"/>
      <w:cols w:equalWidth="0" w:num="1">
        <w:col w:w="10904"/>
      </w:cols>
      <w:pgMar w:left="436" w:top="25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2023-04-20T20:01:58Z</dcterms:created>
  <dcterms:modified xsi:type="dcterms:W3CDTF">2023-04-20T20:01:58Z</dcterms:modified>
</cp:coreProperties>
</file>