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20" w:type="dxa"/>
            <w:vAlign w:val="bottom"/>
            <w:gridSpan w:val="3"/>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Winn David Randall</w:t>
              </w:r>
            </w:hyperlink>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760" w:type="dxa"/>
            <w:vAlign w:val="bottom"/>
          </w:tcPr>
          <w:p>
            <w:pPr>
              <w:ind w:left="4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7900 GLADES ROAD</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540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60" w:type="dxa"/>
            <w:vAlign w:val="bottom"/>
          </w:tcPr>
          <w:p>
            <w:pPr>
              <w:ind w:left="40"/>
              <w:spacing w:after="0"/>
              <w:rPr>
                <w:sz w:val="20"/>
                <w:szCs w:val="20"/>
                <w:color w:val="auto"/>
              </w:rPr>
            </w:pPr>
            <w:r>
              <w:rPr>
                <w:rFonts w:ascii="Arial" w:cs="Arial" w:eastAsia="Arial" w:hAnsi="Arial"/>
                <w:sz w:val="20"/>
                <w:szCs w:val="20"/>
                <w:color w:val="0000FF"/>
              </w:rPr>
              <w:t>BOCA</w:t>
            </w:r>
          </w:p>
        </w:tc>
        <w:tc>
          <w:tcPr>
            <w:tcW w:w="820" w:type="dxa"/>
            <w:vAlign w:val="bottom"/>
            <w:vMerge w:val="restart"/>
          </w:tcPr>
          <w:p>
            <w:pPr>
              <w:ind w:left="200"/>
              <w:spacing w:after="0"/>
              <w:rPr>
                <w:sz w:val="20"/>
                <w:szCs w:val="20"/>
                <w:color w:val="auto"/>
              </w:rPr>
            </w:pPr>
            <w:r>
              <w:rPr>
                <w:rFonts w:ascii="Arial" w:cs="Arial" w:eastAsia="Arial" w:hAnsi="Arial"/>
                <w:sz w:val="20"/>
                <w:szCs w:val="20"/>
                <w:color w:val="0000FF"/>
              </w:rPr>
              <w:t>FL</w:t>
            </w:r>
          </w:p>
        </w:tc>
        <w:tc>
          <w:tcPr>
            <w:tcW w:w="900" w:type="dxa"/>
            <w:vAlign w:val="bottom"/>
            <w:vMerge w:val="restart"/>
          </w:tcPr>
          <w:p>
            <w:pPr>
              <w:jc w:val="right"/>
              <w:spacing w:after="0"/>
              <w:rPr>
                <w:sz w:val="20"/>
                <w:szCs w:val="20"/>
                <w:color w:val="auto"/>
              </w:rPr>
            </w:pPr>
            <w:r>
              <w:rPr>
                <w:rFonts w:ascii="Arial" w:cs="Arial" w:eastAsia="Arial" w:hAnsi="Arial"/>
                <w:sz w:val="20"/>
                <w:szCs w:val="20"/>
                <w:color w:val="0000FF"/>
              </w:rPr>
              <w:t>33434</w:t>
            </w:r>
          </w:p>
        </w:tc>
        <w:tc>
          <w:tcPr>
            <w:tcW w:w="0" w:type="dxa"/>
            <w:vAlign w:val="bottom"/>
          </w:tcPr>
          <w:p>
            <w:pPr>
              <w:spacing w:after="0"/>
              <w:rPr>
                <w:sz w:val="1"/>
                <w:szCs w:val="1"/>
                <w:color w:val="auto"/>
              </w:rPr>
            </w:pPr>
          </w:p>
        </w:tc>
      </w:tr>
      <w:tr>
        <w:trPr>
          <w:trHeight w:val="128"/>
        </w:trPr>
        <w:tc>
          <w:tcPr>
            <w:tcW w:w="860" w:type="dxa"/>
            <w:vAlign w:val="bottom"/>
            <w:vMerge w:val="restart"/>
          </w:tcPr>
          <w:p>
            <w:pPr>
              <w:ind w:left="40"/>
              <w:spacing w:after="0"/>
              <w:rPr>
                <w:sz w:val="20"/>
                <w:szCs w:val="20"/>
                <w:color w:val="auto"/>
              </w:rPr>
            </w:pPr>
            <w:r>
              <w:rPr>
                <w:rFonts w:ascii="Arial" w:cs="Arial" w:eastAsia="Arial" w:hAnsi="Arial"/>
                <w:sz w:val="20"/>
                <w:szCs w:val="20"/>
                <w:color w:val="0000FF"/>
              </w:rPr>
              <w:t>RATON</w:t>
            </w: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20"/>
              <w:spacing w:after="0"/>
              <w:rPr>
                <w:sz w:val="20"/>
                <w:szCs w:val="20"/>
                <w:color w:val="auto"/>
              </w:rPr>
            </w:pPr>
            <w:r>
              <w:rPr>
                <w:rFonts w:ascii="Arial" w:cs="Arial" w:eastAsia="Arial" w:hAnsi="Arial"/>
                <w:sz w:val="20"/>
                <w:szCs w:val="20"/>
                <w:color w:val="0000FF"/>
              </w:rPr>
              <w:t>550,936</w:t>
            </w:r>
          </w:p>
        </w:tc>
        <w:tc>
          <w:tcPr>
            <w:tcW w:w="980" w:type="dxa"/>
            <w:vAlign w:val="bottom"/>
            <w:tcBorders>
              <w:bottom w:val="single" w:sz="8" w:color="2C2C2C"/>
            </w:tcBorders>
            <w:gridSpan w:val="2"/>
          </w:tcPr>
          <w:p>
            <w:pPr>
              <w:ind w:left="760"/>
              <w:spacing w:after="0" w:line="359" w:lineRule="exact"/>
              <w:rPr>
                <w:sz w:val="20"/>
                <w:szCs w:val="20"/>
                <w:color w:val="auto"/>
              </w:rPr>
            </w:pPr>
            <w:r>
              <w:rPr>
                <w:rFonts w:ascii="Arial" w:cs="Arial" w:eastAsia="Arial" w:hAnsi="Arial"/>
                <w:sz w:val="39"/>
                <w:szCs w:val="39"/>
                <w:color w:val="0000FF"/>
                <w:w w:val="86"/>
                <w:vertAlign w:val="subscript"/>
              </w:rPr>
              <w:t>I</w:t>
            </w:r>
            <w:r>
              <w:rPr>
                <w:rFonts w:ascii="Arial" w:cs="Arial" w:eastAsia="Arial" w:hAnsi="Arial"/>
                <w:sz w:val="13"/>
                <w:szCs w:val="13"/>
                <w:color w:val="008000"/>
                <w:w w:val="86"/>
              </w:rPr>
              <w:t>(1)</w:t>
            </w:r>
          </w:p>
        </w:tc>
        <w:tc>
          <w:tcPr>
            <w:tcW w:w="54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By 22C Capital I-A, L.P.</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LLC Units of AIDH Topco, LLC</w:t>
            </w:r>
          </w:p>
        </w:tc>
        <w:tc>
          <w:tcPr>
            <w:tcW w:w="11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right"/>
              <w:ind w:right="1"/>
              <w:spacing w:after="0"/>
              <w:rPr>
                <w:sz w:val="20"/>
                <w:szCs w:val="20"/>
                <w:color w:val="auto"/>
              </w:rPr>
            </w:pPr>
            <w:r>
              <w:rPr>
                <w:rFonts w:ascii="Arial" w:cs="Arial" w:eastAsia="Arial" w:hAnsi="Arial"/>
                <w:sz w:val="20"/>
                <w:szCs w:val="20"/>
                <w:color w:val="0000FF"/>
                <w:w w:val="92"/>
              </w:rPr>
              <w:t>4,377,717</w:t>
            </w:r>
          </w:p>
        </w:tc>
        <w:tc>
          <w:tcPr>
            <w:tcW w:w="60" w:type="dxa"/>
            <w:vAlign w:val="bottom"/>
          </w:tcPr>
          <w:p>
            <w:pPr>
              <w:spacing w:after="0"/>
              <w:rPr>
                <w:sz w:val="24"/>
                <w:szCs w:val="24"/>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008000"/>
              </w:rPr>
              <w:t>(2)</w:t>
            </w:r>
          </w:p>
        </w:tc>
        <w:tc>
          <w:tcPr>
            <w:tcW w:w="38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(1)</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By 22C Capital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40" w:type="dxa"/>
            <w:vAlign w:val="bottom"/>
            <w:vMerge w:val="restart"/>
          </w:tcPr>
          <w:p>
            <w:pPr>
              <w:ind w:left="80"/>
              <w:spacing w:after="0"/>
              <w:rPr>
                <w:sz w:val="20"/>
                <w:szCs w:val="20"/>
                <w:color w:val="auto"/>
              </w:rPr>
            </w:pPr>
            <w:r>
              <w:rPr>
                <w:rFonts w:ascii="Arial" w:cs="Arial" w:eastAsia="Arial" w:hAnsi="Arial"/>
                <w:sz w:val="20"/>
                <w:szCs w:val="20"/>
                <w:color w:val="0000FF"/>
              </w:rPr>
              <w:t>I, L.P.</w:t>
            </w:r>
            <w:r>
              <w:rPr>
                <w:rFonts w:ascii="Arial" w:cs="Arial" w:eastAsia="Arial" w:hAnsi="Arial"/>
                <w:sz w:val="25"/>
                <w:szCs w:val="25"/>
                <w:color w:val="008000"/>
                <w:vertAlign w:val="superscript"/>
              </w:rPr>
              <w:t>(1)</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vMerge w:val="continue"/>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w w:val="97"/>
              </w:rPr>
              <w:t>LLC Units of AIDH Topco, LLC</w:t>
            </w:r>
          </w:p>
        </w:tc>
        <w:tc>
          <w:tcPr>
            <w:tcW w:w="116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w w:val="87"/>
              </w:rPr>
              <w:t>(2)</w:t>
            </w:r>
          </w:p>
        </w:tc>
        <w:tc>
          <w:tcPr>
            <w:tcW w:w="182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20" w:type="dxa"/>
            <w:vAlign w:val="bottom"/>
            <w:vMerge w:val="restart"/>
          </w:tcPr>
          <w:p>
            <w:pPr>
              <w:jc w:val="right"/>
              <w:ind w:right="121"/>
              <w:spacing w:after="0"/>
              <w:rPr>
                <w:sz w:val="20"/>
                <w:szCs w:val="20"/>
                <w:color w:val="auto"/>
              </w:rPr>
            </w:pPr>
            <w:r>
              <w:rPr>
                <w:rFonts w:ascii="Arial" w:cs="Arial" w:eastAsia="Arial" w:hAnsi="Arial"/>
                <w:sz w:val="20"/>
                <w:szCs w:val="20"/>
                <w:color w:val="0000FF"/>
              </w:rPr>
              <w:t>12,944</w:t>
            </w:r>
          </w:p>
        </w:tc>
        <w:tc>
          <w:tcPr>
            <w:tcW w:w="60" w:type="dxa"/>
            <w:vAlign w:val="bottom"/>
          </w:tcPr>
          <w:p>
            <w:pPr>
              <w:spacing w:after="0"/>
              <w:rPr>
                <w:sz w:val="24"/>
                <w:szCs w:val="24"/>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008000"/>
              </w:rPr>
              <w:t>(2)</w:t>
            </w:r>
          </w:p>
        </w:tc>
        <w:tc>
          <w:tcPr>
            <w:tcW w:w="38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Arial" w:cs="Arial" w:eastAsia="Arial" w:hAnsi="Arial"/>
                <w:sz w:val="39"/>
                <w:szCs w:val="39"/>
                <w:color w:val="0000FF"/>
                <w:vertAlign w:val="subscript"/>
              </w:rPr>
              <w:t>I</w:t>
            </w:r>
            <w:r>
              <w:rPr>
                <w:rFonts w:ascii="Arial" w:cs="Arial" w:eastAsia="Arial" w:hAnsi="Arial"/>
                <w:sz w:val="13"/>
                <w:szCs w:val="13"/>
                <w:color w:val="008000"/>
              </w:rPr>
              <w:t>(1)</w:t>
            </w:r>
          </w:p>
        </w:tc>
        <w:tc>
          <w:tcPr>
            <w:tcW w:w="1460" w:type="dxa"/>
            <w:vAlign w:val="bottom"/>
            <w:gridSpan w:val="2"/>
          </w:tcPr>
          <w:p>
            <w:pPr>
              <w:ind w:left="80"/>
              <w:spacing w:after="0"/>
              <w:rPr>
                <w:sz w:val="20"/>
                <w:szCs w:val="20"/>
                <w:color w:val="auto"/>
              </w:rPr>
            </w:pPr>
            <w:r>
              <w:rPr>
                <w:rFonts w:ascii="Arial" w:cs="Arial" w:eastAsia="Arial" w:hAnsi="Arial"/>
                <w:sz w:val="20"/>
                <w:szCs w:val="20"/>
                <w:color w:val="0000FF"/>
              </w:rPr>
              <w:t>By 22C AIDH</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20"/>
                <w:szCs w:val="20"/>
                <w:color w:val="0000FF"/>
              </w:rPr>
              <w:t>AIV LLC</w:t>
            </w:r>
            <w:r>
              <w:rPr>
                <w:rFonts w:ascii="Arial" w:cs="Arial" w:eastAsia="Arial" w:hAnsi="Arial"/>
                <w:sz w:val="25"/>
                <w:szCs w:val="25"/>
                <w:color w:val="008000"/>
                <w:vertAlign w:val="superscript"/>
              </w:rPr>
              <w:t>(1)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40" w:firstLine="5"/>
        <w:spacing w:after="0" w:line="271" w:lineRule="auto"/>
        <w:tabs>
          <w:tab w:leader="none" w:pos="19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22C Capital GP I, L.L.C. is the general partner of 22C Capital I, L.P. and 22C Capital I-A, L.P. and is the sole member of 22C AIDH AIV LLC. 22C Capital GP I MM LLC is the managing member of 22C Capital GP I, L.L.C. The Reporting Person is one of the co-members of 22C Capital GP I MM LLC and, in such capacity, may be deemed to exercise voting or investment power over the shares of Class A common stock and LLC Units of AIDH Topco held directly by each of 22C Capital I, L.P., 22C Capital I-A, L.P. and 22C</w:t>
      </w:r>
    </w:p>
    <w:p>
      <w:pPr>
        <w:ind w:left="40"/>
        <w:spacing w:after="0"/>
        <w:rPr>
          <w:rFonts w:ascii="Arial" w:cs="Arial" w:eastAsia="Arial" w:hAnsi="Arial"/>
          <w:sz w:val="13"/>
          <w:szCs w:val="13"/>
          <w:color w:val="008000"/>
        </w:rPr>
      </w:pPr>
      <w:r>
        <w:rPr>
          <w:rFonts w:ascii="Arial" w:cs="Arial" w:eastAsia="Arial" w:hAnsi="Arial"/>
          <w:sz w:val="15"/>
          <w:szCs w:val="15"/>
          <w:color w:val="008000"/>
        </w:rPr>
        <w:t>AIDH AIV LLC.</w:t>
      </w:r>
    </w:p>
    <w:p>
      <w:pPr>
        <w:spacing w:after="0" w:line="40" w:lineRule="exact"/>
        <w:rPr>
          <w:rFonts w:ascii="Arial" w:cs="Arial" w:eastAsia="Arial" w:hAnsi="Arial"/>
          <w:sz w:val="13"/>
          <w:szCs w:val="13"/>
          <w:color w:val="008000"/>
        </w:rPr>
      </w:pPr>
    </w:p>
    <w:p>
      <w:pPr>
        <w:ind w:left="40" w:right="120" w:firstLine="5"/>
        <w:spacing w:after="0" w:line="238"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Reporting Person may exchange LLC Units of AIDH Topco, LLC for shares of Class A Common Stock of the Issuer on a one-for-one basis, subject to certain exceptions, conditions and adjustments. The LLC Units of AIDH Topco, LLC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/s/ David Randall Winn</w:t>
            </w:r>
          </w:p>
        </w:tc>
        <w:tc>
          <w:tcPr>
            <w:tcW w:w="3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3116"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2021-09-15T19:55:10Z</dcterms:created>
  <dcterms:modified xsi:type="dcterms:W3CDTF">2021-09-15T19:55:10Z</dcterms:modified>
</cp:coreProperties>
</file>