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Musslewhite Robert W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368,422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1,350,393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40" w:right="34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$0.001. The RSUs vest over a four-year period, with 25% of the RSUs vesting on February 1, 2024, followed by quarterly vesting of 6.25% every three months thereafter over the subsequent three years, in each case subject to the Reporting Person's continued service with the Issuer through each such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Matthew Ruderman,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 in fact</w:t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0194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2023-02-21T19:00:05Z</dcterms:created>
  <dcterms:modified xsi:type="dcterms:W3CDTF">2023-02-21T19:00:05Z</dcterms:modified>
</cp:coreProperties>
</file>