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7047230" cy="4893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9331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Krantz Jason Ronald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DEFINITIVE HEALTHCARE CORP.</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550 COCHITUATE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Definitive Healthcare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DH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11/22/2021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60"/>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0"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4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Executive Officer</w:t>
      </w:r>
    </w:p>
    <w:p>
      <w:pPr>
        <w:spacing w:after="0" w:line="391" w:lineRule="exact"/>
        <w:rPr>
          <w:sz w:val="24"/>
          <w:szCs w:val="24"/>
          <w:color w:val="auto"/>
        </w:rPr>
      </w:pPr>
    </w:p>
    <w:p>
      <w:pPr>
        <w:sectPr>
          <w:pgSz w:w="11900" w:h="16838" w:orient="portrait"/>
          <w:cols w:equalWidth="0" w:num="3">
            <w:col w:w="3180" w:space="720"/>
            <w:col w:w="3100" w:space="720"/>
            <w:col w:w="3360"/>
          </w:cols>
          <w:pgMar w:left="460" w:top="220"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FRAMINGHAM MA</w:t>
            </w:r>
          </w:p>
        </w:tc>
        <w:tc>
          <w:tcPr>
            <w:tcW w:w="1600" w:type="dxa"/>
            <w:vAlign w:val="bottom"/>
          </w:tcPr>
          <w:p>
            <w:pPr>
              <w:ind w:left="420"/>
              <w:spacing w:after="0"/>
              <w:rPr>
                <w:sz w:val="20"/>
                <w:szCs w:val="20"/>
                <w:color w:val="auto"/>
              </w:rPr>
            </w:pPr>
            <w:r>
              <w:rPr>
                <w:rFonts w:ascii="Arial" w:cs="Arial" w:eastAsia="Arial" w:hAnsi="Arial"/>
                <w:sz w:val="17"/>
                <w:szCs w:val="17"/>
                <w:color w:val="0000FF"/>
              </w:rPr>
              <w:t>01701</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5" w:lineRule="exact"/>
        <w:rPr>
          <w:sz w:val="24"/>
          <w:szCs w:val="24"/>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right"/>
              <w:ind w:right="3"/>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right"/>
              <w:ind w:right="3"/>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jc w:val="right"/>
              <w:ind w:right="103"/>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jc w:val="right"/>
              <w:ind w:right="103"/>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LLC Units</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of AIDH</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restart"/>
          </w:tcPr>
          <w:p>
            <w:pPr>
              <w:ind w:left="100"/>
              <w:spacing w:after="0" w:line="204" w:lineRule="exact"/>
              <w:rPr>
                <w:sz w:val="20"/>
                <w:szCs w:val="20"/>
                <w:color w:val="auto"/>
              </w:rPr>
            </w:pPr>
            <w:r>
              <w:rPr>
                <w:rFonts w:ascii="Arial" w:cs="Arial" w:eastAsia="Arial" w:hAnsi="Arial"/>
                <w:sz w:val="23"/>
                <w:szCs w:val="23"/>
                <w:color w:val="0000FF"/>
                <w:vertAlign w:val="subscript"/>
              </w:rPr>
              <w:t>D</w:t>
            </w:r>
            <w:r>
              <w:rPr>
                <w:rFonts w:ascii="Arial" w:cs="Arial" w:eastAsia="Arial" w:hAnsi="Arial"/>
                <w:sz w:val="10"/>
                <w:szCs w:val="10"/>
                <w:color w:val="008000"/>
              </w:rPr>
              <w:t>(2)</w:t>
            </w:r>
          </w:p>
        </w:tc>
        <w:tc>
          <w:tcPr>
            <w:tcW w:w="86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580" w:type="dxa"/>
            <w:vAlign w:val="bottom"/>
            <w:vMerge w:val="continue"/>
          </w:tcPr>
          <w:p>
            <w:pPr>
              <w:spacing w:after="0"/>
              <w:rPr>
                <w:sz w:val="5"/>
                <w:szCs w:val="5"/>
                <w:color w:val="auto"/>
              </w:rPr>
            </w:pPr>
          </w:p>
        </w:tc>
        <w:tc>
          <w:tcPr>
            <w:tcW w:w="680" w:type="dxa"/>
            <w:vAlign w:val="bottom"/>
            <w:vMerge w:val="restart"/>
          </w:tcPr>
          <w:p>
            <w:pPr>
              <w:jc w:val="right"/>
              <w:ind w:right="94"/>
              <w:spacing w:after="0"/>
              <w:rPr>
                <w:sz w:val="20"/>
                <w:szCs w:val="20"/>
                <w:color w:val="auto"/>
              </w:rPr>
            </w:pPr>
            <w:r>
              <w:rPr>
                <w:rFonts w:ascii="Arial" w:cs="Arial" w:eastAsia="Arial" w:hAnsi="Arial"/>
                <w:sz w:val="17"/>
                <w:szCs w:val="17"/>
                <w:color w:val="0000FF"/>
              </w:rPr>
              <w:t>6,959</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restart"/>
          </w:tcPr>
          <w:p>
            <w:pPr>
              <w:jc w:val="right"/>
              <w:ind w:right="180"/>
              <w:spacing w:after="0" w:line="141" w:lineRule="exact"/>
              <w:rPr>
                <w:sz w:val="20"/>
                <w:szCs w:val="20"/>
                <w:color w:val="auto"/>
              </w:rPr>
            </w:pPr>
            <w:r>
              <w:rPr>
                <w:rFonts w:ascii="Arial" w:cs="Arial" w:eastAsia="Arial" w:hAnsi="Arial"/>
                <w:sz w:val="13"/>
                <w:szCs w:val="13"/>
                <w:color w:val="0000FF"/>
              </w:rPr>
              <w:t>11/22/2021</w:t>
            </w: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vMerge w:val="restart"/>
          </w:tcPr>
          <w:p>
            <w:pPr>
              <w:jc w:val="right"/>
              <w:ind w:right="61"/>
              <w:spacing w:after="0" w:line="141" w:lineRule="exact"/>
              <w:rPr>
                <w:sz w:val="20"/>
                <w:szCs w:val="20"/>
                <w:color w:val="auto"/>
              </w:rPr>
            </w:pPr>
            <w:r>
              <w:rPr>
                <w:rFonts w:ascii="Arial" w:cs="Arial" w:eastAsia="Arial" w:hAnsi="Arial"/>
                <w:sz w:val="13"/>
                <w:szCs w:val="13"/>
                <w:color w:val="0000FF"/>
              </w:rPr>
              <w:t>6,959</w:t>
            </w: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96"/>
              </w:rPr>
              <w:t>common</w:t>
            </w:r>
          </w:p>
        </w:tc>
        <w:tc>
          <w:tcPr>
            <w:tcW w:w="680" w:type="dxa"/>
            <w:vAlign w:val="bottom"/>
            <w:vMerge w:val="continue"/>
          </w:tcPr>
          <w:p>
            <w:pPr>
              <w:spacing w:after="0"/>
              <w:rPr>
                <w:sz w:val="6"/>
                <w:szCs w:val="6"/>
                <w:color w:val="auto"/>
              </w:rPr>
            </w:pPr>
          </w:p>
        </w:tc>
        <w:tc>
          <w:tcPr>
            <w:tcW w:w="68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34.74</w:t>
            </w:r>
          </w:p>
        </w:tc>
        <w:tc>
          <w:tcPr>
            <w:tcW w:w="920" w:type="dxa"/>
            <w:vAlign w:val="bottom"/>
            <w:vMerge w:val="restart"/>
          </w:tcPr>
          <w:p>
            <w:pPr>
              <w:jc w:val="right"/>
              <w:ind w:right="181"/>
              <w:spacing w:after="0" w:line="141" w:lineRule="exact"/>
              <w:rPr>
                <w:sz w:val="20"/>
                <w:szCs w:val="20"/>
                <w:color w:val="auto"/>
              </w:rPr>
            </w:pPr>
            <w:r>
              <w:rPr>
                <w:rFonts w:ascii="Arial" w:cs="Arial" w:eastAsia="Arial" w:hAnsi="Arial"/>
                <w:sz w:val="13"/>
                <w:szCs w:val="13"/>
                <w:color w:val="0000FF"/>
              </w:rPr>
              <w:t>848,130</w:t>
            </w:r>
          </w:p>
        </w:tc>
        <w:tc>
          <w:tcPr>
            <w:tcW w:w="74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Topco,</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LLC Units</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of AIDH</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restart"/>
          </w:tcPr>
          <w:p>
            <w:pPr>
              <w:ind w:left="100"/>
              <w:spacing w:after="0" w:line="204" w:lineRule="exact"/>
              <w:rPr>
                <w:sz w:val="20"/>
                <w:szCs w:val="20"/>
                <w:color w:val="auto"/>
              </w:rPr>
            </w:pPr>
            <w:r>
              <w:rPr>
                <w:rFonts w:ascii="Arial" w:cs="Arial" w:eastAsia="Arial" w:hAnsi="Arial"/>
                <w:sz w:val="23"/>
                <w:szCs w:val="23"/>
                <w:color w:val="0000FF"/>
                <w:vertAlign w:val="subscript"/>
              </w:rPr>
              <w:t>D</w:t>
            </w:r>
            <w:r>
              <w:rPr>
                <w:rFonts w:ascii="Arial" w:cs="Arial" w:eastAsia="Arial" w:hAnsi="Arial"/>
                <w:sz w:val="10"/>
                <w:szCs w:val="10"/>
                <w:color w:val="008000"/>
              </w:rPr>
              <w:t>(2)</w:t>
            </w:r>
          </w:p>
        </w:tc>
        <w:tc>
          <w:tcPr>
            <w:tcW w:w="86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580" w:type="dxa"/>
            <w:vAlign w:val="bottom"/>
            <w:vMerge w:val="continue"/>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0000FF"/>
                <w:w w:val="97"/>
              </w:rPr>
              <w:t>688,165</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restart"/>
          </w:tcPr>
          <w:p>
            <w:pPr>
              <w:jc w:val="right"/>
              <w:ind w:right="180"/>
              <w:spacing w:after="0" w:line="141" w:lineRule="exact"/>
              <w:rPr>
                <w:sz w:val="20"/>
                <w:szCs w:val="20"/>
                <w:color w:val="auto"/>
              </w:rPr>
            </w:pPr>
            <w:r>
              <w:rPr>
                <w:rFonts w:ascii="Arial" w:cs="Arial" w:eastAsia="Arial" w:hAnsi="Arial"/>
                <w:sz w:val="13"/>
                <w:szCs w:val="13"/>
                <w:color w:val="0000FF"/>
              </w:rPr>
              <w:t>11/22/2021</w:t>
            </w: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vMerge w:val="restart"/>
          </w:tcPr>
          <w:p>
            <w:pPr>
              <w:jc w:val="right"/>
              <w:ind w:right="1"/>
              <w:spacing w:after="0" w:line="141" w:lineRule="exact"/>
              <w:rPr>
                <w:sz w:val="20"/>
                <w:szCs w:val="20"/>
                <w:color w:val="auto"/>
              </w:rPr>
            </w:pPr>
            <w:r>
              <w:rPr>
                <w:rFonts w:ascii="Arial" w:cs="Arial" w:eastAsia="Arial" w:hAnsi="Arial"/>
                <w:sz w:val="13"/>
                <w:szCs w:val="13"/>
                <w:color w:val="0000FF"/>
              </w:rPr>
              <w:t>688,165</w:t>
            </w: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96"/>
              </w:rPr>
              <w:t>common</w:t>
            </w:r>
          </w:p>
        </w:tc>
        <w:tc>
          <w:tcPr>
            <w:tcW w:w="680" w:type="dxa"/>
            <w:vAlign w:val="bottom"/>
            <w:vMerge w:val="continue"/>
          </w:tcPr>
          <w:p>
            <w:pPr>
              <w:spacing w:after="0"/>
              <w:rPr>
                <w:sz w:val="6"/>
                <w:szCs w:val="6"/>
                <w:color w:val="auto"/>
              </w:rPr>
            </w:pPr>
          </w:p>
        </w:tc>
        <w:tc>
          <w:tcPr>
            <w:tcW w:w="680" w:type="dxa"/>
            <w:vAlign w:val="bottom"/>
            <w:vMerge w:val="restart"/>
          </w:tcPr>
          <w:p>
            <w:pPr>
              <w:jc w:val="right"/>
              <w:ind w:right="10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34.74</w:t>
            </w:r>
          </w:p>
        </w:tc>
        <w:tc>
          <w:tcPr>
            <w:tcW w:w="920" w:type="dxa"/>
            <w:vAlign w:val="bottom"/>
            <w:vMerge w:val="restart"/>
          </w:tcPr>
          <w:p>
            <w:pPr>
              <w:jc w:val="right"/>
              <w:ind w:right="101"/>
              <w:spacing w:after="0" w:line="141" w:lineRule="exact"/>
              <w:rPr>
                <w:sz w:val="20"/>
                <w:szCs w:val="20"/>
                <w:color w:val="auto"/>
              </w:rPr>
            </w:pPr>
            <w:r>
              <w:rPr>
                <w:rFonts w:ascii="Arial" w:cs="Arial" w:eastAsia="Arial" w:hAnsi="Arial"/>
                <w:sz w:val="13"/>
                <w:szCs w:val="13"/>
                <w:color w:val="0000FF"/>
              </w:rPr>
              <w:t>20,451,027</w:t>
            </w:r>
          </w:p>
        </w:tc>
        <w:tc>
          <w:tcPr>
            <w:tcW w:w="74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I</w:t>
            </w:r>
          </w:p>
        </w:tc>
        <w:tc>
          <w:tcPr>
            <w:tcW w:w="74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By trust</w:t>
            </w: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Topco,</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1"/>
        <w:spacing w:after="0" w:line="289"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Certain unvested awards vest in equal installments on each of the first, second and third anniversaries of the Issuer's initial public offering, and the remainder of the unvested awards continue to vest pursuant to a four-year annual vesting schedule. Once vested, the Reporting Person may exchange LLC Units of AIDH Topco, LLC for shares of Class A Common Stock of the Issuer on a one-for-one basis, subject to certain exceptions, conditions and adjustments. The LLC Units of AIDH Topco, LLC have no expiration date.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4" w:lineRule="exact"/>
        <w:rPr>
          <w:rFonts w:ascii="Arial" w:cs="Arial" w:eastAsia="Arial" w:hAnsi="Arial"/>
          <w:sz w:val="11"/>
          <w:szCs w:val="11"/>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Sold to the Issuer in a transaction exempt pursuant to Rule 16b-3.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David Samuels, as attorney</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11/24/2021</w:t>
            </w:r>
          </w:p>
        </w:tc>
        <w:tc>
          <w:tcPr>
            <w:tcW w:w="0" w:type="dxa"/>
            <w:vAlign w:val="bottom"/>
          </w:tcPr>
          <w:p>
            <w:pPr>
              <w:spacing w:after="0"/>
              <w:rPr>
                <w:sz w:val="1"/>
                <w:szCs w:val="1"/>
                <w:color w:val="auto"/>
              </w:rPr>
            </w:pPr>
          </w:p>
        </w:tc>
      </w:tr>
      <w:tr>
        <w:trPr>
          <w:trHeight w:val="82"/>
        </w:trPr>
        <w:tc>
          <w:tcPr>
            <w:tcW w:w="1560" w:type="dxa"/>
            <w:vAlign w:val="bottom"/>
            <w:vMerge w:val="restart"/>
          </w:tcPr>
          <w:p>
            <w:pPr>
              <w:spacing w:after="0" w:line="185" w:lineRule="exact"/>
              <w:rPr>
                <w:sz w:val="20"/>
                <w:szCs w:val="20"/>
                <w:color w:val="auto"/>
              </w:rPr>
            </w:pPr>
            <w:r>
              <w:rPr>
                <w:rFonts w:ascii="Arial" w:cs="Arial" w:eastAsia="Arial" w:hAnsi="Arial"/>
                <w:sz w:val="17"/>
                <w:szCs w:val="17"/>
                <w:color w:val="0000FF"/>
                <w:w w:val="88"/>
              </w:rPr>
              <w:t>in fact for Jason Krantz</w:t>
            </w:r>
          </w:p>
        </w:tc>
        <w:tc>
          <w:tcPr>
            <w:tcW w:w="5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79507"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2021-11-24T15:21:00Z</dcterms:created>
  <dcterms:modified xsi:type="dcterms:W3CDTF">2021-11-24T15:21:00Z</dcterms:modified>
</cp:coreProperties>
</file>